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17F6" w:rsidRPr="003F17F6" w:rsidRDefault="003F17F6" w:rsidP="003F17F6">
      <w:pPr>
        <w:pStyle w:val="NoSpacing"/>
        <w:rPr>
          <w:b/>
        </w:rPr>
      </w:pPr>
      <w:r w:rsidRPr="003F17F6">
        <w:rPr>
          <w:b/>
        </w:rPr>
        <w:t>EX-CONSTABLE JIMU MALVERN</w:t>
      </w:r>
    </w:p>
    <w:p w:rsidR="003F17F6" w:rsidRPr="003F17F6" w:rsidRDefault="003F17F6" w:rsidP="003F17F6">
      <w:pPr>
        <w:pStyle w:val="NoSpacing"/>
        <w:rPr>
          <w:b/>
        </w:rPr>
      </w:pPr>
    </w:p>
    <w:p w:rsidR="003F17F6" w:rsidRPr="003F17F6" w:rsidRDefault="003F17F6" w:rsidP="003F17F6">
      <w:pPr>
        <w:pStyle w:val="NoSpacing"/>
        <w:rPr>
          <w:b/>
        </w:rPr>
      </w:pPr>
      <w:r w:rsidRPr="003F17F6">
        <w:rPr>
          <w:b/>
        </w:rPr>
        <w:t>Versus</w:t>
      </w:r>
    </w:p>
    <w:p w:rsidR="003F17F6" w:rsidRPr="003F17F6" w:rsidRDefault="003F17F6" w:rsidP="003F17F6">
      <w:pPr>
        <w:pStyle w:val="NoSpacing"/>
        <w:rPr>
          <w:b/>
        </w:rPr>
      </w:pPr>
    </w:p>
    <w:p w:rsidR="003F17F6" w:rsidRPr="003F17F6" w:rsidRDefault="003F17F6" w:rsidP="003F17F6">
      <w:pPr>
        <w:pStyle w:val="NoSpacing"/>
        <w:rPr>
          <w:b/>
        </w:rPr>
      </w:pPr>
      <w:r w:rsidRPr="003F17F6">
        <w:rPr>
          <w:b/>
        </w:rPr>
        <w:t>THE OFFICR IN CHARGE</w:t>
      </w:r>
    </w:p>
    <w:p w:rsidR="003F17F6" w:rsidRDefault="003F17F6" w:rsidP="003F17F6">
      <w:pPr>
        <w:pStyle w:val="NoSpacing"/>
        <w:rPr>
          <w:b/>
        </w:rPr>
      </w:pPr>
      <w:r>
        <w:rPr>
          <w:b/>
        </w:rPr>
        <w:t>(CHIEF INSPECTOR CHAUKE)</w:t>
      </w:r>
    </w:p>
    <w:p w:rsidR="003F17F6" w:rsidRDefault="003F17F6" w:rsidP="003F17F6">
      <w:pPr>
        <w:pStyle w:val="NoSpacing"/>
        <w:rPr>
          <w:b/>
        </w:rPr>
      </w:pPr>
    </w:p>
    <w:p w:rsidR="003F17F6" w:rsidRDefault="003F17F6" w:rsidP="003F17F6">
      <w:pPr>
        <w:pStyle w:val="NoSpacing"/>
        <w:rPr>
          <w:b/>
        </w:rPr>
      </w:pPr>
      <w:r>
        <w:rPr>
          <w:b/>
        </w:rPr>
        <w:t>And</w:t>
      </w:r>
    </w:p>
    <w:p w:rsidR="003F17F6" w:rsidRDefault="003F17F6" w:rsidP="003F17F6">
      <w:pPr>
        <w:pStyle w:val="NoSpacing"/>
        <w:rPr>
          <w:b/>
        </w:rPr>
      </w:pPr>
    </w:p>
    <w:p w:rsidR="003F17F6" w:rsidRDefault="003F17F6" w:rsidP="003F17F6">
      <w:pPr>
        <w:pStyle w:val="NoSpacing"/>
        <w:rPr>
          <w:b/>
        </w:rPr>
      </w:pPr>
      <w:r>
        <w:rPr>
          <w:b/>
        </w:rPr>
        <w:t>THE COMMISSION</w:t>
      </w:r>
      <w:r w:rsidR="005F6C9C">
        <w:rPr>
          <w:b/>
        </w:rPr>
        <w:t>E</w:t>
      </w:r>
      <w:r>
        <w:rPr>
          <w:b/>
        </w:rPr>
        <w:t>R GENERAL OF POLICE</w:t>
      </w:r>
    </w:p>
    <w:p w:rsidR="003F17F6" w:rsidRDefault="003F17F6" w:rsidP="003F17F6">
      <w:pPr>
        <w:pStyle w:val="NoSpacing"/>
        <w:rPr>
          <w:b/>
        </w:rPr>
      </w:pPr>
    </w:p>
    <w:p w:rsidR="003F17F6" w:rsidRDefault="003F17F6" w:rsidP="003F17F6">
      <w:pPr>
        <w:pStyle w:val="NoSpacing"/>
        <w:rPr>
          <w:b/>
        </w:rPr>
      </w:pPr>
      <w:r>
        <w:rPr>
          <w:b/>
        </w:rPr>
        <w:t>And</w:t>
      </w:r>
    </w:p>
    <w:p w:rsidR="003F17F6" w:rsidRDefault="003F17F6" w:rsidP="003F17F6">
      <w:pPr>
        <w:pStyle w:val="NoSpacing"/>
        <w:rPr>
          <w:b/>
        </w:rPr>
      </w:pPr>
    </w:p>
    <w:p w:rsidR="003F17F6" w:rsidRDefault="003F17F6" w:rsidP="003F17F6">
      <w:pPr>
        <w:pStyle w:val="NoSpacing"/>
        <w:rPr>
          <w:b/>
        </w:rPr>
      </w:pPr>
      <w:r>
        <w:rPr>
          <w:b/>
        </w:rPr>
        <w:t>THE CHAIRPERSON OF THE POLICE SERVICE COMMISSION</w:t>
      </w:r>
    </w:p>
    <w:p w:rsidR="003F17F6" w:rsidRDefault="003F17F6" w:rsidP="003F17F6">
      <w:pPr>
        <w:pStyle w:val="NoSpacing"/>
        <w:rPr>
          <w:b/>
        </w:rPr>
      </w:pPr>
    </w:p>
    <w:p w:rsidR="003F17F6" w:rsidRDefault="003F17F6" w:rsidP="003F17F6">
      <w:pPr>
        <w:pStyle w:val="NoSpacing"/>
        <w:rPr>
          <w:b/>
        </w:rPr>
      </w:pPr>
      <w:r>
        <w:rPr>
          <w:b/>
        </w:rPr>
        <w:t>And</w:t>
      </w:r>
    </w:p>
    <w:p w:rsidR="003F17F6" w:rsidRDefault="003F17F6" w:rsidP="003F17F6">
      <w:pPr>
        <w:pStyle w:val="NoSpacing"/>
        <w:rPr>
          <w:b/>
        </w:rPr>
      </w:pPr>
    </w:p>
    <w:p w:rsidR="003F17F6" w:rsidRDefault="003F17F6" w:rsidP="003F17F6">
      <w:pPr>
        <w:pStyle w:val="NoSpacing"/>
        <w:rPr>
          <w:b/>
        </w:rPr>
      </w:pPr>
      <w:r>
        <w:rPr>
          <w:b/>
        </w:rPr>
        <w:t>THE MINISTER OF HOME AFFAIRS</w:t>
      </w:r>
    </w:p>
    <w:p w:rsidR="003F17F6" w:rsidRDefault="003F17F6" w:rsidP="003F17F6">
      <w:pPr>
        <w:pStyle w:val="NoSpacing"/>
        <w:rPr>
          <w:b/>
        </w:rPr>
      </w:pPr>
    </w:p>
    <w:p w:rsidR="003F17F6" w:rsidRPr="003F17F6" w:rsidRDefault="003F17F6" w:rsidP="003F17F6">
      <w:pPr>
        <w:pStyle w:val="NoSpacing"/>
      </w:pPr>
      <w:r w:rsidRPr="003F17F6">
        <w:t>IN THE HIGH COURT OF ZIMBABWE</w:t>
      </w:r>
    </w:p>
    <w:p w:rsidR="003F17F6" w:rsidRPr="003F17F6" w:rsidRDefault="003F17F6" w:rsidP="003F17F6">
      <w:pPr>
        <w:pStyle w:val="NoSpacing"/>
      </w:pPr>
      <w:r w:rsidRPr="003F17F6">
        <w:t>TAKUVA J</w:t>
      </w:r>
    </w:p>
    <w:p w:rsidR="003F17F6" w:rsidRDefault="003F17F6" w:rsidP="003F17F6">
      <w:pPr>
        <w:pStyle w:val="NoSpacing"/>
      </w:pPr>
      <w:r w:rsidRPr="003F17F6">
        <w:t xml:space="preserve">BULAWAYO 19 JULY 2019 AND </w:t>
      </w:r>
      <w:r w:rsidR="00C06538">
        <w:t>2</w:t>
      </w:r>
      <w:r w:rsidR="005F6C9C">
        <w:t xml:space="preserve"> JULY 2020</w:t>
      </w:r>
    </w:p>
    <w:p w:rsidR="003F17F6" w:rsidRDefault="003F17F6" w:rsidP="003F17F6">
      <w:pPr>
        <w:pStyle w:val="NoSpacing"/>
      </w:pPr>
    </w:p>
    <w:p w:rsidR="003F17F6" w:rsidRDefault="003F17F6" w:rsidP="003F17F6">
      <w:pPr>
        <w:pStyle w:val="NoSpacing"/>
        <w:rPr>
          <w:b/>
        </w:rPr>
      </w:pPr>
      <w:r>
        <w:rPr>
          <w:b/>
        </w:rPr>
        <w:t>Opposed Application</w:t>
      </w:r>
    </w:p>
    <w:p w:rsidR="003F17F6" w:rsidRDefault="003F17F6" w:rsidP="003F17F6">
      <w:pPr>
        <w:pStyle w:val="NoSpacing"/>
      </w:pPr>
    </w:p>
    <w:p w:rsidR="003F17F6" w:rsidRDefault="003F17F6" w:rsidP="003F17F6">
      <w:pPr>
        <w:pStyle w:val="NoSpacing"/>
      </w:pPr>
      <w:r w:rsidRPr="003F17F6">
        <w:rPr>
          <w:i/>
        </w:rPr>
        <w:t>N. Mugiya</w:t>
      </w:r>
      <w:r>
        <w:t xml:space="preserve"> for the applicant</w:t>
      </w:r>
    </w:p>
    <w:p w:rsidR="003F17F6" w:rsidRDefault="003F17F6" w:rsidP="003F17F6">
      <w:pPr>
        <w:pStyle w:val="NoSpacing"/>
      </w:pPr>
      <w:r w:rsidRPr="003F17F6">
        <w:rPr>
          <w:i/>
        </w:rPr>
        <w:t>L. Dube</w:t>
      </w:r>
      <w:r>
        <w:t xml:space="preserve"> for the respondents</w:t>
      </w:r>
    </w:p>
    <w:p w:rsidR="003F17F6" w:rsidRPr="007245A9" w:rsidRDefault="003F17F6" w:rsidP="007245A9">
      <w:pPr>
        <w:jc w:val="both"/>
        <w:rPr>
          <w:szCs w:val="24"/>
        </w:rPr>
      </w:pPr>
      <w:r w:rsidRPr="009530CF">
        <w:rPr>
          <w:sz w:val="48"/>
          <w:szCs w:val="48"/>
        </w:rPr>
        <w:tab/>
      </w:r>
      <w:r w:rsidRPr="007245A9">
        <w:rPr>
          <w:b/>
          <w:szCs w:val="24"/>
        </w:rPr>
        <w:t>TAKUVA J:</w:t>
      </w:r>
      <w:r w:rsidRPr="007245A9">
        <w:rPr>
          <w:b/>
          <w:szCs w:val="24"/>
        </w:rPr>
        <w:tab/>
      </w:r>
      <w:r w:rsidRPr="007245A9">
        <w:rPr>
          <w:szCs w:val="24"/>
        </w:rPr>
        <w:t xml:space="preserve">This is an application for a </w:t>
      </w:r>
      <w:r w:rsidR="00EB509E" w:rsidRPr="007245A9">
        <w:rPr>
          <w:szCs w:val="24"/>
        </w:rPr>
        <w:t>d</w:t>
      </w:r>
      <w:r w:rsidRPr="007245A9">
        <w:rPr>
          <w:szCs w:val="24"/>
        </w:rPr>
        <w:t>eclaratur in which the applicant seeks the following relief:</w:t>
      </w:r>
    </w:p>
    <w:p w:rsidR="003F17F6" w:rsidRPr="007245A9" w:rsidRDefault="003F17F6" w:rsidP="007245A9">
      <w:pPr>
        <w:pStyle w:val="NoSpacing"/>
        <w:numPr>
          <w:ilvl w:val="0"/>
          <w:numId w:val="1"/>
        </w:numPr>
        <w:jc w:val="both"/>
        <w:rPr>
          <w:szCs w:val="24"/>
        </w:rPr>
      </w:pPr>
      <w:r w:rsidRPr="007245A9">
        <w:rPr>
          <w:szCs w:val="24"/>
        </w:rPr>
        <w:t>The discharge of the applicant from the Police Service by the 2</w:t>
      </w:r>
      <w:r w:rsidRPr="007245A9">
        <w:rPr>
          <w:szCs w:val="24"/>
          <w:vertAlign w:val="superscript"/>
        </w:rPr>
        <w:t>nd</w:t>
      </w:r>
      <w:r w:rsidRPr="007245A9">
        <w:rPr>
          <w:szCs w:val="24"/>
        </w:rPr>
        <w:t xml:space="preserve"> respondent is hereby declared unlawful and wrongful.</w:t>
      </w:r>
    </w:p>
    <w:p w:rsidR="003F17F6" w:rsidRPr="007245A9" w:rsidRDefault="003F17F6" w:rsidP="007245A9">
      <w:pPr>
        <w:pStyle w:val="NoSpacing"/>
        <w:numPr>
          <w:ilvl w:val="0"/>
          <w:numId w:val="1"/>
        </w:numPr>
        <w:jc w:val="both"/>
        <w:rPr>
          <w:szCs w:val="24"/>
        </w:rPr>
      </w:pPr>
      <w:r w:rsidRPr="007245A9">
        <w:rPr>
          <w:szCs w:val="24"/>
        </w:rPr>
        <w:t>The 2</w:t>
      </w:r>
      <w:r w:rsidRPr="007245A9">
        <w:rPr>
          <w:szCs w:val="24"/>
          <w:vertAlign w:val="superscript"/>
        </w:rPr>
        <w:t>nd</w:t>
      </w:r>
      <w:r w:rsidRPr="007245A9">
        <w:rPr>
          <w:szCs w:val="24"/>
        </w:rPr>
        <w:t xml:space="preserve"> and 3</w:t>
      </w:r>
      <w:r w:rsidRPr="007245A9">
        <w:rPr>
          <w:szCs w:val="24"/>
          <w:vertAlign w:val="superscript"/>
        </w:rPr>
        <w:t>rd</w:t>
      </w:r>
      <w:r w:rsidRPr="007245A9">
        <w:rPr>
          <w:szCs w:val="24"/>
        </w:rPr>
        <w:t xml:space="preserve"> respondents are ordered to reinstate the applicant into the Police Service without loss of salary and benefits.</w:t>
      </w:r>
    </w:p>
    <w:p w:rsidR="00CC3532" w:rsidRPr="007245A9" w:rsidRDefault="00CC3532" w:rsidP="007245A9">
      <w:pPr>
        <w:pStyle w:val="NoSpacing"/>
        <w:numPr>
          <w:ilvl w:val="0"/>
          <w:numId w:val="1"/>
        </w:numPr>
        <w:jc w:val="both"/>
        <w:rPr>
          <w:szCs w:val="24"/>
        </w:rPr>
      </w:pPr>
      <w:r w:rsidRPr="007245A9">
        <w:rPr>
          <w:szCs w:val="24"/>
        </w:rPr>
        <w:t>The respondents are ordered to pay the costs of suit on a punitive scale.”</w:t>
      </w:r>
    </w:p>
    <w:p w:rsidR="00CC3532" w:rsidRPr="007245A9" w:rsidRDefault="00CC3532" w:rsidP="007245A9">
      <w:pPr>
        <w:ind w:firstLine="720"/>
        <w:jc w:val="both"/>
        <w:rPr>
          <w:szCs w:val="24"/>
        </w:rPr>
      </w:pPr>
      <w:r w:rsidRPr="007245A9">
        <w:rPr>
          <w:szCs w:val="24"/>
        </w:rPr>
        <w:t>Applicant is one of those naughty police officer</w:t>
      </w:r>
      <w:r w:rsidR="00EB509E" w:rsidRPr="007245A9">
        <w:rPr>
          <w:szCs w:val="24"/>
        </w:rPr>
        <w:t>s</w:t>
      </w:r>
      <w:r w:rsidRPr="007245A9">
        <w:rPr>
          <w:szCs w:val="24"/>
        </w:rPr>
        <w:t xml:space="preserve"> who</w:t>
      </w:r>
      <w:r w:rsidR="009966F8" w:rsidRPr="007245A9">
        <w:rPr>
          <w:szCs w:val="24"/>
        </w:rPr>
        <w:t xml:space="preserve"> when its checkmate attempt to </w:t>
      </w:r>
      <w:r w:rsidR="00995E9D" w:rsidRPr="007245A9">
        <w:rPr>
          <w:szCs w:val="24"/>
        </w:rPr>
        <w:t>wr</w:t>
      </w:r>
      <w:r w:rsidR="00995E9D">
        <w:rPr>
          <w:szCs w:val="24"/>
        </w:rPr>
        <w:t>i</w:t>
      </w:r>
      <w:r w:rsidR="00995E9D" w:rsidRPr="007245A9">
        <w:rPr>
          <w:szCs w:val="24"/>
        </w:rPr>
        <w:t>ggle</w:t>
      </w:r>
      <w:r w:rsidR="009966F8" w:rsidRPr="007245A9">
        <w:rPr>
          <w:szCs w:val="24"/>
        </w:rPr>
        <w:t xml:space="preserve"> out through filing frivolous</w:t>
      </w:r>
      <w:r w:rsidR="005F6C9C">
        <w:rPr>
          <w:szCs w:val="24"/>
        </w:rPr>
        <w:t xml:space="preserve"> and</w:t>
      </w:r>
      <w:r w:rsidR="009966F8" w:rsidRPr="007245A9">
        <w:rPr>
          <w:szCs w:val="24"/>
        </w:rPr>
        <w:t xml:space="preserve"> vexatious applications with this </w:t>
      </w:r>
      <w:r w:rsidR="005F6C9C">
        <w:rPr>
          <w:szCs w:val="24"/>
        </w:rPr>
        <w:t>C</w:t>
      </w:r>
      <w:r w:rsidR="009966F8" w:rsidRPr="007245A9">
        <w:rPr>
          <w:szCs w:val="24"/>
        </w:rPr>
        <w:t xml:space="preserve">ourt.  It appears they only realise the value of their contracts of employment </w:t>
      </w:r>
      <w:r w:rsidR="009966F8" w:rsidRPr="005F6C9C">
        <w:rPr>
          <w:i/>
          <w:szCs w:val="24"/>
        </w:rPr>
        <w:t>post facto</w:t>
      </w:r>
      <w:r w:rsidR="009966F8" w:rsidRPr="007245A9">
        <w:rPr>
          <w:szCs w:val="24"/>
        </w:rPr>
        <w:t>.  When they do realise or pretend to realise, the majority of them run to one l</w:t>
      </w:r>
      <w:r w:rsidR="00EB509E" w:rsidRPr="007245A9">
        <w:rPr>
          <w:szCs w:val="24"/>
        </w:rPr>
        <w:t>a</w:t>
      </w:r>
      <w:r w:rsidR="009966F8" w:rsidRPr="007245A9">
        <w:rPr>
          <w:szCs w:val="24"/>
        </w:rPr>
        <w:t>w firm for salvation.</w:t>
      </w:r>
    </w:p>
    <w:p w:rsidR="009966F8" w:rsidRPr="007245A9" w:rsidRDefault="009966F8" w:rsidP="007245A9">
      <w:pPr>
        <w:jc w:val="both"/>
        <w:rPr>
          <w:b/>
          <w:szCs w:val="24"/>
        </w:rPr>
      </w:pPr>
      <w:r w:rsidRPr="007245A9">
        <w:rPr>
          <w:b/>
          <w:szCs w:val="24"/>
        </w:rPr>
        <w:lastRenderedPageBreak/>
        <w:t>Background facts</w:t>
      </w:r>
    </w:p>
    <w:p w:rsidR="009966F8" w:rsidRPr="007245A9" w:rsidRDefault="009966F8" w:rsidP="007245A9">
      <w:pPr>
        <w:jc w:val="both"/>
        <w:rPr>
          <w:szCs w:val="24"/>
        </w:rPr>
      </w:pPr>
      <w:r w:rsidRPr="007245A9">
        <w:rPr>
          <w:szCs w:val="24"/>
        </w:rPr>
        <w:tab/>
        <w:t>Applicant</w:t>
      </w:r>
      <w:r w:rsidR="00E23E71" w:rsidRPr="007245A9">
        <w:rPr>
          <w:szCs w:val="24"/>
        </w:rPr>
        <w:t xml:space="preserve"> was employed by the 4</w:t>
      </w:r>
      <w:r w:rsidR="00E23E71" w:rsidRPr="007245A9">
        <w:rPr>
          <w:szCs w:val="24"/>
          <w:vertAlign w:val="superscript"/>
        </w:rPr>
        <w:t>th</w:t>
      </w:r>
      <w:r w:rsidR="00E23E71" w:rsidRPr="007245A9">
        <w:rPr>
          <w:szCs w:val="24"/>
        </w:rPr>
        <w:t xml:space="preserve"> respondent and was stationed at Zimbabwe Republic Police</w:t>
      </w:r>
      <w:r w:rsidR="009530CF" w:rsidRPr="007245A9">
        <w:rPr>
          <w:szCs w:val="24"/>
        </w:rPr>
        <w:t>,</w:t>
      </w:r>
      <w:r w:rsidR="00E23E71" w:rsidRPr="007245A9">
        <w:rPr>
          <w:szCs w:val="24"/>
        </w:rPr>
        <w:t xml:space="preserve"> Mwenezi.  On 27 May 2016 applicant was duly convicted of fraud by a magistrate at Mwenezi Magistrates’ Court.  He was sentenced as follows:</w:t>
      </w:r>
    </w:p>
    <w:p w:rsidR="00E23E71" w:rsidRPr="007245A9" w:rsidRDefault="00E23E71" w:rsidP="007245A9">
      <w:pPr>
        <w:pStyle w:val="NoSpacing"/>
        <w:ind w:left="720"/>
        <w:jc w:val="both"/>
        <w:rPr>
          <w:szCs w:val="24"/>
        </w:rPr>
      </w:pPr>
      <w:r w:rsidRPr="007245A9">
        <w:rPr>
          <w:szCs w:val="24"/>
        </w:rPr>
        <w:t>“18 months imprisonment of which 6 months imprisonment is su</w:t>
      </w:r>
      <w:r w:rsidR="009530CF" w:rsidRPr="007245A9">
        <w:rPr>
          <w:szCs w:val="24"/>
        </w:rPr>
        <w:t>s</w:t>
      </w:r>
      <w:r w:rsidRPr="007245A9">
        <w:rPr>
          <w:szCs w:val="24"/>
        </w:rPr>
        <w:t xml:space="preserve">pended for 5 years on condition accused does not within that period commit an offence involving dishonesty for which upon conviction he will be sentenced to imprisonment without the option of a fine.  The remaining 12 months imprisonment is suspended on condition accused performs 420 hours of community service at Chamatundu Primary School starting 27 May 2016 …”  See annexure “A” </w:t>
      </w:r>
      <w:r w:rsidR="002E5619" w:rsidRPr="007245A9">
        <w:rPr>
          <w:szCs w:val="24"/>
        </w:rPr>
        <w:t>on page 14 of the record of proceedings.</w:t>
      </w:r>
    </w:p>
    <w:p w:rsidR="002E5619" w:rsidRPr="007245A9" w:rsidRDefault="002E5619" w:rsidP="007245A9">
      <w:pPr>
        <w:jc w:val="both"/>
        <w:rPr>
          <w:szCs w:val="24"/>
        </w:rPr>
      </w:pPr>
      <w:r w:rsidRPr="007245A9">
        <w:rPr>
          <w:szCs w:val="24"/>
        </w:rPr>
        <w:tab/>
        <w:t>Following his conviction and sentence, the 2</w:t>
      </w:r>
      <w:r w:rsidRPr="007245A9">
        <w:rPr>
          <w:szCs w:val="24"/>
          <w:vertAlign w:val="superscript"/>
        </w:rPr>
        <w:t>nd</w:t>
      </w:r>
      <w:r w:rsidRPr="007245A9">
        <w:rPr>
          <w:szCs w:val="24"/>
        </w:rPr>
        <w:t xml:space="preserve"> respondent discharged the applicant from the Police Service with effect from 17 June 2017.  The 2</w:t>
      </w:r>
      <w:r w:rsidRPr="007245A9">
        <w:rPr>
          <w:szCs w:val="24"/>
          <w:vertAlign w:val="superscript"/>
        </w:rPr>
        <w:t>nd</w:t>
      </w:r>
      <w:r w:rsidRPr="007245A9">
        <w:rPr>
          <w:szCs w:val="24"/>
        </w:rPr>
        <w:t xml:space="preserve"> respondent </w:t>
      </w:r>
      <w:r w:rsidR="005F6C9C">
        <w:rPr>
          <w:szCs w:val="24"/>
        </w:rPr>
        <w:t>ac</w:t>
      </w:r>
      <w:r w:rsidRPr="007245A9">
        <w:rPr>
          <w:szCs w:val="24"/>
        </w:rPr>
        <w:t>ted in terms of section 48 of the Police Act.  The discharge was communicated to the applicant through a radio signal DIS 4</w:t>
      </w:r>
      <w:r w:rsidR="009530CF" w:rsidRPr="007245A9">
        <w:rPr>
          <w:szCs w:val="24"/>
        </w:rPr>
        <w:t>79/16 dispatched on 16 June 2016</w:t>
      </w:r>
      <w:r w:rsidRPr="007245A9">
        <w:rPr>
          <w:szCs w:val="24"/>
        </w:rPr>
        <w:t xml:space="preserve"> to the 1</w:t>
      </w:r>
      <w:r w:rsidRPr="007245A9">
        <w:rPr>
          <w:szCs w:val="24"/>
          <w:vertAlign w:val="superscript"/>
        </w:rPr>
        <w:t>st</w:t>
      </w:r>
      <w:r w:rsidRPr="007245A9">
        <w:rPr>
          <w:szCs w:val="24"/>
        </w:rPr>
        <w:t xml:space="preserve"> respondent among others.  The full radio signal appears on page</w:t>
      </w:r>
      <w:r w:rsidR="005963BE" w:rsidRPr="007245A9">
        <w:rPr>
          <w:szCs w:val="24"/>
        </w:rPr>
        <w:t xml:space="preserve"> 15 of the record as annexure “B”.  It reads in part:</w:t>
      </w:r>
    </w:p>
    <w:p w:rsidR="005963BE" w:rsidRPr="007245A9" w:rsidRDefault="005963BE" w:rsidP="007245A9">
      <w:pPr>
        <w:pStyle w:val="NoSpacing"/>
        <w:ind w:left="720"/>
        <w:jc w:val="both"/>
        <w:rPr>
          <w:szCs w:val="24"/>
        </w:rPr>
      </w:pPr>
      <w:r w:rsidRPr="007245A9">
        <w:rPr>
          <w:szCs w:val="24"/>
        </w:rPr>
        <w:t xml:space="preserve">“Be advised that the above named member was discharged from the Police Service for </w:t>
      </w:r>
      <w:r w:rsidRPr="007245A9">
        <w:rPr>
          <w:szCs w:val="24"/>
          <w:u w:val="single"/>
        </w:rPr>
        <w:t>Misconduct</w:t>
      </w:r>
      <w:r w:rsidRPr="007245A9">
        <w:rPr>
          <w:szCs w:val="24"/>
        </w:rPr>
        <w:t xml:space="preserve"> on 17 June 201</w:t>
      </w:r>
      <w:r w:rsidR="009530CF" w:rsidRPr="007245A9">
        <w:rPr>
          <w:szCs w:val="24"/>
        </w:rPr>
        <w:t>6</w:t>
      </w:r>
      <w:r w:rsidRPr="007245A9">
        <w:rPr>
          <w:szCs w:val="24"/>
        </w:rPr>
        <w:t xml:space="preserve"> repeat on 17 June 2016.  STOP”.  (my emphasis)</w:t>
      </w:r>
    </w:p>
    <w:p w:rsidR="005963BE" w:rsidRPr="007245A9" w:rsidRDefault="005963BE" w:rsidP="007245A9">
      <w:pPr>
        <w:ind w:firstLine="720"/>
        <w:jc w:val="both"/>
        <w:rPr>
          <w:szCs w:val="24"/>
        </w:rPr>
      </w:pPr>
      <w:r w:rsidRPr="007245A9">
        <w:rPr>
          <w:szCs w:val="24"/>
        </w:rPr>
        <w:t>The radio signal was served upon the applicant personally by the 1</w:t>
      </w:r>
      <w:r w:rsidRPr="007245A9">
        <w:rPr>
          <w:szCs w:val="24"/>
          <w:vertAlign w:val="superscript"/>
        </w:rPr>
        <w:t>st</w:t>
      </w:r>
      <w:r w:rsidRPr="007245A9">
        <w:rPr>
          <w:szCs w:val="24"/>
        </w:rPr>
        <w:t xml:space="preserve"> respondent on 18 June 2016.  Despite this knowledge, applicant did nothing to remedy the situation.  He did not challenge the 2</w:t>
      </w:r>
      <w:r w:rsidRPr="007245A9">
        <w:rPr>
          <w:szCs w:val="24"/>
          <w:vertAlign w:val="superscript"/>
        </w:rPr>
        <w:t>nd</w:t>
      </w:r>
      <w:r w:rsidRPr="007245A9">
        <w:rPr>
          <w:szCs w:val="24"/>
        </w:rPr>
        <w:t xml:space="preserve"> respondent’s decision by way of review which option was open </w:t>
      </w:r>
      <w:r w:rsidR="005F6C9C">
        <w:rPr>
          <w:szCs w:val="24"/>
        </w:rPr>
        <w:t>to</w:t>
      </w:r>
      <w:r w:rsidRPr="007245A9">
        <w:rPr>
          <w:szCs w:val="24"/>
        </w:rPr>
        <w:t xml:space="preserve"> him.  Instead he waited for 16 months before filing this app</w:t>
      </w:r>
      <w:r w:rsidR="009530CF" w:rsidRPr="007245A9">
        <w:rPr>
          <w:szCs w:val="24"/>
        </w:rPr>
        <w:t>lication for a d</w:t>
      </w:r>
      <w:r w:rsidRPr="007245A9">
        <w:rPr>
          <w:szCs w:val="24"/>
        </w:rPr>
        <w:t>eclaratur.</w:t>
      </w:r>
    </w:p>
    <w:p w:rsidR="005963BE" w:rsidRPr="007245A9" w:rsidRDefault="00EB509E" w:rsidP="007245A9">
      <w:pPr>
        <w:jc w:val="both"/>
        <w:rPr>
          <w:szCs w:val="24"/>
        </w:rPr>
      </w:pPr>
      <w:r w:rsidRPr="007245A9">
        <w:rPr>
          <w:szCs w:val="24"/>
        </w:rPr>
        <w:tab/>
        <w:t xml:space="preserve">Applicant’s argument goes like this.  He is entitled to the </w:t>
      </w:r>
      <w:r w:rsidR="009530CF" w:rsidRPr="007245A9">
        <w:rPr>
          <w:szCs w:val="24"/>
        </w:rPr>
        <w:t>d</w:t>
      </w:r>
      <w:r w:rsidRPr="007245A9">
        <w:rPr>
          <w:szCs w:val="24"/>
        </w:rPr>
        <w:t>eclaratur because his dismissal is unlawful and wrongful on the ground that he was not furnished with reasons for the discharge.  He denies being served with the radio signal.  However he has chosen to be mean on the criminal conviction and sentence on a charge of fraud.  No reference is made to this fact in the founding affidavit.  Applicant’s main contention is captured in paragraph 13 of his founding affidavit wherein he stated:</w:t>
      </w:r>
    </w:p>
    <w:p w:rsidR="00EB509E" w:rsidRPr="007245A9" w:rsidRDefault="005F6C9C" w:rsidP="007245A9">
      <w:pPr>
        <w:pStyle w:val="NoSpacing"/>
        <w:ind w:left="1440" w:hanging="720"/>
        <w:jc w:val="both"/>
        <w:rPr>
          <w:szCs w:val="24"/>
        </w:rPr>
      </w:pPr>
      <w:r>
        <w:rPr>
          <w:szCs w:val="24"/>
        </w:rPr>
        <w:lastRenderedPageBreak/>
        <w:t>“</w:t>
      </w:r>
      <w:r w:rsidR="00EB509E" w:rsidRPr="007245A9">
        <w:rPr>
          <w:szCs w:val="24"/>
        </w:rPr>
        <w:t>13.</w:t>
      </w:r>
      <w:r w:rsidR="00EB509E" w:rsidRPr="007245A9">
        <w:rPr>
          <w:szCs w:val="24"/>
        </w:rPr>
        <w:tab/>
        <w:t>I have not been able to get the reason why I was discharged from the police service up to this day”</w:t>
      </w:r>
    </w:p>
    <w:p w:rsidR="00EB509E" w:rsidRPr="007245A9" w:rsidRDefault="00EB509E" w:rsidP="007245A9">
      <w:pPr>
        <w:jc w:val="both"/>
        <w:rPr>
          <w:szCs w:val="24"/>
        </w:rPr>
      </w:pPr>
      <w:r w:rsidRPr="007245A9">
        <w:rPr>
          <w:szCs w:val="24"/>
        </w:rPr>
        <w:tab/>
        <w:t xml:space="preserve">On this basis, applicant contends that the failure by the respondent as to promptly supply written reasons is a </w:t>
      </w:r>
      <w:r w:rsidR="005F6C9C">
        <w:rPr>
          <w:szCs w:val="24"/>
        </w:rPr>
        <w:t xml:space="preserve">clear </w:t>
      </w:r>
      <w:r w:rsidRPr="007245A9">
        <w:rPr>
          <w:szCs w:val="24"/>
        </w:rPr>
        <w:t>v</w:t>
      </w:r>
      <w:r w:rsidR="005F6C9C">
        <w:rPr>
          <w:szCs w:val="24"/>
        </w:rPr>
        <w:t>iola</w:t>
      </w:r>
      <w:r w:rsidRPr="007245A9">
        <w:rPr>
          <w:szCs w:val="24"/>
        </w:rPr>
        <w:t>tion of section 68 (2) of the Constitution of Zimbabwe Amendment (No. 20) Act 2</w:t>
      </w:r>
      <w:r w:rsidR="005F6C9C">
        <w:rPr>
          <w:szCs w:val="24"/>
        </w:rPr>
        <w:t>01</w:t>
      </w:r>
      <w:r w:rsidRPr="007245A9">
        <w:rPr>
          <w:szCs w:val="24"/>
        </w:rPr>
        <w:t>3.</w:t>
      </w:r>
    </w:p>
    <w:p w:rsidR="00EB509E" w:rsidRPr="007245A9" w:rsidRDefault="00EB509E" w:rsidP="007245A9">
      <w:pPr>
        <w:jc w:val="both"/>
        <w:rPr>
          <w:szCs w:val="24"/>
        </w:rPr>
      </w:pPr>
      <w:r w:rsidRPr="007245A9">
        <w:rPr>
          <w:szCs w:val="24"/>
        </w:rPr>
        <w:tab/>
        <w:t xml:space="preserve">Applicant’s core argument is brought out in paragraph 16 of his heads of argument where </w:t>
      </w:r>
      <w:r w:rsidR="003F74D9" w:rsidRPr="007245A9">
        <w:rPr>
          <w:szCs w:val="24"/>
        </w:rPr>
        <w:t>he states;</w:t>
      </w:r>
    </w:p>
    <w:p w:rsidR="003F74D9" w:rsidRPr="007245A9" w:rsidRDefault="003F74D9" w:rsidP="007245A9">
      <w:pPr>
        <w:pStyle w:val="NoSpacing"/>
        <w:ind w:left="720"/>
        <w:jc w:val="both"/>
        <w:rPr>
          <w:szCs w:val="24"/>
        </w:rPr>
      </w:pPr>
      <w:r w:rsidRPr="007245A9">
        <w:rPr>
          <w:szCs w:val="24"/>
        </w:rPr>
        <w:t xml:space="preserve">“If it is not in dispute that the right to reasons is a constitutional right and that the Constitution of Zimbabwe is the supreme law of the land, any law which purports to sanction that which the Constitution prohibits should be declared unconstitutional to the extent of the inconsistency.  </w:t>
      </w:r>
      <w:r w:rsidRPr="007245A9">
        <w:rPr>
          <w:szCs w:val="24"/>
          <w:u w:val="single"/>
        </w:rPr>
        <w:t>No law can then purport to say reasons should be requested for which the Constitution itself does not say so.”</w:t>
      </w:r>
      <w:r w:rsidRPr="007245A9">
        <w:rPr>
          <w:szCs w:val="24"/>
        </w:rPr>
        <w:t xml:space="preserve">  (my emphasis)</w:t>
      </w:r>
    </w:p>
    <w:p w:rsidR="003F74D9" w:rsidRPr="007245A9" w:rsidRDefault="003F74D9" w:rsidP="007245A9">
      <w:pPr>
        <w:jc w:val="both"/>
        <w:rPr>
          <w:szCs w:val="24"/>
        </w:rPr>
      </w:pPr>
      <w:r w:rsidRPr="007245A9">
        <w:rPr>
          <w:szCs w:val="24"/>
        </w:rPr>
        <w:tab/>
        <w:t xml:space="preserve">Clearly, applicant had in mind here the provisions of the Administrative Justice Act (Chapter 10:28) which </w:t>
      </w:r>
      <w:r w:rsidRPr="005F6C9C">
        <w:rPr>
          <w:i/>
          <w:szCs w:val="24"/>
        </w:rPr>
        <w:t>inter ali</w:t>
      </w:r>
      <w:r w:rsidRPr="007245A9">
        <w:rPr>
          <w:szCs w:val="24"/>
        </w:rPr>
        <w:t>a requires that in such cas</w:t>
      </w:r>
      <w:r w:rsidR="009530CF" w:rsidRPr="007245A9">
        <w:rPr>
          <w:szCs w:val="24"/>
        </w:rPr>
        <w:t>e</w:t>
      </w:r>
      <w:r w:rsidRPr="007245A9">
        <w:rPr>
          <w:szCs w:val="24"/>
        </w:rPr>
        <w:t>s, reasons should be requested by the person requiring them.</w:t>
      </w:r>
    </w:p>
    <w:p w:rsidR="003F74D9" w:rsidRPr="007245A9" w:rsidRDefault="003F74D9" w:rsidP="007245A9">
      <w:pPr>
        <w:jc w:val="both"/>
        <w:rPr>
          <w:szCs w:val="24"/>
        </w:rPr>
      </w:pPr>
      <w:r w:rsidRPr="007245A9">
        <w:rPr>
          <w:szCs w:val="24"/>
        </w:rPr>
        <w:tab/>
        <w:t>Throughout the pleadings the parties agreed that the sole issue for</w:t>
      </w:r>
      <w:r w:rsidR="00305C30" w:rsidRPr="007245A9">
        <w:rPr>
          <w:szCs w:val="24"/>
        </w:rPr>
        <w:t xml:space="preserve"> determination is whether or not the discharge of the applicant without being furnished with reasons is lawful.  Parties filed their heads of argument on this sole issue.  However, during the hearing </w:t>
      </w:r>
      <w:r w:rsidR="00305C30" w:rsidRPr="007245A9">
        <w:rPr>
          <w:i/>
          <w:szCs w:val="24"/>
        </w:rPr>
        <w:t>Mr Mugiya</w:t>
      </w:r>
      <w:r w:rsidR="00305C30" w:rsidRPr="007245A9">
        <w:rPr>
          <w:szCs w:val="24"/>
        </w:rPr>
        <w:t xml:space="preserve"> raised two points </w:t>
      </w:r>
      <w:r w:rsidR="00305C30" w:rsidRPr="007245A9">
        <w:rPr>
          <w:i/>
          <w:szCs w:val="24"/>
        </w:rPr>
        <w:t>in limine</w:t>
      </w:r>
      <w:r w:rsidR="00305C30" w:rsidRPr="007245A9">
        <w:rPr>
          <w:szCs w:val="24"/>
        </w:rPr>
        <w:t xml:space="preserve"> namely; (a) the opposing papers we</w:t>
      </w:r>
      <w:r w:rsidR="009530CF" w:rsidRPr="007245A9">
        <w:rPr>
          <w:szCs w:val="24"/>
        </w:rPr>
        <w:t>r</w:t>
      </w:r>
      <w:r w:rsidR="00305C30" w:rsidRPr="007245A9">
        <w:rPr>
          <w:szCs w:val="24"/>
        </w:rPr>
        <w:t>e filed out of time  in v</w:t>
      </w:r>
      <w:r w:rsidR="005F6C9C">
        <w:rPr>
          <w:szCs w:val="24"/>
        </w:rPr>
        <w:t>iolat</w:t>
      </w:r>
      <w:r w:rsidR="00305C30" w:rsidRPr="007245A9">
        <w:rPr>
          <w:szCs w:val="24"/>
        </w:rPr>
        <w:t xml:space="preserve">ion of </w:t>
      </w:r>
      <w:r w:rsidR="005F6C9C">
        <w:rPr>
          <w:szCs w:val="24"/>
        </w:rPr>
        <w:t>O</w:t>
      </w:r>
      <w:r w:rsidR="00305C30" w:rsidRPr="007245A9">
        <w:rPr>
          <w:szCs w:val="24"/>
        </w:rPr>
        <w:t>32 r232 of the High Court Rules 1971 and (b) the opposing affidavits of 1</w:t>
      </w:r>
      <w:r w:rsidR="00305C30" w:rsidRPr="007245A9">
        <w:rPr>
          <w:szCs w:val="24"/>
          <w:vertAlign w:val="superscript"/>
        </w:rPr>
        <w:t>st</w:t>
      </w:r>
      <w:r w:rsidR="00305C30" w:rsidRPr="007245A9">
        <w:rPr>
          <w:szCs w:val="24"/>
        </w:rPr>
        <w:t>, 2</w:t>
      </w:r>
      <w:r w:rsidR="00305C30" w:rsidRPr="007245A9">
        <w:rPr>
          <w:szCs w:val="24"/>
          <w:vertAlign w:val="superscript"/>
        </w:rPr>
        <w:t>nd</w:t>
      </w:r>
      <w:r w:rsidR="00305C30" w:rsidRPr="007245A9">
        <w:rPr>
          <w:szCs w:val="24"/>
        </w:rPr>
        <w:t xml:space="preserve"> and 4</w:t>
      </w:r>
      <w:r w:rsidR="00305C30" w:rsidRPr="007245A9">
        <w:rPr>
          <w:szCs w:val="24"/>
          <w:vertAlign w:val="superscript"/>
        </w:rPr>
        <w:t>th</w:t>
      </w:r>
      <w:r w:rsidR="00305C30" w:rsidRPr="007245A9">
        <w:rPr>
          <w:szCs w:val="24"/>
        </w:rPr>
        <w:t xml:space="preserve"> respondents were not properly commissioned.</w:t>
      </w:r>
    </w:p>
    <w:p w:rsidR="00305C30" w:rsidRPr="007245A9" w:rsidRDefault="00305C30" w:rsidP="007245A9">
      <w:pPr>
        <w:jc w:val="both"/>
        <w:rPr>
          <w:szCs w:val="24"/>
        </w:rPr>
      </w:pPr>
      <w:r w:rsidRPr="007245A9">
        <w:rPr>
          <w:szCs w:val="24"/>
        </w:rPr>
        <w:tab/>
        <w:t>The application was opposed by all the respondents.  As regards the 1</w:t>
      </w:r>
      <w:r w:rsidRPr="007245A9">
        <w:rPr>
          <w:szCs w:val="24"/>
          <w:vertAlign w:val="superscript"/>
        </w:rPr>
        <w:t>st</w:t>
      </w:r>
      <w:r w:rsidRPr="007245A9">
        <w:rPr>
          <w:szCs w:val="24"/>
        </w:rPr>
        <w:t xml:space="preserve"> point</w:t>
      </w:r>
      <w:r w:rsidR="009530CF" w:rsidRPr="007245A9">
        <w:rPr>
          <w:szCs w:val="24"/>
        </w:rPr>
        <w:t xml:space="preserve"> </w:t>
      </w:r>
      <w:r w:rsidRPr="007245A9">
        <w:rPr>
          <w:i/>
          <w:szCs w:val="24"/>
        </w:rPr>
        <w:t>in limine</w:t>
      </w:r>
      <w:r w:rsidRPr="007245A9">
        <w:rPr>
          <w:szCs w:val="24"/>
        </w:rPr>
        <w:t xml:space="preserve">, </w:t>
      </w:r>
      <w:r w:rsidRPr="007245A9">
        <w:rPr>
          <w:i/>
          <w:szCs w:val="24"/>
        </w:rPr>
        <w:t>Mr Dube</w:t>
      </w:r>
      <w:r w:rsidRPr="007245A9">
        <w:rPr>
          <w:szCs w:val="24"/>
        </w:rPr>
        <w:t xml:space="preserve"> for the respondents submitted that respondents’ papers were filed within the </w:t>
      </w:r>
      <w:r w:rsidRPr="007245A9">
        <w:rPr>
          <w:i/>
          <w:szCs w:val="24"/>
        </w:rPr>
        <w:t>dies induc</w:t>
      </w:r>
      <w:r w:rsidR="005F6C9C">
        <w:rPr>
          <w:i/>
          <w:szCs w:val="24"/>
        </w:rPr>
        <w:t>iae</w:t>
      </w:r>
      <w:r w:rsidRPr="007245A9">
        <w:rPr>
          <w:szCs w:val="24"/>
        </w:rPr>
        <w:t xml:space="preserve"> in view of the fact that respondents a</w:t>
      </w:r>
      <w:r w:rsidR="009530CF" w:rsidRPr="007245A9">
        <w:rPr>
          <w:szCs w:val="24"/>
        </w:rPr>
        <w:t>r</w:t>
      </w:r>
      <w:r w:rsidRPr="007245A9">
        <w:rPr>
          <w:szCs w:val="24"/>
        </w:rPr>
        <w:t>e resident more than 400km away from the court house.  They therefore added two more days to the ten day period.</w:t>
      </w:r>
      <w:r w:rsidR="00AB5683" w:rsidRPr="007245A9">
        <w:rPr>
          <w:szCs w:val="24"/>
        </w:rPr>
        <w:t xml:space="preserve">  On the merits, respondents insisted that applicant was served with the radio signal which g</w:t>
      </w:r>
      <w:r w:rsidR="009530CF" w:rsidRPr="007245A9">
        <w:rPr>
          <w:szCs w:val="24"/>
        </w:rPr>
        <w:t>ave the reason for dismissal as</w:t>
      </w:r>
      <w:r w:rsidR="00AB5683" w:rsidRPr="007245A9">
        <w:rPr>
          <w:szCs w:val="24"/>
        </w:rPr>
        <w:t xml:space="preserve"> “misconduct”.  They also argued that in any event the applicant, with four years experience as a police officer behind him knew that one may be discharged upon being sentenced to a term of </w:t>
      </w:r>
      <w:r w:rsidR="00AB5683" w:rsidRPr="007245A9">
        <w:rPr>
          <w:szCs w:val="24"/>
        </w:rPr>
        <w:lastRenderedPageBreak/>
        <w:t>imprisonment without an option of a fine in terms of s48 of the Police Act.  It is common cause that applicant’s case falls within this cat</w:t>
      </w:r>
      <w:r w:rsidR="001050A0" w:rsidRPr="007245A9">
        <w:rPr>
          <w:szCs w:val="24"/>
        </w:rPr>
        <w:t>e</w:t>
      </w:r>
      <w:r w:rsidR="00AB5683" w:rsidRPr="007245A9">
        <w:rPr>
          <w:szCs w:val="24"/>
        </w:rPr>
        <w:t>gory.</w:t>
      </w:r>
    </w:p>
    <w:p w:rsidR="00AB5683" w:rsidRPr="007245A9" w:rsidRDefault="00AB5683" w:rsidP="007245A9">
      <w:pPr>
        <w:jc w:val="both"/>
        <w:rPr>
          <w:szCs w:val="24"/>
        </w:rPr>
      </w:pPr>
      <w:r w:rsidRPr="007245A9">
        <w:rPr>
          <w:szCs w:val="24"/>
        </w:rPr>
        <w:tab/>
        <w:t>As regards the interpretation of s68 (2) of the Constitution, th</w:t>
      </w:r>
      <w:r w:rsidR="001050A0" w:rsidRPr="007245A9">
        <w:rPr>
          <w:szCs w:val="24"/>
        </w:rPr>
        <w:t>e</w:t>
      </w:r>
      <w:r w:rsidRPr="007245A9">
        <w:rPr>
          <w:szCs w:val="24"/>
        </w:rPr>
        <w:t xml:space="preserve"> respondents relied on </w:t>
      </w:r>
      <w:r w:rsidR="001050A0" w:rsidRPr="007245A9">
        <w:rPr>
          <w:szCs w:val="24"/>
        </w:rPr>
        <w:t>s</w:t>
      </w:r>
      <w:r w:rsidRPr="007245A9">
        <w:rPr>
          <w:szCs w:val="24"/>
        </w:rPr>
        <w:t>ections 3 and 6 of the Administr</w:t>
      </w:r>
      <w:r w:rsidR="001050A0" w:rsidRPr="007245A9">
        <w:rPr>
          <w:szCs w:val="24"/>
        </w:rPr>
        <w:t>a</w:t>
      </w:r>
      <w:r w:rsidRPr="007245A9">
        <w:rPr>
          <w:szCs w:val="24"/>
        </w:rPr>
        <w:t xml:space="preserve">tive Justice Act on the duty of an administrative authority to furnish a person with reasons.  They argued that in terms of these provisions there is a two stage approach.  Firstly, the person concerned must request to be supplied with reasons for the decision.  Secondly, </w:t>
      </w:r>
      <w:r w:rsidR="005F6C9C">
        <w:rPr>
          <w:szCs w:val="24"/>
        </w:rPr>
        <w:t xml:space="preserve">if </w:t>
      </w:r>
      <w:r w:rsidRPr="007245A9">
        <w:rPr>
          <w:szCs w:val="24"/>
        </w:rPr>
        <w:t>the person concerned is not furnished with reasons after</w:t>
      </w:r>
      <w:r w:rsidR="000226D6" w:rsidRPr="007245A9">
        <w:rPr>
          <w:szCs w:val="24"/>
        </w:rPr>
        <w:t xml:space="preserve"> a reasonable period may apply to the High Court for an order compelling the administrative authority to supply reasons in terms of the Administrative Justice Act.</w:t>
      </w:r>
    </w:p>
    <w:p w:rsidR="000226D6" w:rsidRPr="007245A9" w:rsidRDefault="000226D6" w:rsidP="007245A9">
      <w:pPr>
        <w:jc w:val="both"/>
        <w:rPr>
          <w:szCs w:val="24"/>
        </w:rPr>
      </w:pPr>
      <w:r w:rsidRPr="007245A9">
        <w:rPr>
          <w:szCs w:val="24"/>
        </w:rPr>
        <w:tab/>
        <w:t xml:space="preserve">Let me deal with the points </w:t>
      </w:r>
      <w:r w:rsidRPr="005F6C9C">
        <w:rPr>
          <w:i/>
          <w:szCs w:val="24"/>
        </w:rPr>
        <w:t>in limine</w:t>
      </w:r>
      <w:r w:rsidRPr="007245A9">
        <w:rPr>
          <w:szCs w:val="24"/>
        </w:rPr>
        <w:t xml:space="preserve"> first.  In terms of 032 r232 opposing papers must be filed within ten (10) days.  However where the respondent is more than 200km away from the court house an extra day is added.  The respondents are more than 400km away.  They therefore added 2 extra days and filed their papers on 13 </w:t>
      </w:r>
      <w:r w:rsidR="001050A0" w:rsidRPr="007245A9">
        <w:rPr>
          <w:szCs w:val="24"/>
        </w:rPr>
        <w:t>O</w:t>
      </w:r>
      <w:r w:rsidRPr="007245A9">
        <w:rPr>
          <w:szCs w:val="24"/>
        </w:rPr>
        <w:t>ctober 2017 instead of the 11</w:t>
      </w:r>
      <w:r w:rsidRPr="007245A9">
        <w:rPr>
          <w:szCs w:val="24"/>
          <w:vertAlign w:val="superscript"/>
        </w:rPr>
        <w:t>th</w:t>
      </w:r>
      <w:r w:rsidRPr="007245A9">
        <w:rPr>
          <w:szCs w:val="24"/>
        </w:rPr>
        <w:t xml:space="preserve"> f October 2017.  </w:t>
      </w:r>
      <w:r w:rsidRPr="007245A9">
        <w:rPr>
          <w:i/>
          <w:szCs w:val="24"/>
        </w:rPr>
        <w:t>Mr Mugiya</w:t>
      </w:r>
      <w:r w:rsidRPr="007245A9">
        <w:rPr>
          <w:szCs w:val="24"/>
        </w:rPr>
        <w:t xml:space="preserve"> simply said respondent</w:t>
      </w:r>
      <w:r w:rsidR="005F6C9C">
        <w:rPr>
          <w:szCs w:val="24"/>
        </w:rPr>
        <w:t>s</w:t>
      </w:r>
      <w:r w:rsidRPr="007245A9">
        <w:rPr>
          <w:szCs w:val="24"/>
        </w:rPr>
        <w:t xml:space="preserve"> were entitled to add 1 day and not 2.  He did not pro</w:t>
      </w:r>
      <w:r w:rsidR="001050A0" w:rsidRPr="007245A9">
        <w:rPr>
          <w:szCs w:val="24"/>
        </w:rPr>
        <w:t>f</w:t>
      </w:r>
      <w:r w:rsidRPr="007245A9">
        <w:rPr>
          <w:szCs w:val="24"/>
        </w:rPr>
        <w:t>fer any explanation for this</w:t>
      </w:r>
      <w:r w:rsidR="00C11600" w:rsidRPr="007245A9">
        <w:rPr>
          <w:szCs w:val="24"/>
        </w:rPr>
        <w:t xml:space="preserve"> interpretation of r232.  All I can say is that it is patently wrong.  This point </w:t>
      </w:r>
      <w:r w:rsidR="00C11600" w:rsidRPr="007245A9">
        <w:rPr>
          <w:i/>
          <w:szCs w:val="24"/>
        </w:rPr>
        <w:t>in limne</w:t>
      </w:r>
      <w:r w:rsidR="00C11600" w:rsidRPr="007245A9">
        <w:rPr>
          <w:szCs w:val="24"/>
        </w:rPr>
        <w:t xml:space="preserve"> is therefore dismissed.</w:t>
      </w:r>
    </w:p>
    <w:p w:rsidR="00C11600" w:rsidRPr="007245A9" w:rsidRDefault="00C11600" w:rsidP="007245A9">
      <w:pPr>
        <w:jc w:val="both"/>
        <w:rPr>
          <w:szCs w:val="24"/>
        </w:rPr>
      </w:pPr>
      <w:r w:rsidRPr="007245A9">
        <w:rPr>
          <w:szCs w:val="24"/>
        </w:rPr>
        <w:tab/>
        <w:t xml:space="preserve">The second point </w:t>
      </w:r>
      <w:r w:rsidRPr="007245A9">
        <w:rPr>
          <w:i/>
          <w:szCs w:val="24"/>
        </w:rPr>
        <w:t>in limine</w:t>
      </w:r>
      <w:r w:rsidRPr="007245A9">
        <w:rPr>
          <w:szCs w:val="24"/>
        </w:rPr>
        <w:t xml:space="preserve"> is equally without merit.  Applicant’s counsel made </w:t>
      </w:r>
      <w:r w:rsidR="005F6C9C">
        <w:rPr>
          <w:szCs w:val="24"/>
        </w:rPr>
        <w:t xml:space="preserve">a </w:t>
      </w:r>
      <w:r w:rsidRPr="007245A9">
        <w:rPr>
          <w:szCs w:val="24"/>
        </w:rPr>
        <w:t xml:space="preserve">stark naked submission from the bar that the District Registrar Mwenezi is not a </w:t>
      </w:r>
      <w:r w:rsidR="001050A0" w:rsidRPr="007245A9">
        <w:rPr>
          <w:szCs w:val="24"/>
        </w:rPr>
        <w:t>C</w:t>
      </w:r>
      <w:r w:rsidRPr="007245A9">
        <w:rPr>
          <w:szCs w:val="24"/>
        </w:rPr>
        <w:t xml:space="preserve">ommissioner of </w:t>
      </w:r>
      <w:r w:rsidR="001050A0" w:rsidRPr="007245A9">
        <w:rPr>
          <w:szCs w:val="24"/>
        </w:rPr>
        <w:t>O</w:t>
      </w:r>
      <w:r w:rsidRPr="007245A9">
        <w:rPr>
          <w:szCs w:val="24"/>
        </w:rPr>
        <w:t>ath</w:t>
      </w:r>
      <w:r w:rsidR="005F6C9C">
        <w:rPr>
          <w:szCs w:val="24"/>
        </w:rPr>
        <w:t>s</w:t>
      </w:r>
      <w:r w:rsidRPr="007245A9">
        <w:rPr>
          <w:szCs w:val="24"/>
        </w:rPr>
        <w:t xml:space="preserve"> d</w:t>
      </w:r>
      <w:r w:rsidR="001050A0" w:rsidRPr="007245A9">
        <w:rPr>
          <w:szCs w:val="24"/>
        </w:rPr>
        <w:t>e</w:t>
      </w:r>
      <w:r w:rsidRPr="007245A9">
        <w:rPr>
          <w:szCs w:val="24"/>
        </w:rPr>
        <w:t>spite the fact that his name</w:t>
      </w:r>
      <w:r w:rsidR="005F6C9C">
        <w:rPr>
          <w:szCs w:val="24"/>
        </w:rPr>
        <w:t>,</w:t>
      </w:r>
      <w:r w:rsidRPr="007245A9">
        <w:rPr>
          <w:szCs w:val="24"/>
        </w:rPr>
        <w:t xml:space="preserve"> designation and st</w:t>
      </w:r>
      <w:r w:rsidR="001050A0" w:rsidRPr="007245A9">
        <w:rPr>
          <w:szCs w:val="24"/>
        </w:rPr>
        <w:t>a</w:t>
      </w:r>
      <w:r w:rsidRPr="007245A9">
        <w:rPr>
          <w:szCs w:val="24"/>
        </w:rPr>
        <w:t xml:space="preserve">tus as a “Commissioner of </w:t>
      </w:r>
      <w:r w:rsidR="001050A0" w:rsidRPr="007245A9">
        <w:rPr>
          <w:szCs w:val="24"/>
        </w:rPr>
        <w:t>O</w:t>
      </w:r>
      <w:r w:rsidRPr="007245A9">
        <w:rPr>
          <w:szCs w:val="24"/>
        </w:rPr>
        <w:t>aths for Zimbabwe”.  Again without any authority or some legal justification, counsel stated that 2</w:t>
      </w:r>
      <w:r w:rsidRPr="007245A9">
        <w:rPr>
          <w:szCs w:val="24"/>
          <w:vertAlign w:val="superscript"/>
        </w:rPr>
        <w:t>nd</w:t>
      </w:r>
      <w:r w:rsidRPr="007245A9">
        <w:rPr>
          <w:szCs w:val="24"/>
        </w:rPr>
        <w:t xml:space="preserve"> respondent’s affidavit is invalid because it was commissioned by a legal practitioner in the Civil Division of the Attorney General’s office who happen</w:t>
      </w:r>
      <w:r w:rsidR="00740405" w:rsidRPr="007245A9">
        <w:rPr>
          <w:szCs w:val="24"/>
        </w:rPr>
        <w:t>s</w:t>
      </w:r>
      <w:r w:rsidRPr="007245A9">
        <w:rPr>
          <w:szCs w:val="24"/>
        </w:rPr>
        <w:t xml:space="preserve"> to be his legal practitioners.  How does the court know that “”Mukucha” is an employee in the A</w:t>
      </w:r>
      <w:r w:rsidR="005F6C9C">
        <w:rPr>
          <w:szCs w:val="24"/>
        </w:rPr>
        <w:t xml:space="preserve">ttorney </w:t>
      </w:r>
      <w:r w:rsidRPr="007245A9">
        <w:rPr>
          <w:szCs w:val="24"/>
        </w:rPr>
        <w:t>G</w:t>
      </w:r>
      <w:r w:rsidR="005F6C9C">
        <w:rPr>
          <w:szCs w:val="24"/>
        </w:rPr>
        <w:t>eneral</w:t>
      </w:r>
      <w:r w:rsidRPr="007245A9">
        <w:rPr>
          <w:szCs w:val="24"/>
        </w:rPr>
        <w:t xml:space="preserve">’s </w:t>
      </w:r>
      <w:r w:rsidR="005F6C9C">
        <w:rPr>
          <w:szCs w:val="24"/>
        </w:rPr>
        <w:t>O</w:t>
      </w:r>
      <w:r w:rsidRPr="007245A9">
        <w:rPr>
          <w:szCs w:val="24"/>
        </w:rPr>
        <w:t>ffice?  Even if he is</w:t>
      </w:r>
      <w:r w:rsidR="00851F9D">
        <w:rPr>
          <w:szCs w:val="24"/>
        </w:rPr>
        <w:t>,</w:t>
      </w:r>
      <w:r w:rsidRPr="007245A9">
        <w:rPr>
          <w:szCs w:val="24"/>
        </w:rPr>
        <w:t xml:space="preserve"> did he prepare the affidavit</w:t>
      </w:r>
      <w:r w:rsidR="005F6C9C">
        <w:rPr>
          <w:szCs w:val="24"/>
        </w:rPr>
        <w:t>?</w:t>
      </w:r>
      <w:r w:rsidRPr="007245A9">
        <w:rPr>
          <w:szCs w:val="24"/>
        </w:rPr>
        <w:t xml:space="preserve">  The</w:t>
      </w:r>
      <w:r w:rsidR="00851F9D">
        <w:rPr>
          <w:szCs w:val="24"/>
        </w:rPr>
        <w:t xml:space="preserve"> </w:t>
      </w:r>
      <w:r w:rsidRPr="007245A9">
        <w:rPr>
          <w:szCs w:val="24"/>
        </w:rPr>
        <w:t>4</w:t>
      </w:r>
      <w:r w:rsidRPr="007245A9">
        <w:rPr>
          <w:szCs w:val="24"/>
          <w:vertAlign w:val="superscript"/>
        </w:rPr>
        <w:t>th</w:t>
      </w:r>
      <w:r w:rsidRPr="007245A9">
        <w:rPr>
          <w:szCs w:val="24"/>
        </w:rPr>
        <w:t xml:space="preserve"> respondent’s affidavit was challenged on the ground similar to that against the 1</w:t>
      </w:r>
      <w:r w:rsidRPr="007245A9">
        <w:rPr>
          <w:szCs w:val="24"/>
          <w:vertAlign w:val="superscript"/>
        </w:rPr>
        <w:t>st</w:t>
      </w:r>
      <w:r w:rsidRPr="007245A9">
        <w:rPr>
          <w:szCs w:val="24"/>
        </w:rPr>
        <w:t xml:space="preserve"> respondent.</w:t>
      </w:r>
    </w:p>
    <w:p w:rsidR="00C11600" w:rsidRPr="007245A9" w:rsidRDefault="00C11600" w:rsidP="007245A9">
      <w:pPr>
        <w:jc w:val="both"/>
        <w:rPr>
          <w:szCs w:val="24"/>
        </w:rPr>
      </w:pPr>
      <w:r w:rsidRPr="007245A9">
        <w:rPr>
          <w:szCs w:val="24"/>
        </w:rPr>
        <w:tab/>
        <w:t xml:space="preserve">Both points </w:t>
      </w:r>
      <w:r w:rsidRPr="007245A9">
        <w:rPr>
          <w:i/>
          <w:szCs w:val="24"/>
        </w:rPr>
        <w:t>in limine</w:t>
      </w:r>
      <w:r w:rsidRPr="007245A9">
        <w:rPr>
          <w:szCs w:val="24"/>
        </w:rPr>
        <w:t xml:space="preserve"> are not well taken.  They are hereby dismissed.</w:t>
      </w:r>
    </w:p>
    <w:p w:rsidR="00C11600" w:rsidRPr="007245A9" w:rsidRDefault="00C11600" w:rsidP="007245A9">
      <w:pPr>
        <w:jc w:val="both"/>
        <w:rPr>
          <w:szCs w:val="24"/>
        </w:rPr>
      </w:pPr>
      <w:r w:rsidRPr="007245A9">
        <w:rPr>
          <w:szCs w:val="24"/>
        </w:rPr>
        <w:lastRenderedPageBreak/>
        <w:tab/>
        <w:t>On the merits, section 68 of the Constitution provides that;</w:t>
      </w:r>
    </w:p>
    <w:p w:rsidR="00C11600" w:rsidRPr="007245A9" w:rsidRDefault="00C11600" w:rsidP="007245A9">
      <w:pPr>
        <w:pStyle w:val="NoSpacing"/>
        <w:jc w:val="both"/>
        <w:rPr>
          <w:b/>
          <w:szCs w:val="24"/>
        </w:rPr>
      </w:pPr>
      <w:r w:rsidRPr="007245A9">
        <w:rPr>
          <w:szCs w:val="24"/>
        </w:rPr>
        <w:tab/>
      </w:r>
      <w:r w:rsidRPr="007245A9">
        <w:rPr>
          <w:b/>
          <w:szCs w:val="24"/>
        </w:rPr>
        <w:t>“Right to Administrative Justice</w:t>
      </w:r>
    </w:p>
    <w:p w:rsidR="00C11600" w:rsidRPr="007245A9" w:rsidRDefault="00C11600" w:rsidP="007245A9">
      <w:pPr>
        <w:pStyle w:val="NoSpacing"/>
        <w:jc w:val="both"/>
        <w:rPr>
          <w:szCs w:val="24"/>
        </w:rPr>
      </w:pPr>
    </w:p>
    <w:p w:rsidR="00C11600" w:rsidRPr="007245A9" w:rsidRDefault="00C11600" w:rsidP="007245A9">
      <w:pPr>
        <w:pStyle w:val="NoSpacing"/>
        <w:numPr>
          <w:ilvl w:val="0"/>
          <w:numId w:val="2"/>
        </w:numPr>
        <w:jc w:val="both"/>
        <w:rPr>
          <w:szCs w:val="24"/>
        </w:rPr>
      </w:pPr>
      <w:r w:rsidRPr="007245A9">
        <w:rPr>
          <w:szCs w:val="24"/>
        </w:rPr>
        <w:t>Every person has a right to ad</w:t>
      </w:r>
      <w:r w:rsidR="007245A9" w:rsidRPr="007245A9">
        <w:rPr>
          <w:szCs w:val="24"/>
        </w:rPr>
        <w:t>ministrative conduct that is law</w:t>
      </w:r>
      <w:r w:rsidRPr="007245A9">
        <w:rPr>
          <w:szCs w:val="24"/>
        </w:rPr>
        <w:t>ful, prompt, efficient, reasonable, proportionate</w:t>
      </w:r>
      <w:r w:rsidR="00793D74" w:rsidRPr="007245A9">
        <w:rPr>
          <w:szCs w:val="24"/>
        </w:rPr>
        <w:t>, impartial and both substantively and procedurally fair.</w:t>
      </w:r>
    </w:p>
    <w:p w:rsidR="00793D74" w:rsidRPr="007245A9" w:rsidRDefault="00793D74" w:rsidP="007245A9">
      <w:pPr>
        <w:pStyle w:val="NoSpacing"/>
        <w:numPr>
          <w:ilvl w:val="0"/>
          <w:numId w:val="2"/>
        </w:numPr>
        <w:jc w:val="both"/>
        <w:rPr>
          <w:szCs w:val="24"/>
        </w:rPr>
      </w:pPr>
      <w:r w:rsidRPr="007245A9">
        <w:rPr>
          <w:szCs w:val="24"/>
        </w:rPr>
        <w:t xml:space="preserve">Any person whose right, freedom, interest or legitimate expectation has been adversely affected by administrative conduct has the </w:t>
      </w:r>
      <w:r w:rsidRPr="007245A9">
        <w:rPr>
          <w:szCs w:val="24"/>
          <w:u w:val="single"/>
        </w:rPr>
        <w:t>right to be given prompt</w:t>
      </w:r>
      <w:r w:rsidR="007245A9" w:rsidRPr="007245A9">
        <w:rPr>
          <w:szCs w:val="24"/>
          <w:u w:val="single"/>
        </w:rPr>
        <w:t>l</w:t>
      </w:r>
      <w:r w:rsidRPr="007245A9">
        <w:rPr>
          <w:szCs w:val="24"/>
          <w:u w:val="single"/>
        </w:rPr>
        <w:t>y and in writing the reasons for the conduct.</w:t>
      </w:r>
    </w:p>
    <w:p w:rsidR="00793D74" w:rsidRPr="007245A9" w:rsidRDefault="00793D74" w:rsidP="007245A9">
      <w:pPr>
        <w:pStyle w:val="NoSpacing"/>
        <w:numPr>
          <w:ilvl w:val="0"/>
          <w:numId w:val="2"/>
        </w:numPr>
        <w:jc w:val="both"/>
        <w:rPr>
          <w:szCs w:val="24"/>
        </w:rPr>
      </w:pPr>
      <w:r w:rsidRPr="007245A9">
        <w:rPr>
          <w:szCs w:val="24"/>
        </w:rPr>
        <w:t xml:space="preserve">An Act of Parliament </w:t>
      </w:r>
      <w:r w:rsidRPr="007245A9">
        <w:rPr>
          <w:szCs w:val="24"/>
          <w:u w:val="single"/>
        </w:rPr>
        <w:t>must give effect to these rights</w:t>
      </w:r>
      <w:r w:rsidRPr="007245A9">
        <w:rPr>
          <w:szCs w:val="24"/>
        </w:rPr>
        <w:t>, and must –</w:t>
      </w:r>
    </w:p>
    <w:p w:rsidR="00793D74" w:rsidRPr="007245A9" w:rsidRDefault="00793D74" w:rsidP="007245A9">
      <w:pPr>
        <w:pStyle w:val="NoSpacing"/>
        <w:numPr>
          <w:ilvl w:val="0"/>
          <w:numId w:val="3"/>
        </w:numPr>
        <w:jc w:val="both"/>
        <w:rPr>
          <w:szCs w:val="24"/>
        </w:rPr>
      </w:pPr>
      <w:r w:rsidRPr="007245A9">
        <w:rPr>
          <w:szCs w:val="24"/>
        </w:rPr>
        <w:t xml:space="preserve">Provide for the </w:t>
      </w:r>
      <w:r w:rsidRPr="007245A9">
        <w:rPr>
          <w:szCs w:val="24"/>
          <w:u w:val="single"/>
        </w:rPr>
        <w:t>review</w:t>
      </w:r>
      <w:r w:rsidRPr="007245A9">
        <w:rPr>
          <w:szCs w:val="24"/>
        </w:rPr>
        <w:t xml:space="preserve"> of administrative conduct by a court or where appropriate by an independent and impartial tribunal;</w:t>
      </w:r>
    </w:p>
    <w:p w:rsidR="00793D74" w:rsidRPr="007245A9" w:rsidRDefault="00793D74" w:rsidP="007245A9">
      <w:pPr>
        <w:pStyle w:val="NoSpacing"/>
        <w:numPr>
          <w:ilvl w:val="0"/>
          <w:numId w:val="3"/>
        </w:numPr>
        <w:jc w:val="both"/>
        <w:rPr>
          <w:szCs w:val="24"/>
        </w:rPr>
      </w:pPr>
      <w:r w:rsidRPr="007245A9">
        <w:rPr>
          <w:szCs w:val="24"/>
          <w:u w:val="single"/>
        </w:rPr>
        <w:t xml:space="preserve">Impose a duty on the </w:t>
      </w:r>
      <w:r w:rsidR="00851F9D">
        <w:rPr>
          <w:szCs w:val="24"/>
          <w:u w:val="single"/>
        </w:rPr>
        <w:t>S</w:t>
      </w:r>
      <w:r w:rsidRPr="007245A9">
        <w:rPr>
          <w:szCs w:val="24"/>
          <w:u w:val="single"/>
        </w:rPr>
        <w:t>tate to gi</w:t>
      </w:r>
      <w:r w:rsidR="007245A9" w:rsidRPr="007245A9">
        <w:rPr>
          <w:szCs w:val="24"/>
          <w:u w:val="single"/>
        </w:rPr>
        <w:t>v</w:t>
      </w:r>
      <w:r w:rsidRPr="007245A9">
        <w:rPr>
          <w:szCs w:val="24"/>
          <w:u w:val="single"/>
        </w:rPr>
        <w:t>e effect to the rights in subsection (1)</w:t>
      </w:r>
      <w:r w:rsidRPr="007245A9">
        <w:rPr>
          <w:szCs w:val="24"/>
        </w:rPr>
        <w:t xml:space="preserve"> and (2); and</w:t>
      </w:r>
    </w:p>
    <w:p w:rsidR="00793D74" w:rsidRPr="007245A9" w:rsidRDefault="00793D74" w:rsidP="007245A9">
      <w:pPr>
        <w:pStyle w:val="NoSpacing"/>
        <w:numPr>
          <w:ilvl w:val="0"/>
          <w:numId w:val="3"/>
        </w:numPr>
        <w:jc w:val="both"/>
        <w:rPr>
          <w:szCs w:val="24"/>
        </w:rPr>
      </w:pPr>
      <w:r w:rsidRPr="007245A9">
        <w:rPr>
          <w:szCs w:val="24"/>
        </w:rPr>
        <w:t>Promote an efficient administration.”  (my emphasis)</w:t>
      </w:r>
    </w:p>
    <w:p w:rsidR="00793D74" w:rsidRPr="007245A9" w:rsidRDefault="00FC10D9" w:rsidP="007245A9">
      <w:pPr>
        <w:ind w:firstLine="720"/>
        <w:jc w:val="both"/>
        <w:rPr>
          <w:szCs w:val="24"/>
        </w:rPr>
      </w:pPr>
      <w:r w:rsidRPr="007245A9">
        <w:rPr>
          <w:szCs w:val="24"/>
        </w:rPr>
        <w:t>This right is contained in Part 2 of the Constitution that has fundamental human rights and freedoms.  What the Constitution does is to provide an entitlement to the right to administrative conduct that is stipulated</w:t>
      </w:r>
      <w:r w:rsidR="007245A9" w:rsidRPr="007245A9">
        <w:rPr>
          <w:szCs w:val="24"/>
        </w:rPr>
        <w:t xml:space="preserve">. </w:t>
      </w:r>
      <w:r w:rsidRPr="007245A9">
        <w:rPr>
          <w:szCs w:val="24"/>
        </w:rPr>
        <w:t xml:space="preserve">There should be elements of both substantive and procedural fairness in the conduct.  In subsection (2) there is an entitlement to the right to be given reasons for the conduct while subsection (3) stipulates that an act of parliament must give effect to those rights.  In other words the enjoyment of these rights must be regulated by an Act of Parliament.  Judicial review of the conduct and the imposition of a duty on the State to give effect to the rights </w:t>
      </w:r>
      <w:r w:rsidR="007245A9" w:rsidRPr="007245A9">
        <w:rPr>
          <w:szCs w:val="24"/>
        </w:rPr>
        <w:t>are</w:t>
      </w:r>
      <w:r w:rsidRPr="007245A9">
        <w:rPr>
          <w:szCs w:val="24"/>
        </w:rPr>
        <w:t xml:space="preserve"> provided for.</w:t>
      </w:r>
    </w:p>
    <w:p w:rsidR="00FC10D9" w:rsidRPr="007245A9" w:rsidRDefault="00FC10D9" w:rsidP="007245A9">
      <w:pPr>
        <w:ind w:firstLine="720"/>
        <w:jc w:val="both"/>
        <w:rPr>
          <w:szCs w:val="24"/>
        </w:rPr>
      </w:pPr>
      <w:r w:rsidRPr="007245A9">
        <w:rPr>
          <w:szCs w:val="24"/>
        </w:rPr>
        <w:t>It is clear that it is the Constitution that creates an</w:t>
      </w:r>
      <w:r w:rsidR="007245A9" w:rsidRPr="007245A9">
        <w:rPr>
          <w:szCs w:val="24"/>
        </w:rPr>
        <w:t xml:space="preserve"> </w:t>
      </w:r>
      <w:r w:rsidRPr="007245A9">
        <w:rPr>
          <w:szCs w:val="24"/>
        </w:rPr>
        <w:t xml:space="preserve">Act of </w:t>
      </w:r>
      <w:r w:rsidR="007245A9" w:rsidRPr="007245A9">
        <w:rPr>
          <w:szCs w:val="24"/>
        </w:rPr>
        <w:t>P</w:t>
      </w:r>
      <w:r w:rsidRPr="007245A9">
        <w:rPr>
          <w:szCs w:val="24"/>
        </w:rPr>
        <w:t>arliament to give effect to these rights.  The Act that does this in our jurisdiction is the Administrative Justice Act.  Section 3 (1) (c) whereof provides that;</w:t>
      </w:r>
    </w:p>
    <w:p w:rsidR="00FC10D9" w:rsidRPr="007245A9" w:rsidRDefault="00FC10D9" w:rsidP="007245A9">
      <w:pPr>
        <w:pStyle w:val="NoSpacing"/>
        <w:ind w:left="720"/>
        <w:jc w:val="both"/>
        <w:rPr>
          <w:szCs w:val="24"/>
        </w:rPr>
      </w:pPr>
      <w:r w:rsidRPr="007245A9">
        <w:rPr>
          <w:szCs w:val="24"/>
        </w:rPr>
        <w:t xml:space="preserve">“An administrative authority which has the responsibility or power to take any administrative action which may affect the rights, interests or legitimate expectations of any person </w:t>
      </w:r>
      <w:r w:rsidRPr="00851F9D">
        <w:rPr>
          <w:szCs w:val="24"/>
          <w:u w:val="single"/>
        </w:rPr>
        <w:t>shall</w:t>
      </w:r>
      <w:r w:rsidRPr="007245A9">
        <w:rPr>
          <w:szCs w:val="24"/>
        </w:rPr>
        <w:t xml:space="preserve"> –</w:t>
      </w:r>
    </w:p>
    <w:p w:rsidR="00FC10D9" w:rsidRPr="007245A9" w:rsidRDefault="005E4B0C" w:rsidP="007245A9">
      <w:pPr>
        <w:pStyle w:val="NoSpacing"/>
        <w:numPr>
          <w:ilvl w:val="0"/>
          <w:numId w:val="4"/>
        </w:numPr>
        <w:jc w:val="both"/>
        <w:rPr>
          <w:szCs w:val="24"/>
        </w:rPr>
      </w:pPr>
      <w:r w:rsidRPr="007245A9">
        <w:rPr>
          <w:szCs w:val="24"/>
        </w:rPr>
        <w:t>…</w:t>
      </w:r>
    </w:p>
    <w:p w:rsidR="005E4B0C" w:rsidRPr="007245A9" w:rsidRDefault="005E4B0C" w:rsidP="007245A9">
      <w:pPr>
        <w:pStyle w:val="NoSpacing"/>
        <w:numPr>
          <w:ilvl w:val="0"/>
          <w:numId w:val="4"/>
        </w:numPr>
        <w:jc w:val="both"/>
        <w:rPr>
          <w:szCs w:val="24"/>
        </w:rPr>
      </w:pPr>
      <w:r w:rsidRPr="007245A9">
        <w:rPr>
          <w:szCs w:val="24"/>
        </w:rPr>
        <w:t>…</w:t>
      </w:r>
    </w:p>
    <w:p w:rsidR="005E4B0C" w:rsidRPr="007245A9" w:rsidRDefault="005E4B0C" w:rsidP="007245A9">
      <w:pPr>
        <w:pStyle w:val="NoSpacing"/>
        <w:numPr>
          <w:ilvl w:val="0"/>
          <w:numId w:val="4"/>
        </w:numPr>
        <w:jc w:val="both"/>
        <w:rPr>
          <w:szCs w:val="24"/>
        </w:rPr>
      </w:pPr>
      <w:r w:rsidRPr="007245A9">
        <w:rPr>
          <w:szCs w:val="24"/>
        </w:rPr>
        <w:t>Where it has taken the action supply written reasons therefore within the relevant period speci</w:t>
      </w:r>
      <w:r w:rsidR="00851F9D">
        <w:rPr>
          <w:szCs w:val="24"/>
        </w:rPr>
        <w:t>fied by</w:t>
      </w:r>
      <w:r w:rsidRPr="007245A9">
        <w:rPr>
          <w:szCs w:val="24"/>
        </w:rPr>
        <w:t xml:space="preserve"> law or if there is no such specified period, </w:t>
      </w:r>
      <w:r w:rsidRPr="007245A9">
        <w:rPr>
          <w:szCs w:val="24"/>
          <w:u w:val="single"/>
        </w:rPr>
        <w:t>within a reasonable period after being requested to supply reasons by the person concerned.”</w:t>
      </w:r>
      <w:r w:rsidRPr="007245A9">
        <w:rPr>
          <w:szCs w:val="24"/>
        </w:rPr>
        <w:t xml:space="preserve">  (my emphasis)</w:t>
      </w:r>
    </w:p>
    <w:p w:rsidR="005E4B0C" w:rsidRPr="007245A9" w:rsidRDefault="005E4B0C" w:rsidP="007245A9">
      <w:pPr>
        <w:ind w:firstLine="720"/>
        <w:jc w:val="both"/>
        <w:rPr>
          <w:szCs w:val="24"/>
        </w:rPr>
      </w:pPr>
      <w:r w:rsidRPr="007245A9">
        <w:rPr>
          <w:szCs w:val="24"/>
        </w:rPr>
        <w:lastRenderedPageBreak/>
        <w:t xml:space="preserve">During the hearing I pointed out to </w:t>
      </w:r>
      <w:r w:rsidRPr="007245A9">
        <w:rPr>
          <w:i/>
          <w:szCs w:val="24"/>
        </w:rPr>
        <w:t>Mr Mugiya</w:t>
      </w:r>
      <w:r w:rsidRPr="007245A9">
        <w:rPr>
          <w:szCs w:val="24"/>
        </w:rPr>
        <w:t xml:space="preserve"> that I had in the past decided the point in issue namely that this section requires the person concerned to request reasons for a decision adversely affecting his/her rights.  He however insisted in arguing the case.  As I said elsewhere, this meaning or interpretation is consistent with the practical approach adopted by the judiciary and administrative authorities in performing their tasks.  It is not feasible for reasons to be supplied </w:t>
      </w:r>
      <w:r w:rsidRPr="007245A9">
        <w:rPr>
          <w:szCs w:val="24"/>
          <w:u w:val="single"/>
        </w:rPr>
        <w:t>forthwith</w:t>
      </w:r>
      <w:r w:rsidRPr="007245A9">
        <w:rPr>
          <w:szCs w:val="24"/>
        </w:rPr>
        <w:t xml:space="preserve"> in every case.  In fact promptly does not mean at once.  If this were the case then there would be administrative </w:t>
      </w:r>
      <w:r w:rsidR="00851F9D">
        <w:rPr>
          <w:szCs w:val="24"/>
        </w:rPr>
        <w:t>in</w:t>
      </w:r>
      <w:r w:rsidRPr="007245A9">
        <w:rPr>
          <w:szCs w:val="24"/>
        </w:rPr>
        <w:t xml:space="preserve">efficiency as fewer matters would be finalised.  In some cases decisions </w:t>
      </w:r>
      <w:r w:rsidR="00851F9D">
        <w:rPr>
          <w:szCs w:val="24"/>
        </w:rPr>
        <w:t>are</w:t>
      </w:r>
      <w:r w:rsidRPr="007245A9">
        <w:rPr>
          <w:szCs w:val="24"/>
        </w:rPr>
        <w:t xml:space="preserve"> made </w:t>
      </w:r>
      <w:r w:rsidRPr="007245A9">
        <w:rPr>
          <w:i/>
          <w:szCs w:val="24"/>
        </w:rPr>
        <w:t>ex tempore</w:t>
      </w:r>
      <w:r w:rsidRPr="007245A9">
        <w:rPr>
          <w:szCs w:val="24"/>
        </w:rPr>
        <w:t xml:space="preserve"> with full reasons given within a reasonable period</w:t>
      </w:r>
      <w:r w:rsidR="007245A9" w:rsidRPr="007245A9">
        <w:rPr>
          <w:szCs w:val="24"/>
        </w:rPr>
        <w:t xml:space="preserve"> </w:t>
      </w:r>
      <w:r w:rsidRPr="007245A9">
        <w:rPr>
          <w:szCs w:val="24"/>
        </w:rPr>
        <w:t>upon request.</w:t>
      </w:r>
    </w:p>
    <w:p w:rsidR="005E4B0C" w:rsidRPr="007245A9" w:rsidRDefault="005E4B0C" w:rsidP="007245A9">
      <w:pPr>
        <w:jc w:val="both"/>
        <w:rPr>
          <w:szCs w:val="24"/>
        </w:rPr>
      </w:pPr>
      <w:r w:rsidRPr="007245A9">
        <w:rPr>
          <w:szCs w:val="24"/>
        </w:rPr>
        <w:tab/>
        <w:t xml:space="preserve">I am fortified in this interpretation by the provisions of section 6 (1) (a) (b) </w:t>
      </w:r>
      <w:r w:rsidR="00851F9D">
        <w:rPr>
          <w:szCs w:val="24"/>
        </w:rPr>
        <w:t>of</w:t>
      </w:r>
      <w:r w:rsidRPr="007245A9">
        <w:rPr>
          <w:szCs w:val="24"/>
        </w:rPr>
        <w:t xml:space="preserve"> the Administrative Justice Act.  It provides as follows:</w:t>
      </w:r>
    </w:p>
    <w:p w:rsidR="005E4B0C" w:rsidRPr="007245A9" w:rsidRDefault="005E4B0C" w:rsidP="007245A9">
      <w:pPr>
        <w:pStyle w:val="NoSpacing"/>
        <w:ind w:left="1800" w:hanging="1080"/>
        <w:jc w:val="both"/>
        <w:rPr>
          <w:szCs w:val="24"/>
        </w:rPr>
      </w:pPr>
      <w:r w:rsidRPr="007245A9">
        <w:rPr>
          <w:szCs w:val="24"/>
        </w:rPr>
        <w:t>“(1)</w:t>
      </w:r>
      <w:r w:rsidRPr="007245A9">
        <w:rPr>
          <w:szCs w:val="24"/>
        </w:rPr>
        <w:tab/>
      </w:r>
      <w:r w:rsidR="00851F9D">
        <w:rPr>
          <w:szCs w:val="24"/>
        </w:rPr>
        <w:t>S</w:t>
      </w:r>
      <w:r w:rsidRPr="007245A9">
        <w:rPr>
          <w:szCs w:val="24"/>
        </w:rPr>
        <w:t>ubject to this Act and any other enactment, any person –</w:t>
      </w:r>
    </w:p>
    <w:p w:rsidR="005E4B0C" w:rsidRPr="007245A9" w:rsidRDefault="00851F9D" w:rsidP="007245A9">
      <w:pPr>
        <w:pStyle w:val="NoSpacing"/>
        <w:numPr>
          <w:ilvl w:val="0"/>
          <w:numId w:val="5"/>
        </w:numPr>
        <w:jc w:val="both"/>
        <w:rPr>
          <w:szCs w:val="24"/>
        </w:rPr>
      </w:pPr>
      <w:r>
        <w:rPr>
          <w:szCs w:val="24"/>
        </w:rPr>
        <w:t>w</w:t>
      </w:r>
      <w:r w:rsidR="005E4B0C" w:rsidRPr="007245A9">
        <w:rPr>
          <w:szCs w:val="24"/>
        </w:rPr>
        <w:t>hose rights, interests or legitimate expectations</w:t>
      </w:r>
      <w:r w:rsidR="003F6A88" w:rsidRPr="007245A9">
        <w:rPr>
          <w:szCs w:val="24"/>
        </w:rPr>
        <w:t xml:space="preserve"> are </w:t>
      </w:r>
      <w:r>
        <w:rPr>
          <w:szCs w:val="24"/>
        </w:rPr>
        <w:t>materially a</w:t>
      </w:r>
      <w:r w:rsidR="003F6A88" w:rsidRPr="007245A9">
        <w:rPr>
          <w:szCs w:val="24"/>
        </w:rPr>
        <w:t>nd adversely affected by any administrative action; or</w:t>
      </w:r>
    </w:p>
    <w:p w:rsidR="003F6A88" w:rsidRPr="007245A9" w:rsidRDefault="00851F9D" w:rsidP="007245A9">
      <w:pPr>
        <w:pStyle w:val="NoSpacing"/>
        <w:numPr>
          <w:ilvl w:val="0"/>
          <w:numId w:val="5"/>
        </w:numPr>
        <w:jc w:val="both"/>
        <w:rPr>
          <w:szCs w:val="24"/>
        </w:rPr>
      </w:pPr>
      <w:r>
        <w:rPr>
          <w:szCs w:val="24"/>
        </w:rPr>
        <w:t>w</w:t>
      </w:r>
      <w:r w:rsidR="003F6A88" w:rsidRPr="007245A9">
        <w:rPr>
          <w:szCs w:val="24"/>
        </w:rPr>
        <w:t xml:space="preserve">ho is entitled to apply for relief in terms of section four; and who </w:t>
      </w:r>
      <w:r w:rsidR="003F6A88" w:rsidRPr="007245A9">
        <w:rPr>
          <w:szCs w:val="24"/>
          <w:u w:val="single"/>
        </w:rPr>
        <w:t>is aggrieved by the failure of an administrative authority to supply written reasons for</w:t>
      </w:r>
      <w:r w:rsidR="003F6A88" w:rsidRPr="007245A9">
        <w:rPr>
          <w:szCs w:val="24"/>
        </w:rPr>
        <w:t xml:space="preserve"> the action concerned within –</w:t>
      </w:r>
    </w:p>
    <w:p w:rsidR="003F6A88" w:rsidRPr="007245A9" w:rsidRDefault="00851F9D" w:rsidP="007245A9">
      <w:pPr>
        <w:pStyle w:val="NoSpacing"/>
        <w:numPr>
          <w:ilvl w:val="0"/>
          <w:numId w:val="6"/>
        </w:numPr>
        <w:jc w:val="both"/>
        <w:rPr>
          <w:szCs w:val="24"/>
        </w:rPr>
      </w:pPr>
      <w:r>
        <w:rPr>
          <w:szCs w:val="24"/>
        </w:rPr>
        <w:t>t</w:t>
      </w:r>
      <w:r w:rsidR="003F6A88" w:rsidRPr="007245A9">
        <w:rPr>
          <w:szCs w:val="24"/>
        </w:rPr>
        <w:t>he period specified in the relevant enactment; or</w:t>
      </w:r>
    </w:p>
    <w:p w:rsidR="003F6A88" w:rsidRPr="007245A9" w:rsidRDefault="003F6A88" w:rsidP="007245A9">
      <w:pPr>
        <w:pStyle w:val="NoSpacing"/>
        <w:numPr>
          <w:ilvl w:val="0"/>
          <w:numId w:val="6"/>
        </w:numPr>
        <w:jc w:val="both"/>
        <w:rPr>
          <w:szCs w:val="24"/>
        </w:rPr>
      </w:pPr>
      <w:r w:rsidRPr="007245A9">
        <w:rPr>
          <w:szCs w:val="24"/>
        </w:rPr>
        <w:t xml:space="preserve">In the absence of any such specified period a reasonable period </w:t>
      </w:r>
      <w:r w:rsidRPr="007245A9">
        <w:rPr>
          <w:szCs w:val="24"/>
          <w:u w:val="single"/>
        </w:rPr>
        <w:t xml:space="preserve">after a request for such </w:t>
      </w:r>
      <w:r w:rsidRPr="00E57775">
        <w:rPr>
          <w:szCs w:val="24"/>
          <w:u w:val="single"/>
        </w:rPr>
        <w:t>reasons has been made</w:t>
      </w:r>
      <w:r w:rsidRPr="007245A9">
        <w:rPr>
          <w:szCs w:val="24"/>
        </w:rPr>
        <w:t xml:space="preserve">; </w:t>
      </w:r>
      <w:r w:rsidRPr="007245A9">
        <w:rPr>
          <w:szCs w:val="24"/>
          <w:u w:val="single"/>
        </w:rPr>
        <w:t>may apply to the High Court for an order compelling the administrati</w:t>
      </w:r>
      <w:r w:rsidR="007245A9" w:rsidRPr="007245A9">
        <w:rPr>
          <w:szCs w:val="24"/>
          <w:u w:val="single"/>
        </w:rPr>
        <w:t>v</w:t>
      </w:r>
      <w:r w:rsidRPr="007245A9">
        <w:rPr>
          <w:szCs w:val="24"/>
          <w:u w:val="single"/>
        </w:rPr>
        <w:t>e authority to supply reasons.”</w:t>
      </w:r>
      <w:r w:rsidRPr="007245A9">
        <w:rPr>
          <w:szCs w:val="24"/>
        </w:rPr>
        <w:t xml:space="preserve">  (my emphasis)</w:t>
      </w:r>
    </w:p>
    <w:p w:rsidR="003F6A88" w:rsidRPr="007245A9" w:rsidRDefault="003F6A88" w:rsidP="007245A9">
      <w:pPr>
        <w:ind w:firstLine="720"/>
        <w:jc w:val="both"/>
        <w:rPr>
          <w:szCs w:val="24"/>
        </w:rPr>
      </w:pPr>
      <w:r w:rsidRPr="007245A9">
        <w:rPr>
          <w:szCs w:val="24"/>
        </w:rPr>
        <w:t>Now what is noteworthy is that this st</w:t>
      </w:r>
      <w:r w:rsidR="007245A9" w:rsidRPr="007245A9">
        <w:rPr>
          <w:szCs w:val="24"/>
        </w:rPr>
        <w:t>a</w:t>
      </w:r>
      <w:r w:rsidRPr="007245A9">
        <w:rPr>
          <w:szCs w:val="24"/>
        </w:rPr>
        <w:t xml:space="preserve">tute does not say if you are not given reasons you can have the decision declared unlawful through an application for a </w:t>
      </w:r>
      <w:r w:rsidR="007245A9" w:rsidRPr="007245A9">
        <w:rPr>
          <w:szCs w:val="24"/>
        </w:rPr>
        <w:t>d</w:t>
      </w:r>
      <w:r w:rsidRPr="007245A9">
        <w:rPr>
          <w:szCs w:val="24"/>
        </w:rPr>
        <w:t>eclaratur.  In my view a co</w:t>
      </w:r>
      <w:r w:rsidR="007245A9" w:rsidRPr="007245A9">
        <w:rPr>
          <w:szCs w:val="24"/>
        </w:rPr>
        <w:t>urt should not grant a declarat</w:t>
      </w:r>
      <w:r w:rsidRPr="007245A9">
        <w:rPr>
          <w:szCs w:val="24"/>
        </w:rPr>
        <w:t xml:space="preserve">ory order where the legal position like </w:t>
      </w:r>
      <w:r w:rsidRPr="007245A9">
        <w:rPr>
          <w:i/>
          <w:szCs w:val="24"/>
        </w:rPr>
        <w:t>in casu</w:t>
      </w:r>
      <w:r w:rsidRPr="007245A9">
        <w:rPr>
          <w:szCs w:val="24"/>
        </w:rPr>
        <w:t xml:space="preserve"> has already been clearly laid down by statute.  It is common cause that the applicant </w:t>
      </w:r>
      <w:r w:rsidRPr="007245A9">
        <w:rPr>
          <w:i/>
          <w:szCs w:val="24"/>
        </w:rPr>
        <w:t>in casu</w:t>
      </w:r>
      <w:r w:rsidRPr="007245A9">
        <w:rPr>
          <w:szCs w:val="24"/>
        </w:rPr>
        <w:t xml:space="preserve"> neith</w:t>
      </w:r>
      <w:r w:rsidR="007245A9" w:rsidRPr="007245A9">
        <w:rPr>
          <w:szCs w:val="24"/>
        </w:rPr>
        <w:t>e</w:t>
      </w:r>
      <w:r w:rsidRPr="007245A9">
        <w:rPr>
          <w:szCs w:val="24"/>
        </w:rPr>
        <w:t xml:space="preserve">r requested to be furnished with written reasons nor approached this court for a compelling order.  The decision as to how best the right </w:t>
      </w:r>
      <w:r w:rsidR="00CE58F1" w:rsidRPr="007245A9">
        <w:rPr>
          <w:szCs w:val="24"/>
        </w:rPr>
        <w:t xml:space="preserve">stated in s68 of the Constitution should be given effect or enjoyed should be left to the </w:t>
      </w:r>
      <w:r w:rsidR="00447F4E">
        <w:rPr>
          <w:szCs w:val="24"/>
        </w:rPr>
        <w:t>L</w:t>
      </w:r>
      <w:r w:rsidR="00CE58F1" w:rsidRPr="007245A9">
        <w:rPr>
          <w:szCs w:val="24"/>
        </w:rPr>
        <w:t>egislature.</w:t>
      </w:r>
    </w:p>
    <w:p w:rsidR="00CE58F1" w:rsidRPr="007245A9" w:rsidRDefault="00CE58F1" w:rsidP="007245A9">
      <w:pPr>
        <w:ind w:firstLine="720"/>
        <w:jc w:val="both"/>
        <w:rPr>
          <w:szCs w:val="24"/>
        </w:rPr>
      </w:pPr>
      <w:r w:rsidRPr="007245A9">
        <w:rPr>
          <w:szCs w:val="24"/>
        </w:rPr>
        <w:lastRenderedPageBreak/>
        <w:t xml:space="preserve">By analogy, this is the approach the law has adopted with similar </w:t>
      </w:r>
      <w:r w:rsidR="00447F4E">
        <w:rPr>
          <w:szCs w:val="24"/>
        </w:rPr>
        <w:t xml:space="preserve">fundamental </w:t>
      </w:r>
      <w:r w:rsidRPr="007245A9">
        <w:rPr>
          <w:szCs w:val="24"/>
        </w:rPr>
        <w:t>human rights like the rights of arrested and detained persons enshrined in s50 (1) (d) of the Constitution.  Alt</w:t>
      </w:r>
      <w:r w:rsidR="007245A9" w:rsidRPr="007245A9">
        <w:rPr>
          <w:szCs w:val="24"/>
        </w:rPr>
        <w:t xml:space="preserve">hough the right to be released </w:t>
      </w:r>
      <w:r w:rsidRPr="007245A9">
        <w:rPr>
          <w:szCs w:val="24"/>
        </w:rPr>
        <w:t xml:space="preserve">is granted therein, it is given effect by the provisions of s117 of the </w:t>
      </w:r>
      <w:r w:rsidR="00903B71" w:rsidRPr="007245A9">
        <w:rPr>
          <w:szCs w:val="24"/>
        </w:rPr>
        <w:t xml:space="preserve">Criminal Procedure </w:t>
      </w:r>
      <w:r w:rsidR="00447F4E">
        <w:rPr>
          <w:szCs w:val="24"/>
        </w:rPr>
        <w:t xml:space="preserve">and Evidence </w:t>
      </w:r>
      <w:r w:rsidR="00903B71" w:rsidRPr="007245A9">
        <w:rPr>
          <w:szCs w:val="24"/>
        </w:rPr>
        <w:t xml:space="preserve">Act Chapter </w:t>
      </w:r>
      <w:r w:rsidR="00447F4E">
        <w:rPr>
          <w:szCs w:val="24"/>
        </w:rPr>
        <w:t>9:07.</w:t>
      </w:r>
    </w:p>
    <w:p w:rsidR="00903B71" w:rsidRPr="007245A9" w:rsidRDefault="00903B71" w:rsidP="007245A9">
      <w:pPr>
        <w:jc w:val="both"/>
        <w:rPr>
          <w:szCs w:val="24"/>
        </w:rPr>
      </w:pPr>
      <w:r w:rsidRPr="007245A9">
        <w:rPr>
          <w:szCs w:val="24"/>
        </w:rPr>
        <w:tab/>
        <w:t>I take the view that it would be preposterous to argue that all arrested and detained persons must be released without first applying for bail.  Equally</w:t>
      </w:r>
      <w:r w:rsidR="00414E20" w:rsidRPr="007245A9">
        <w:rPr>
          <w:szCs w:val="24"/>
        </w:rPr>
        <w:t xml:space="preserve"> untenable would be the argument that the bail</w:t>
      </w:r>
      <w:r w:rsidR="007245A9" w:rsidRPr="007245A9">
        <w:rPr>
          <w:szCs w:val="24"/>
        </w:rPr>
        <w:t xml:space="preserve"> </w:t>
      </w:r>
      <w:r w:rsidR="00414E20" w:rsidRPr="007245A9">
        <w:rPr>
          <w:szCs w:val="24"/>
        </w:rPr>
        <w:t xml:space="preserve">procedure as outlined in the Criminal Procedure and Evidence Act is </w:t>
      </w:r>
      <w:r w:rsidR="00414E20" w:rsidRPr="007245A9">
        <w:rPr>
          <w:i/>
          <w:szCs w:val="24"/>
        </w:rPr>
        <w:t>ultra vir</w:t>
      </w:r>
      <w:r w:rsidR="00447F4E">
        <w:rPr>
          <w:i/>
          <w:szCs w:val="24"/>
        </w:rPr>
        <w:t>es</w:t>
      </w:r>
      <w:r w:rsidR="00414E20" w:rsidRPr="007245A9">
        <w:rPr>
          <w:szCs w:val="24"/>
        </w:rPr>
        <w:t xml:space="preserve"> the Constitution.</w:t>
      </w:r>
    </w:p>
    <w:p w:rsidR="00414E20" w:rsidRPr="007245A9" w:rsidRDefault="00414E20" w:rsidP="007245A9">
      <w:pPr>
        <w:jc w:val="both"/>
        <w:rPr>
          <w:szCs w:val="24"/>
        </w:rPr>
      </w:pPr>
      <w:r w:rsidRPr="007245A9">
        <w:rPr>
          <w:szCs w:val="24"/>
        </w:rPr>
        <w:tab/>
        <w:t xml:space="preserve">It is my considered view that this is not an appropriate case for the grant of a </w:t>
      </w:r>
      <w:r w:rsidR="007245A9" w:rsidRPr="007245A9">
        <w:rPr>
          <w:szCs w:val="24"/>
        </w:rPr>
        <w:t>d</w:t>
      </w:r>
      <w:r w:rsidRPr="007245A9">
        <w:rPr>
          <w:szCs w:val="24"/>
        </w:rPr>
        <w:t xml:space="preserve">eclaratur.  Although there is no time limit for filing an application for a </w:t>
      </w:r>
      <w:r w:rsidR="007245A9" w:rsidRPr="007245A9">
        <w:rPr>
          <w:szCs w:val="24"/>
        </w:rPr>
        <w:t>d</w:t>
      </w:r>
      <w:r w:rsidRPr="007245A9">
        <w:rPr>
          <w:szCs w:val="24"/>
        </w:rPr>
        <w:t xml:space="preserve">eclaratur, it must nevertheless be filed within a reasonable period.  </w:t>
      </w:r>
      <w:r w:rsidRPr="007245A9">
        <w:rPr>
          <w:i/>
          <w:szCs w:val="24"/>
        </w:rPr>
        <w:t>In casu</w:t>
      </w:r>
      <w:r w:rsidRPr="007245A9">
        <w:rPr>
          <w:szCs w:val="24"/>
        </w:rPr>
        <w:t xml:space="preserve"> there has been no explanation for a delay of sixteen (16) months.</w:t>
      </w:r>
    </w:p>
    <w:p w:rsidR="00414E20" w:rsidRPr="007245A9" w:rsidRDefault="00414E20" w:rsidP="007245A9">
      <w:pPr>
        <w:jc w:val="both"/>
        <w:rPr>
          <w:szCs w:val="24"/>
        </w:rPr>
      </w:pPr>
      <w:r w:rsidRPr="007245A9">
        <w:rPr>
          <w:szCs w:val="24"/>
        </w:rPr>
        <w:tab/>
        <w:t>In the circumstance</w:t>
      </w:r>
      <w:r w:rsidR="00447F4E">
        <w:rPr>
          <w:szCs w:val="24"/>
        </w:rPr>
        <w:t>s</w:t>
      </w:r>
      <w:r w:rsidRPr="007245A9">
        <w:rPr>
          <w:szCs w:val="24"/>
        </w:rPr>
        <w:t xml:space="preserve"> the application is dismissed with costs.</w:t>
      </w:r>
    </w:p>
    <w:p w:rsidR="00414E20" w:rsidRPr="007245A9" w:rsidRDefault="00414E20" w:rsidP="007245A9">
      <w:pPr>
        <w:jc w:val="both"/>
        <w:rPr>
          <w:szCs w:val="24"/>
        </w:rPr>
      </w:pPr>
    </w:p>
    <w:p w:rsidR="00414E20" w:rsidRPr="007245A9" w:rsidRDefault="00414E20" w:rsidP="007245A9">
      <w:pPr>
        <w:jc w:val="both"/>
        <w:rPr>
          <w:szCs w:val="24"/>
        </w:rPr>
      </w:pPr>
    </w:p>
    <w:p w:rsidR="00414E20" w:rsidRPr="007245A9" w:rsidRDefault="00414E20" w:rsidP="007245A9">
      <w:pPr>
        <w:pStyle w:val="NoSpacing"/>
        <w:jc w:val="both"/>
        <w:rPr>
          <w:szCs w:val="24"/>
        </w:rPr>
      </w:pPr>
      <w:r w:rsidRPr="007245A9">
        <w:rPr>
          <w:i/>
          <w:szCs w:val="24"/>
        </w:rPr>
        <w:t xml:space="preserve">Mugiya, </w:t>
      </w:r>
      <w:r w:rsidR="007245A9">
        <w:rPr>
          <w:i/>
          <w:szCs w:val="24"/>
        </w:rPr>
        <w:t>M</w:t>
      </w:r>
      <w:r w:rsidRPr="007245A9">
        <w:rPr>
          <w:i/>
          <w:szCs w:val="24"/>
        </w:rPr>
        <w:t>acharaga Law Chambers</w:t>
      </w:r>
      <w:r w:rsidRPr="007245A9">
        <w:rPr>
          <w:szCs w:val="24"/>
        </w:rPr>
        <w:t>, applicant’s legal practitioners</w:t>
      </w:r>
    </w:p>
    <w:p w:rsidR="00414E20" w:rsidRPr="007245A9" w:rsidRDefault="00414E20" w:rsidP="007245A9">
      <w:pPr>
        <w:pStyle w:val="NoSpacing"/>
        <w:jc w:val="both"/>
        <w:rPr>
          <w:szCs w:val="24"/>
        </w:rPr>
      </w:pPr>
      <w:r w:rsidRPr="007245A9">
        <w:rPr>
          <w:i/>
          <w:szCs w:val="24"/>
        </w:rPr>
        <w:t>Civil Division of the Attorney General’s Office</w:t>
      </w:r>
      <w:r w:rsidRPr="007245A9">
        <w:rPr>
          <w:szCs w:val="24"/>
        </w:rPr>
        <w:t>, respondents’ legal practitioners</w:t>
      </w:r>
    </w:p>
    <w:sectPr w:rsidR="00414E20" w:rsidRPr="007245A9" w:rsidSect="0054317D">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149E2" w:rsidRDefault="00F149E2" w:rsidP="009966F8">
      <w:pPr>
        <w:spacing w:before="0" w:after="0" w:line="240" w:lineRule="auto"/>
      </w:pPr>
      <w:r>
        <w:separator/>
      </w:r>
    </w:p>
  </w:endnote>
  <w:endnote w:type="continuationSeparator" w:id="1">
    <w:p w:rsidR="00F149E2" w:rsidRDefault="00F149E2" w:rsidP="009966F8">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149E2" w:rsidRDefault="00F149E2" w:rsidP="009966F8">
      <w:pPr>
        <w:spacing w:before="0" w:after="0" w:line="240" w:lineRule="auto"/>
      </w:pPr>
      <w:r>
        <w:separator/>
      </w:r>
    </w:p>
  </w:footnote>
  <w:footnote w:type="continuationSeparator" w:id="1">
    <w:p w:rsidR="00F149E2" w:rsidRDefault="00F149E2" w:rsidP="009966F8">
      <w:pPr>
        <w:spacing w:before="0"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795231"/>
      <w:docPartObj>
        <w:docPartGallery w:val="Page Numbers (Top of Page)"/>
        <w:docPartUnique/>
      </w:docPartObj>
    </w:sdtPr>
    <w:sdtContent>
      <w:p w:rsidR="009530CF" w:rsidRDefault="006768E1">
        <w:pPr>
          <w:pStyle w:val="Header"/>
          <w:jc w:val="right"/>
        </w:pPr>
        <w:fldSimple w:instr=" PAGE   \* MERGEFORMAT ">
          <w:r w:rsidR="00C06538">
            <w:rPr>
              <w:noProof/>
            </w:rPr>
            <w:t>1</w:t>
          </w:r>
        </w:fldSimple>
      </w:p>
      <w:p w:rsidR="009530CF" w:rsidRDefault="009530CF" w:rsidP="009530CF">
        <w:pPr>
          <w:pStyle w:val="NoSpacing"/>
          <w:ind w:left="7920"/>
        </w:pPr>
        <w:r>
          <w:t xml:space="preserve">        HB 96/20</w:t>
        </w:r>
      </w:p>
      <w:p w:rsidR="009530CF" w:rsidRDefault="009530CF" w:rsidP="009530CF">
        <w:pPr>
          <w:pStyle w:val="NoSpacing"/>
          <w:ind w:left="7920"/>
        </w:pPr>
        <w:r>
          <w:t xml:space="preserve">    HC 2522/17</w:t>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931AD7"/>
    <w:multiLevelType w:val="hybridMultilevel"/>
    <w:tmpl w:val="EB9A276A"/>
    <w:lvl w:ilvl="0" w:tplc="94F04B3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21514B5A"/>
    <w:multiLevelType w:val="hybridMultilevel"/>
    <w:tmpl w:val="973C4998"/>
    <w:lvl w:ilvl="0" w:tplc="575CBB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17215B2"/>
    <w:multiLevelType w:val="hybridMultilevel"/>
    <w:tmpl w:val="F594B4FC"/>
    <w:lvl w:ilvl="0" w:tplc="ABD6B1A8">
      <w:start w:val="1"/>
      <w:numFmt w:val="low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nsid w:val="38DE6769"/>
    <w:multiLevelType w:val="hybridMultilevel"/>
    <w:tmpl w:val="A1C6B844"/>
    <w:lvl w:ilvl="0" w:tplc="1AE630C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513C3762"/>
    <w:multiLevelType w:val="hybridMultilevel"/>
    <w:tmpl w:val="FFECBCAA"/>
    <w:lvl w:ilvl="0" w:tplc="E34C8ED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7B3B4A6E"/>
    <w:multiLevelType w:val="hybridMultilevel"/>
    <w:tmpl w:val="7674D22A"/>
    <w:lvl w:ilvl="0" w:tplc="6F2C7A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5"/>
  </w:num>
  <w:num w:numId="3">
    <w:abstractNumId w:val="3"/>
  </w:num>
  <w:num w:numId="4">
    <w:abstractNumId w:val="4"/>
  </w:num>
  <w:num w:numId="5">
    <w:abstractNumId w:val="0"/>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F17F6"/>
    <w:rsid w:val="000226D6"/>
    <w:rsid w:val="000D20F5"/>
    <w:rsid w:val="001050A0"/>
    <w:rsid w:val="001A261A"/>
    <w:rsid w:val="001D126B"/>
    <w:rsid w:val="002429A7"/>
    <w:rsid w:val="002C75F0"/>
    <w:rsid w:val="002C7F8A"/>
    <w:rsid w:val="002E5619"/>
    <w:rsid w:val="00305C30"/>
    <w:rsid w:val="003A3365"/>
    <w:rsid w:val="003E5BAA"/>
    <w:rsid w:val="003F17F6"/>
    <w:rsid w:val="003F6A88"/>
    <w:rsid w:val="003F74D9"/>
    <w:rsid w:val="00414E20"/>
    <w:rsid w:val="00447F4E"/>
    <w:rsid w:val="00475ED3"/>
    <w:rsid w:val="00477B02"/>
    <w:rsid w:val="00511DC5"/>
    <w:rsid w:val="0054317D"/>
    <w:rsid w:val="005675C4"/>
    <w:rsid w:val="005963BE"/>
    <w:rsid w:val="005E4B0C"/>
    <w:rsid w:val="005F0FEF"/>
    <w:rsid w:val="005F6C9C"/>
    <w:rsid w:val="006768E1"/>
    <w:rsid w:val="0068662E"/>
    <w:rsid w:val="006A03C9"/>
    <w:rsid w:val="00701C30"/>
    <w:rsid w:val="007245A9"/>
    <w:rsid w:val="00740405"/>
    <w:rsid w:val="00793D74"/>
    <w:rsid w:val="007B49A6"/>
    <w:rsid w:val="007D0B26"/>
    <w:rsid w:val="007D2790"/>
    <w:rsid w:val="00851F9D"/>
    <w:rsid w:val="00886E17"/>
    <w:rsid w:val="008A7672"/>
    <w:rsid w:val="008C3209"/>
    <w:rsid w:val="00903B71"/>
    <w:rsid w:val="00912A95"/>
    <w:rsid w:val="009530CF"/>
    <w:rsid w:val="00995E9D"/>
    <w:rsid w:val="009966F8"/>
    <w:rsid w:val="009E5C1A"/>
    <w:rsid w:val="00A50BC8"/>
    <w:rsid w:val="00AB5683"/>
    <w:rsid w:val="00B33780"/>
    <w:rsid w:val="00BF5885"/>
    <w:rsid w:val="00C06538"/>
    <w:rsid w:val="00C11600"/>
    <w:rsid w:val="00C61900"/>
    <w:rsid w:val="00CA730F"/>
    <w:rsid w:val="00CC3532"/>
    <w:rsid w:val="00CE58F1"/>
    <w:rsid w:val="00D20B4C"/>
    <w:rsid w:val="00E10C27"/>
    <w:rsid w:val="00E23E71"/>
    <w:rsid w:val="00E57775"/>
    <w:rsid w:val="00EB509E"/>
    <w:rsid w:val="00F149E2"/>
    <w:rsid w:val="00FC10D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B4C"/>
    <w:pPr>
      <w:spacing w:line="36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61900"/>
    <w:pPr>
      <w:keepLines/>
      <w:contextualSpacing/>
    </w:pPr>
    <w:rPr>
      <w:rFonts w:ascii="Times New Roman" w:hAnsi="Times New Roman"/>
      <w:sz w:val="24"/>
    </w:rPr>
  </w:style>
  <w:style w:type="paragraph" w:styleId="Header">
    <w:name w:val="header"/>
    <w:basedOn w:val="Normal"/>
    <w:link w:val="HeaderChar"/>
    <w:uiPriority w:val="99"/>
    <w:unhideWhenUsed/>
    <w:rsid w:val="009966F8"/>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9966F8"/>
    <w:rPr>
      <w:rFonts w:ascii="Times New Roman" w:hAnsi="Times New Roman"/>
      <w:sz w:val="24"/>
    </w:rPr>
  </w:style>
  <w:style w:type="paragraph" w:styleId="Footer">
    <w:name w:val="footer"/>
    <w:basedOn w:val="Normal"/>
    <w:link w:val="FooterChar"/>
    <w:uiPriority w:val="99"/>
    <w:semiHidden/>
    <w:unhideWhenUsed/>
    <w:rsid w:val="009966F8"/>
    <w:pPr>
      <w:tabs>
        <w:tab w:val="center" w:pos="4680"/>
        <w:tab w:val="right" w:pos="9360"/>
      </w:tabs>
      <w:spacing w:before="0" w:after="0" w:line="240" w:lineRule="auto"/>
    </w:pPr>
  </w:style>
  <w:style w:type="character" w:customStyle="1" w:styleId="FooterChar">
    <w:name w:val="Footer Char"/>
    <w:basedOn w:val="DefaultParagraphFont"/>
    <w:link w:val="Footer"/>
    <w:uiPriority w:val="99"/>
    <w:semiHidden/>
    <w:rsid w:val="009966F8"/>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255</TotalTime>
  <Pages>1</Pages>
  <Words>1979</Words>
  <Characters>11284</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sabawu</dc:creator>
  <cp:lastModifiedBy>sabawu</cp:lastModifiedBy>
  <cp:revision>19</cp:revision>
  <cp:lastPrinted>2020-06-30T10:37:00Z</cp:lastPrinted>
  <dcterms:created xsi:type="dcterms:W3CDTF">2020-06-09T12:54:00Z</dcterms:created>
  <dcterms:modified xsi:type="dcterms:W3CDTF">2020-06-30T10:39:00Z</dcterms:modified>
</cp:coreProperties>
</file>