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BAEBD" w14:textId="2BCB8A61" w:rsidR="006B1974" w:rsidRPr="0066478C" w:rsidRDefault="006B1974" w:rsidP="0066478C">
      <w:pPr>
        <w:pStyle w:val="NoSpacing"/>
        <w:spacing w:before="0" w:beforeAutospacing="0" w:after="0" w:afterAutospacing="0"/>
        <w:jc w:val="both"/>
        <w:rPr>
          <w:szCs w:val="24"/>
          <w:lang w:val="fr-CA"/>
        </w:rPr>
      </w:pPr>
      <w:bookmarkStart w:id="0" w:name="_GoBack"/>
      <w:bookmarkEnd w:id="0"/>
      <w:r w:rsidRPr="0066478C">
        <w:rPr>
          <w:szCs w:val="24"/>
          <w:lang w:val="fr-CA"/>
        </w:rPr>
        <w:t>EX-CONSTABLE ARTWELL KAMHESI 075030D</w:t>
      </w:r>
    </w:p>
    <w:p w14:paraId="0AA5A7CB" w14:textId="3A887365" w:rsidR="006B1974" w:rsidRPr="0066478C" w:rsidRDefault="0066478C" w:rsidP="0066478C">
      <w:pPr>
        <w:pStyle w:val="NoSpacing"/>
        <w:spacing w:before="0" w:beforeAutospacing="0" w:after="0" w:afterAutospacing="0"/>
        <w:jc w:val="both"/>
        <w:rPr>
          <w:szCs w:val="24"/>
          <w:lang w:val="fr-CA"/>
        </w:rPr>
      </w:pPr>
      <w:r w:rsidRPr="0066478C">
        <w:rPr>
          <w:szCs w:val="24"/>
          <w:lang w:val="fr-CA"/>
        </w:rPr>
        <w:t>v</w:t>
      </w:r>
      <w:r w:rsidR="006B1974" w:rsidRPr="0066478C">
        <w:rPr>
          <w:szCs w:val="24"/>
          <w:lang w:val="fr-CA"/>
        </w:rPr>
        <w:t>ersus</w:t>
      </w:r>
    </w:p>
    <w:p w14:paraId="2E5B11D6" w14:textId="1FBFC076" w:rsidR="006B1974" w:rsidRPr="0066478C" w:rsidRDefault="006B1974" w:rsidP="0066478C">
      <w:pPr>
        <w:pStyle w:val="NoSpacing"/>
        <w:spacing w:before="0" w:beforeAutospacing="0" w:after="0" w:afterAutospacing="0"/>
        <w:jc w:val="both"/>
        <w:rPr>
          <w:szCs w:val="24"/>
        </w:rPr>
      </w:pPr>
      <w:r w:rsidRPr="0066478C">
        <w:rPr>
          <w:szCs w:val="24"/>
        </w:rPr>
        <w:t xml:space="preserve">THE COMMISSIONER GENERAL OF POLICE </w:t>
      </w:r>
    </w:p>
    <w:p w14:paraId="14888E48" w14:textId="1A472F62" w:rsidR="006B1974" w:rsidRPr="0066478C" w:rsidRDefault="0066478C" w:rsidP="0066478C">
      <w:pPr>
        <w:pStyle w:val="NoSpacing"/>
        <w:spacing w:before="0" w:beforeAutospacing="0" w:after="0" w:afterAutospacing="0"/>
        <w:jc w:val="both"/>
        <w:rPr>
          <w:szCs w:val="24"/>
        </w:rPr>
      </w:pPr>
      <w:r w:rsidRPr="0066478C">
        <w:rPr>
          <w:szCs w:val="24"/>
        </w:rPr>
        <w:t>a</w:t>
      </w:r>
      <w:r w:rsidR="006B1974" w:rsidRPr="0066478C">
        <w:rPr>
          <w:szCs w:val="24"/>
        </w:rPr>
        <w:t xml:space="preserve">nd </w:t>
      </w:r>
    </w:p>
    <w:p w14:paraId="52F82C20" w14:textId="7402D540" w:rsidR="006B1974" w:rsidRPr="0066478C" w:rsidRDefault="006B1974" w:rsidP="0066478C">
      <w:pPr>
        <w:pStyle w:val="NoSpacing"/>
        <w:spacing w:before="0" w:beforeAutospacing="0" w:after="0" w:afterAutospacing="0"/>
        <w:jc w:val="both"/>
        <w:rPr>
          <w:szCs w:val="24"/>
        </w:rPr>
      </w:pPr>
      <w:r w:rsidRPr="0066478C">
        <w:rPr>
          <w:szCs w:val="24"/>
        </w:rPr>
        <w:t xml:space="preserve">THE POLICE SERVICE COMMISSION </w:t>
      </w:r>
    </w:p>
    <w:p w14:paraId="24EDB944" w14:textId="77777777" w:rsidR="006B1974" w:rsidRDefault="006B1974" w:rsidP="0066478C">
      <w:pPr>
        <w:pStyle w:val="NoSpacing"/>
        <w:spacing w:before="0" w:beforeAutospacing="0" w:after="0" w:afterAutospacing="0"/>
        <w:jc w:val="both"/>
        <w:rPr>
          <w:b/>
          <w:szCs w:val="24"/>
        </w:rPr>
      </w:pPr>
    </w:p>
    <w:p w14:paraId="49543809" w14:textId="77777777" w:rsidR="0066478C" w:rsidRPr="00D10188" w:rsidRDefault="0066478C" w:rsidP="0066478C">
      <w:pPr>
        <w:pStyle w:val="NoSpacing"/>
        <w:spacing w:before="0" w:beforeAutospacing="0" w:after="0" w:afterAutospacing="0"/>
        <w:jc w:val="both"/>
        <w:rPr>
          <w:b/>
          <w:szCs w:val="24"/>
        </w:rPr>
      </w:pPr>
    </w:p>
    <w:p w14:paraId="4EE91F3F" w14:textId="3EF69A52" w:rsidR="006B1974" w:rsidRPr="00D10188" w:rsidRDefault="006B1974" w:rsidP="0066478C">
      <w:pPr>
        <w:pStyle w:val="NoSpacing"/>
        <w:spacing w:before="0" w:beforeAutospacing="0" w:after="0" w:afterAutospacing="0"/>
        <w:jc w:val="both"/>
        <w:rPr>
          <w:szCs w:val="24"/>
        </w:rPr>
      </w:pPr>
      <w:r w:rsidRPr="00D10188">
        <w:rPr>
          <w:szCs w:val="24"/>
        </w:rPr>
        <w:t>HIGH COURT OF ZIMBABWE</w:t>
      </w:r>
    </w:p>
    <w:p w14:paraId="6060A0E8" w14:textId="354012EB" w:rsidR="006B1974" w:rsidRPr="0066478C" w:rsidRDefault="006B1974" w:rsidP="0066478C">
      <w:pPr>
        <w:pStyle w:val="NoSpacing"/>
        <w:spacing w:before="0" w:beforeAutospacing="0" w:after="0" w:afterAutospacing="0"/>
        <w:jc w:val="both"/>
        <w:rPr>
          <w:b/>
          <w:szCs w:val="24"/>
        </w:rPr>
      </w:pPr>
      <w:r w:rsidRPr="0066478C">
        <w:rPr>
          <w:b/>
          <w:szCs w:val="24"/>
        </w:rPr>
        <w:t>DUBE-BANDA J</w:t>
      </w:r>
    </w:p>
    <w:p w14:paraId="7609C922" w14:textId="43436C4F" w:rsidR="006B1974" w:rsidRPr="00D10188" w:rsidRDefault="006B1974" w:rsidP="0066478C">
      <w:pPr>
        <w:pStyle w:val="NoSpacing"/>
        <w:spacing w:before="0" w:beforeAutospacing="0" w:after="0" w:afterAutospacing="0"/>
        <w:jc w:val="both"/>
        <w:rPr>
          <w:szCs w:val="24"/>
        </w:rPr>
      </w:pPr>
      <w:r>
        <w:rPr>
          <w:szCs w:val="24"/>
        </w:rPr>
        <w:t>HARARE</w:t>
      </w:r>
      <w:r w:rsidR="0066478C">
        <w:rPr>
          <w:szCs w:val="24"/>
        </w:rPr>
        <w:t xml:space="preserve">; </w:t>
      </w:r>
      <w:r>
        <w:rPr>
          <w:szCs w:val="24"/>
        </w:rPr>
        <w:t>12 June 2025</w:t>
      </w:r>
    </w:p>
    <w:p w14:paraId="707609EC" w14:textId="77777777" w:rsidR="006B1974" w:rsidRDefault="006B1974" w:rsidP="0066478C">
      <w:pPr>
        <w:pStyle w:val="NoSpacing"/>
        <w:spacing w:before="0" w:beforeAutospacing="0" w:after="0" w:afterAutospacing="0"/>
        <w:jc w:val="both"/>
        <w:rPr>
          <w:szCs w:val="24"/>
        </w:rPr>
      </w:pPr>
    </w:p>
    <w:p w14:paraId="158B0898" w14:textId="77777777" w:rsidR="0066478C" w:rsidRPr="00D10188" w:rsidRDefault="0066478C" w:rsidP="0066478C">
      <w:pPr>
        <w:pStyle w:val="NoSpacing"/>
        <w:spacing w:before="0" w:beforeAutospacing="0" w:after="0" w:afterAutospacing="0"/>
        <w:jc w:val="both"/>
        <w:rPr>
          <w:szCs w:val="24"/>
        </w:rPr>
      </w:pPr>
    </w:p>
    <w:p w14:paraId="7B678436" w14:textId="4C686C25" w:rsidR="006B1974" w:rsidRPr="0066478C" w:rsidRDefault="006B1974" w:rsidP="0066478C">
      <w:pPr>
        <w:pStyle w:val="NoSpacing"/>
        <w:spacing w:before="0" w:beforeAutospacing="0" w:after="0" w:afterAutospacing="0"/>
        <w:jc w:val="both"/>
        <w:rPr>
          <w:b/>
          <w:i/>
          <w:szCs w:val="24"/>
        </w:rPr>
      </w:pPr>
      <w:r w:rsidRPr="0066478C">
        <w:rPr>
          <w:b/>
          <w:i/>
          <w:szCs w:val="24"/>
        </w:rPr>
        <w:t xml:space="preserve">Application for condonation </w:t>
      </w:r>
    </w:p>
    <w:p w14:paraId="4D4817F5" w14:textId="77777777" w:rsidR="006B1974" w:rsidRDefault="006B1974" w:rsidP="0066478C">
      <w:pPr>
        <w:pStyle w:val="NoSpacing"/>
        <w:spacing w:before="0" w:beforeAutospacing="0" w:after="0" w:afterAutospacing="0"/>
        <w:jc w:val="both"/>
        <w:rPr>
          <w:szCs w:val="24"/>
        </w:rPr>
      </w:pPr>
    </w:p>
    <w:p w14:paraId="0C9EEC77" w14:textId="77777777" w:rsidR="0066478C" w:rsidRPr="00D10188" w:rsidRDefault="0066478C" w:rsidP="0066478C">
      <w:pPr>
        <w:pStyle w:val="NoSpacing"/>
        <w:spacing w:before="0" w:beforeAutospacing="0" w:after="0" w:afterAutospacing="0"/>
        <w:jc w:val="both"/>
        <w:rPr>
          <w:szCs w:val="24"/>
        </w:rPr>
      </w:pPr>
    </w:p>
    <w:p w14:paraId="61CBF415" w14:textId="50F1346B" w:rsidR="006B1974" w:rsidRPr="00D10188" w:rsidRDefault="006B1974" w:rsidP="0066478C">
      <w:pPr>
        <w:pStyle w:val="NoSpacing"/>
        <w:spacing w:before="0" w:beforeAutospacing="0" w:after="0" w:afterAutospacing="0"/>
        <w:jc w:val="both"/>
        <w:rPr>
          <w:szCs w:val="24"/>
        </w:rPr>
      </w:pPr>
      <w:r>
        <w:rPr>
          <w:i/>
          <w:szCs w:val="24"/>
        </w:rPr>
        <w:t>N. Mugiya</w:t>
      </w:r>
      <w:r w:rsidRPr="00D10188">
        <w:rPr>
          <w:szCs w:val="24"/>
        </w:rPr>
        <w:t xml:space="preserve"> for the applicant</w:t>
      </w:r>
    </w:p>
    <w:p w14:paraId="685FC0EA" w14:textId="77FA072A" w:rsidR="006B1974" w:rsidRDefault="006B1974" w:rsidP="0066478C">
      <w:pPr>
        <w:pStyle w:val="NoSpacing"/>
        <w:spacing w:before="0" w:beforeAutospacing="0" w:after="0" w:afterAutospacing="0"/>
        <w:jc w:val="both"/>
        <w:rPr>
          <w:szCs w:val="24"/>
        </w:rPr>
      </w:pPr>
      <w:r w:rsidRPr="0066478C">
        <w:rPr>
          <w:szCs w:val="24"/>
        </w:rPr>
        <w:t>Ms</w:t>
      </w:r>
      <w:r>
        <w:rPr>
          <w:i/>
          <w:szCs w:val="24"/>
        </w:rPr>
        <w:t xml:space="preserve">. R.B. Madiro </w:t>
      </w:r>
      <w:r w:rsidRPr="00D10188">
        <w:rPr>
          <w:szCs w:val="24"/>
        </w:rPr>
        <w:t>for the respondent</w:t>
      </w:r>
      <w:r>
        <w:rPr>
          <w:szCs w:val="24"/>
        </w:rPr>
        <w:t>s</w:t>
      </w:r>
    </w:p>
    <w:p w14:paraId="37F18524" w14:textId="77777777" w:rsidR="0066478C" w:rsidRDefault="0066478C" w:rsidP="0066478C">
      <w:pPr>
        <w:pStyle w:val="NoSpacing"/>
        <w:spacing w:before="0" w:beforeAutospacing="0" w:after="0" w:afterAutospacing="0"/>
        <w:jc w:val="both"/>
        <w:rPr>
          <w:szCs w:val="24"/>
        </w:rPr>
      </w:pPr>
    </w:p>
    <w:p w14:paraId="478D74F1" w14:textId="77777777" w:rsidR="0066478C" w:rsidRPr="00D10188" w:rsidRDefault="0066478C" w:rsidP="0066478C">
      <w:pPr>
        <w:pStyle w:val="NoSpacing"/>
        <w:spacing w:before="0" w:beforeAutospacing="0" w:after="0" w:afterAutospacing="0"/>
        <w:jc w:val="both"/>
        <w:rPr>
          <w:szCs w:val="24"/>
        </w:rPr>
      </w:pPr>
    </w:p>
    <w:p w14:paraId="66C37B51" w14:textId="33E9F3D4" w:rsidR="006B1974" w:rsidRDefault="006B1974" w:rsidP="0066478C">
      <w:pPr>
        <w:spacing w:after="0" w:line="240" w:lineRule="auto"/>
        <w:jc w:val="both"/>
        <w:rPr>
          <w:rFonts w:ascii="Times New Roman" w:hAnsi="Times New Roman" w:cs="Times New Roman"/>
          <w:sz w:val="24"/>
          <w:szCs w:val="24"/>
        </w:rPr>
      </w:pPr>
      <w:r w:rsidRPr="00D10188">
        <w:rPr>
          <w:szCs w:val="24"/>
        </w:rPr>
        <w:tab/>
      </w:r>
      <w:r w:rsidRPr="0066478C">
        <w:rPr>
          <w:rFonts w:ascii="Times New Roman" w:hAnsi="Times New Roman" w:cs="Times New Roman"/>
          <w:sz w:val="24"/>
          <w:szCs w:val="24"/>
        </w:rPr>
        <w:t>DUBE-BANDA J:</w:t>
      </w:r>
      <w:r w:rsidRPr="0066478C">
        <w:rPr>
          <w:rFonts w:ascii="Times New Roman" w:hAnsi="Times New Roman" w:cs="Times New Roman"/>
          <w:sz w:val="24"/>
          <w:szCs w:val="24"/>
        </w:rPr>
        <w:tab/>
      </w:r>
    </w:p>
    <w:p w14:paraId="53C0DA31" w14:textId="77777777" w:rsidR="0066478C" w:rsidRDefault="0066478C" w:rsidP="0066478C">
      <w:pPr>
        <w:spacing w:after="0" w:line="240" w:lineRule="auto"/>
        <w:jc w:val="both"/>
        <w:rPr>
          <w:rFonts w:ascii="Times New Roman" w:hAnsi="Times New Roman" w:cs="Times New Roman"/>
          <w:sz w:val="24"/>
          <w:szCs w:val="24"/>
        </w:rPr>
      </w:pPr>
    </w:p>
    <w:p w14:paraId="287F7DB7" w14:textId="77777777" w:rsidR="0066478C" w:rsidRPr="0066478C" w:rsidRDefault="0066478C" w:rsidP="0066478C">
      <w:pPr>
        <w:spacing w:after="0" w:line="240" w:lineRule="auto"/>
        <w:jc w:val="both"/>
        <w:rPr>
          <w:rFonts w:ascii="Times New Roman" w:hAnsi="Times New Roman" w:cs="Times New Roman"/>
          <w:sz w:val="24"/>
          <w:szCs w:val="24"/>
        </w:rPr>
      </w:pPr>
    </w:p>
    <w:p w14:paraId="35E7C19D" w14:textId="77777777" w:rsidR="0066478C" w:rsidRDefault="00B861AF" w:rsidP="00B861AF">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After hearing submissions, in an </w:t>
      </w:r>
      <w:r w:rsidRPr="0066478C">
        <w:rPr>
          <w:rFonts w:ascii="Times New Roman" w:hAnsi="Times New Roman" w:cs="Times New Roman"/>
          <w:i/>
          <w:iCs/>
          <w:sz w:val="24"/>
          <w:szCs w:val="24"/>
        </w:rPr>
        <w:t>ex-tempore</w:t>
      </w:r>
      <w:r w:rsidRPr="0066478C">
        <w:rPr>
          <w:rFonts w:ascii="Times New Roman" w:hAnsi="Times New Roman" w:cs="Times New Roman"/>
          <w:sz w:val="24"/>
          <w:szCs w:val="24"/>
        </w:rPr>
        <w:t xml:space="preserve"> judgment, I dismissed the application with costs. The applicant has requested written reasons for the decision. These are the written reasons. </w:t>
      </w:r>
    </w:p>
    <w:p w14:paraId="5CE1D5C9" w14:textId="58C90C31" w:rsidR="0066478C" w:rsidRDefault="00B861AF" w:rsidP="00064732">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This is an application for condonation for failing to file an application for review within the timeline allowed by the rules of court. The applicant is a former police constable</w:t>
      </w:r>
      <w:r w:rsidR="0066478C">
        <w:rPr>
          <w:rFonts w:ascii="Times New Roman" w:hAnsi="Times New Roman" w:cs="Times New Roman"/>
          <w:sz w:val="24"/>
          <w:szCs w:val="24"/>
        </w:rPr>
        <w:t>, having been attested to</w:t>
      </w:r>
      <w:r w:rsidRPr="0066478C">
        <w:rPr>
          <w:rFonts w:ascii="Times New Roman" w:hAnsi="Times New Roman" w:cs="Times New Roman"/>
          <w:sz w:val="24"/>
          <w:szCs w:val="24"/>
        </w:rPr>
        <w:t xml:space="preserve"> the Police Service on 2 June 2011.</w:t>
      </w:r>
      <w:r w:rsidR="00E72222" w:rsidRPr="0066478C">
        <w:rPr>
          <w:rFonts w:ascii="Times New Roman" w:hAnsi="Times New Roman" w:cs="Times New Roman"/>
          <w:sz w:val="24"/>
          <w:szCs w:val="24"/>
        </w:rPr>
        <w:t xml:space="preserve"> He was discharged on 31 July 2012. </w:t>
      </w:r>
      <w:r w:rsidR="003B7030" w:rsidRPr="0066478C">
        <w:rPr>
          <w:rFonts w:ascii="Times New Roman" w:hAnsi="Times New Roman" w:cs="Times New Roman"/>
          <w:sz w:val="24"/>
          <w:szCs w:val="24"/>
        </w:rPr>
        <w:t xml:space="preserve">The background to his discharge is that he </w:t>
      </w:r>
      <w:r w:rsidR="00F46DA5" w:rsidRPr="0066478C">
        <w:rPr>
          <w:rFonts w:ascii="Times New Roman" w:hAnsi="Times New Roman" w:cs="Times New Roman"/>
          <w:sz w:val="24"/>
          <w:szCs w:val="24"/>
        </w:rPr>
        <w:t xml:space="preserve">appeared before the Magistrates’ Court </w:t>
      </w:r>
      <w:r w:rsidR="003B7030" w:rsidRPr="0066478C">
        <w:rPr>
          <w:rFonts w:ascii="Times New Roman" w:hAnsi="Times New Roman" w:cs="Times New Roman"/>
          <w:sz w:val="24"/>
          <w:szCs w:val="24"/>
        </w:rPr>
        <w:t>charged with two counts, theft in contravention of s 113(1) of the Criminal Law (Codification and Reform) Act [Chapter</w:t>
      </w:r>
      <w:r w:rsidR="0071576C">
        <w:rPr>
          <w:rFonts w:ascii="Times New Roman" w:hAnsi="Times New Roman" w:cs="Times New Roman"/>
          <w:sz w:val="24"/>
          <w:szCs w:val="24"/>
        </w:rPr>
        <w:t xml:space="preserve"> 9:23</w:t>
      </w:r>
      <w:r w:rsidR="003B7030" w:rsidRPr="0066478C">
        <w:rPr>
          <w:rFonts w:ascii="Times New Roman" w:hAnsi="Times New Roman" w:cs="Times New Roman"/>
          <w:sz w:val="24"/>
          <w:szCs w:val="24"/>
        </w:rPr>
        <w:t xml:space="preserve">] </w:t>
      </w:r>
      <w:r w:rsidR="00E72222" w:rsidRPr="0066478C">
        <w:rPr>
          <w:rFonts w:ascii="Times New Roman" w:hAnsi="Times New Roman" w:cs="Times New Roman"/>
          <w:sz w:val="24"/>
          <w:szCs w:val="24"/>
        </w:rPr>
        <w:t xml:space="preserve">(“Criminal Code”) </w:t>
      </w:r>
      <w:r w:rsidR="003B7030" w:rsidRPr="0066478C">
        <w:rPr>
          <w:rFonts w:ascii="Times New Roman" w:hAnsi="Times New Roman" w:cs="Times New Roman"/>
          <w:sz w:val="24"/>
          <w:szCs w:val="24"/>
        </w:rPr>
        <w:t>and escaping from lawful custody</w:t>
      </w:r>
      <w:r w:rsidR="00E72222" w:rsidRPr="0066478C">
        <w:rPr>
          <w:rFonts w:ascii="Times New Roman" w:hAnsi="Times New Roman" w:cs="Times New Roman"/>
          <w:sz w:val="24"/>
          <w:szCs w:val="24"/>
        </w:rPr>
        <w:t xml:space="preserve"> in contravening s 185(1)(a) of the Criminal Code</w:t>
      </w:r>
      <w:r w:rsidR="003B7030" w:rsidRPr="0066478C">
        <w:rPr>
          <w:rFonts w:ascii="Times New Roman" w:hAnsi="Times New Roman" w:cs="Times New Roman"/>
          <w:sz w:val="24"/>
          <w:szCs w:val="24"/>
        </w:rPr>
        <w:t>. He was convicted of both counts</w:t>
      </w:r>
      <w:r w:rsidR="00E72222" w:rsidRPr="0066478C">
        <w:rPr>
          <w:rFonts w:ascii="Times New Roman" w:hAnsi="Times New Roman" w:cs="Times New Roman"/>
          <w:sz w:val="24"/>
          <w:szCs w:val="24"/>
        </w:rPr>
        <w:t xml:space="preserve"> and sentenced as follows: for theft he was sentenced </w:t>
      </w:r>
      <w:r w:rsidR="0081464E">
        <w:rPr>
          <w:rFonts w:ascii="Times New Roman" w:hAnsi="Times New Roman" w:cs="Times New Roman"/>
          <w:sz w:val="24"/>
          <w:szCs w:val="24"/>
        </w:rPr>
        <w:t xml:space="preserve">to </w:t>
      </w:r>
      <w:r w:rsidR="00E72222" w:rsidRPr="0066478C">
        <w:rPr>
          <w:rFonts w:ascii="Times New Roman" w:hAnsi="Times New Roman" w:cs="Times New Roman"/>
          <w:sz w:val="24"/>
          <w:szCs w:val="24"/>
        </w:rPr>
        <w:t xml:space="preserve">six months imprisonment of which three months were suspended for five years on condition of good behaviour and the remaining three months suspended on condition of restitution. For escaping from lawful custody, he was sentenced to pay a fine of ZWL $30 000.00, in default of payment thirty days imprisonment. </w:t>
      </w:r>
      <w:r w:rsidR="00F46DA5" w:rsidRPr="0066478C">
        <w:rPr>
          <w:rFonts w:ascii="Times New Roman" w:hAnsi="Times New Roman" w:cs="Times New Roman"/>
          <w:sz w:val="24"/>
          <w:szCs w:val="24"/>
        </w:rPr>
        <w:t xml:space="preserve">In addition, internally he was charged with two counts for contravening the provisions of the Police Act and was found guilty and both counts were taken as one and he </w:t>
      </w:r>
      <w:r w:rsidR="00842366" w:rsidRPr="0066478C">
        <w:rPr>
          <w:rFonts w:ascii="Times New Roman" w:hAnsi="Times New Roman" w:cs="Times New Roman"/>
          <w:sz w:val="24"/>
          <w:szCs w:val="24"/>
        </w:rPr>
        <w:t xml:space="preserve">was </w:t>
      </w:r>
      <w:r w:rsidR="00F46DA5" w:rsidRPr="0066478C">
        <w:rPr>
          <w:rFonts w:ascii="Times New Roman" w:hAnsi="Times New Roman" w:cs="Times New Roman"/>
          <w:sz w:val="24"/>
          <w:szCs w:val="24"/>
        </w:rPr>
        <w:t xml:space="preserve">sentenced to pay a fine of ZWL$1000.00. </w:t>
      </w:r>
      <w:r w:rsidR="009C26A4" w:rsidRPr="0066478C">
        <w:rPr>
          <w:rFonts w:ascii="Times New Roman" w:hAnsi="Times New Roman" w:cs="Times New Roman"/>
          <w:sz w:val="24"/>
          <w:szCs w:val="24"/>
        </w:rPr>
        <w:t xml:space="preserve">Following </w:t>
      </w:r>
      <w:r w:rsidR="00F46DA5" w:rsidRPr="0066478C">
        <w:rPr>
          <w:rFonts w:ascii="Times New Roman" w:hAnsi="Times New Roman" w:cs="Times New Roman"/>
          <w:sz w:val="24"/>
          <w:szCs w:val="24"/>
        </w:rPr>
        <w:t xml:space="preserve">his sentence on the theft count, </w:t>
      </w:r>
      <w:r w:rsidR="00F46DA5" w:rsidRPr="0066478C">
        <w:rPr>
          <w:rFonts w:ascii="Times New Roman" w:hAnsi="Times New Roman" w:cs="Times New Roman"/>
          <w:sz w:val="24"/>
          <w:szCs w:val="24"/>
        </w:rPr>
        <w:lastRenderedPageBreak/>
        <w:t xml:space="preserve">he was in terms of s 48 of the Police Act discharged from the Police Service. </w:t>
      </w:r>
      <w:r w:rsidR="002660EF" w:rsidRPr="0066478C">
        <w:rPr>
          <w:rFonts w:ascii="Times New Roman" w:hAnsi="Times New Roman" w:cs="Times New Roman"/>
          <w:sz w:val="24"/>
          <w:szCs w:val="24"/>
        </w:rPr>
        <w:t xml:space="preserve">The applicant </w:t>
      </w:r>
      <w:r w:rsidR="00B718F3" w:rsidRPr="0066478C">
        <w:rPr>
          <w:rFonts w:ascii="Times New Roman" w:hAnsi="Times New Roman" w:cs="Times New Roman"/>
          <w:sz w:val="24"/>
          <w:szCs w:val="24"/>
        </w:rPr>
        <w:t xml:space="preserve">seeks condonation to file a review application. </w:t>
      </w:r>
    </w:p>
    <w:p w14:paraId="4F44475A" w14:textId="77777777" w:rsidR="0066478C" w:rsidRDefault="00725C37" w:rsidP="00064732">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In his answering affidavit the applicant took a point </w:t>
      </w:r>
      <w:r w:rsidRPr="0066478C">
        <w:rPr>
          <w:rFonts w:ascii="Times New Roman" w:hAnsi="Times New Roman" w:cs="Times New Roman"/>
          <w:i/>
          <w:iCs/>
          <w:sz w:val="24"/>
          <w:szCs w:val="24"/>
        </w:rPr>
        <w:t>in limine</w:t>
      </w:r>
      <w:r w:rsidRPr="0066478C">
        <w:rPr>
          <w:rFonts w:ascii="Times New Roman" w:hAnsi="Times New Roman" w:cs="Times New Roman"/>
          <w:sz w:val="24"/>
          <w:szCs w:val="24"/>
        </w:rPr>
        <w:t xml:space="preserve"> that the second respondent filed an invalid opposing affidavit, in that it is not commissioned. </w:t>
      </w:r>
      <w:r w:rsidR="007D2ABD" w:rsidRPr="0066478C">
        <w:rPr>
          <w:rFonts w:ascii="Times New Roman" w:hAnsi="Times New Roman" w:cs="Times New Roman"/>
          <w:sz w:val="24"/>
          <w:szCs w:val="24"/>
        </w:rPr>
        <w:t xml:space="preserve">It is correct that the second respondent filed an un-commissioned statement, such is not an affidavit. The rules require a respondent to file a notice of opposition together with one or more opposing affidavits. Without a valid opposing affidavit there could no notice of opposition. Therefore, the second respondent has no valid notice of opposition. In the circumstances, the point </w:t>
      </w:r>
      <w:r w:rsidR="007D2ABD" w:rsidRPr="0066478C">
        <w:rPr>
          <w:rFonts w:ascii="Times New Roman" w:hAnsi="Times New Roman" w:cs="Times New Roman"/>
          <w:i/>
          <w:iCs/>
          <w:sz w:val="24"/>
          <w:szCs w:val="24"/>
        </w:rPr>
        <w:t>in limine</w:t>
      </w:r>
      <w:r w:rsidR="007D2ABD" w:rsidRPr="0066478C">
        <w:rPr>
          <w:rFonts w:ascii="Times New Roman" w:hAnsi="Times New Roman" w:cs="Times New Roman"/>
          <w:sz w:val="24"/>
          <w:szCs w:val="24"/>
        </w:rPr>
        <w:t xml:space="preserve"> taken by the applicant is upheld and the un-commissioned statement is expunged from the record. </w:t>
      </w:r>
      <w:r w:rsidR="00064732" w:rsidRPr="0066478C">
        <w:rPr>
          <w:rFonts w:ascii="Times New Roman" w:hAnsi="Times New Roman" w:cs="Times New Roman"/>
          <w:sz w:val="24"/>
          <w:szCs w:val="24"/>
        </w:rPr>
        <w:t xml:space="preserve">However, this finding is not dispositive of the matter because the first respondent filed a valid notice of opposition. The application is opposed. </w:t>
      </w:r>
    </w:p>
    <w:p w14:paraId="7D35FA22" w14:textId="09721879" w:rsidR="002660EF" w:rsidRPr="0066478C" w:rsidRDefault="00064732" w:rsidP="0066478C">
      <w:pPr>
        <w:pStyle w:val="ListParagraph"/>
        <w:numPr>
          <w:ilvl w:val="0"/>
          <w:numId w:val="1"/>
        </w:numPr>
        <w:spacing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I now turn to the merits of the matter. </w:t>
      </w:r>
      <w:r w:rsidR="00F46DA5" w:rsidRPr="0066478C">
        <w:rPr>
          <w:rFonts w:ascii="Times New Roman" w:hAnsi="Times New Roman" w:cs="Times New Roman"/>
          <w:sz w:val="24"/>
          <w:szCs w:val="24"/>
        </w:rPr>
        <w:t xml:space="preserve"> </w:t>
      </w:r>
      <w:r w:rsidR="002660EF" w:rsidRPr="0066478C">
        <w:rPr>
          <w:rFonts w:ascii="Times New Roman" w:eastAsia="Calibri" w:hAnsi="Times New Roman" w:cs="Times New Roman"/>
          <w:sz w:val="24"/>
          <w:szCs w:val="24"/>
          <w:lang w:val="en-ZA"/>
        </w:rPr>
        <w:t>It is trite that a litigant who has infringed the rules of court must seek condonation for non-compliance with the rules and extension of time within which to comply.</w:t>
      </w:r>
      <w:r w:rsidR="002660EF" w:rsidRPr="0066478C">
        <w:rPr>
          <w:rFonts w:ascii="Times New Roman" w:hAnsi="Times New Roman" w:cs="Times New Roman"/>
          <w:sz w:val="24"/>
          <w:szCs w:val="24"/>
        </w:rPr>
        <w:t xml:space="preserve"> In this endeavour an applicant is obliged to, </w:t>
      </w:r>
      <w:r w:rsidR="002660EF" w:rsidRPr="0066478C">
        <w:rPr>
          <w:rFonts w:ascii="Times New Roman" w:hAnsi="Times New Roman" w:cs="Times New Roman"/>
          <w:i/>
          <w:iCs/>
          <w:sz w:val="24"/>
          <w:szCs w:val="24"/>
        </w:rPr>
        <w:t>inter alia</w:t>
      </w:r>
      <w:r w:rsidR="002660EF" w:rsidRPr="0066478C">
        <w:rPr>
          <w:rFonts w:ascii="Times New Roman" w:hAnsi="Times New Roman" w:cs="Times New Roman"/>
          <w:sz w:val="24"/>
          <w:szCs w:val="24"/>
        </w:rPr>
        <w:t>, provide a reasonable explanation for non-compliance with the rules and any delay involved in seeking condonation.  The applicant must also establish that there are good prospects of success on review should the indulgence be granted. In</w:t>
      </w:r>
      <w:r w:rsidR="002660EF" w:rsidRPr="0066478C">
        <w:rPr>
          <w:rFonts w:ascii="Times New Roman" w:eastAsia="Calibri" w:hAnsi="Times New Roman" w:cs="Times New Roman"/>
          <w:sz w:val="24"/>
          <w:szCs w:val="24"/>
        </w:rPr>
        <w:t xml:space="preserve"> </w:t>
      </w:r>
      <w:r w:rsidR="002660EF" w:rsidRPr="0066478C">
        <w:rPr>
          <w:rFonts w:ascii="Times New Roman" w:eastAsia="Calibri" w:hAnsi="Times New Roman" w:cs="Times New Roman"/>
          <w:i/>
          <w:sz w:val="24"/>
          <w:szCs w:val="24"/>
        </w:rPr>
        <w:t xml:space="preserve">Maheya </w:t>
      </w:r>
      <w:r w:rsidR="002660EF" w:rsidRPr="0066478C">
        <w:rPr>
          <w:rFonts w:ascii="Times New Roman" w:eastAsia="Calibri" w:hAnsi="Times New Roman" w:cs="Times New Roman"/>
          <w:sz w:val="24"/>
          <w:szCs w:val="24"/>
        </w:rPr>
        <w:t>v</w:t>
      </w:r>
      <w:r w:rsidR="002660EF" w:rsidRPr="0066478C">
        <w:rPr>
          <w:rFonts w:ascii="Times New Roman" w:eastAsia="Calibri" w:hAnsi="Times New Roman" w:cs="Times New Roman"/>
          <w:i/>
          <w:sz w:val="24"/>
          <w:szCs w:val="24"/>
        </w:rPr>
        <w:t xml:space="preserve"> Independent Africa Church </w:t>
      </w:r>
      <w:r w:rsidR="002660EF" w:rsidRPr="0066478C">
        <w:rPr>
          <w:rFonts w:ascii="Times New Roman" w:eastAsia="Calibri" w:hAnsi="Times New Roman" w:cs="Times New Roman"/>
          <w:sz w:val="24"/>
          <w:szCs w:val="24"/>
        </w:rPr>
        <w:t>2007(2) ZLR319(S) at 323B-C wherein M</w:t>
      </w:r>
      <w:r w:rsidR="002660EF" w:rsidRPr="0066478C">
        <w:rPr>
          <w:rFonts w:ascii="Times New Roman" w:eastAsia="Calibri" w:hAnsi="Times New Roman" w:cs="Times New Roman"/>
          <w:sz w:val="20"/>
          <w:szCs w:val="20"/>
        </w:rPr>
        <w:t>ALABA</w:t>
      </w:r>
      <w:r w:rsidR="002660EF" w:rsidRPr="0066478C">
        <w:rPr>
          <w:rFonts w:ascii="Times New Roman" w:eastAsia="Calibri" w:hAnsi="Times New Roman" w:cs="Times New Roman"/>
          <w:sz w:val="24"/>
          <w:szCs w:val="24"/>
        </w:rPr>
        <w:t xml:space="preserve"> JA (as he then was) said:</w:t>
      </w:r>
    </w:p>
    <w:p w14:paraId="2AC3D180" w14:textId="486DFD28" w:rsidR="002660EF" w:rsidRPr="0066478C" w:rsidRDefault="002660EF" w:rsidP="0066478C">
      <w:pPr>
        <w:spacing w:line="240" w:lineRule="auto"/>
        <w:ind w:left="720"/>
        <w:jc w:val="both"/>
        <w:rPr>
          <w:rFonts w:ascii="Times New Roman" w:eastAsia="Calibri" w:hAnsi="Times New Roman" w:cs="Times New Roman"/>
          <w:szCs w:val="24"/>
        </w:rPr>
      </w:pPr>
      <w:r w:rsidRPr="0066478C">
        <w:rPr>
          <w:rFonts w:ascii="Times New Roman" w:eastAsia="Calibri" w:hAnsi="Times New Roman" w:cs="Times New Roman"/>
          <w:szCs w:val="24"/>
        </w:rPr>
        <w:t>“In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non-compliance; the explanation therefor; the prospects of success on appeal; the importance of the case; the respondent’s interests in the finality of the judgment; the convenience to the Court and the avoidance of unnecessary delays in the administration of justice”</w:t>
      </w:r>
    </w:p>
    <w:p w14:paraId="06D5DAC5" w14:textId="13C058D3" w:rsidR="002660EF" w:rsidRPr="00606612" w:rsidRDefault="002660EF" w:rsidP="0066478C">
      <w:pPr>
        <w:pStyle w:val="Default"/>
        <w:numPr>
          <w:ilvl w:val="0"/>
          <w:numId w:val="1"/>
        </w:numPr>
        <w:spacing w:after="240" w:line="360" w:lineRule="auto"/>
        <w:jc w:val="both"/>
      </w:pPr>
      <w:r w:rsidRPr="00606612">
        <w:t xml:space="preserve">These factors are considered cumulatively and, depending on the weight of each factor and obtaining circumstances, a decision is made.  In </w:t>
      </w:r>
      <w:r w:rsidRPr="00606612">
        <w:rPr>
          <w:i/>
          <w:iCs/>
        </w:rPr>
        <w:t xml:space="preserve">Kodzwa </w:t>
      </w:r>
      <w:r w:rsidRPr="0066478C">
        <w:rPr>
          <w:iCs/>
        </w:rPr>
        <w:t>v</w:t>
      </w:r>
      <w:r w:rsidRPr="00606612">
        <w:rPr>
          <w:i/>
          <w:iCs/>
        </w:rPr>
        <w:t xml:space="preserve"> Secretary for Health &amp; Anor </w:t>
      </w:r>
      <w:r w:rsidRPr="00606612">
        <w:t>1999 (1) ZLR 313 (S), S</w:t>
      </w:r>
      <w:r w:rsidRPr="00606612">
        <w:rPr>
          <w:sz w:val="20"/>
          <w:szCs w:val="20"/>
        </w:rPr>
        <w:t>ANDURA</w:t>
      </w:r>
      <w:r w:rsidRPr="00606612">
        <w:t xml:space="preserve"> JA remarked as follows: </w:t>
      </w:r>
    </w:p>
    <w:p w14:paraId="5D7B9B4E" w14:textId="314A09F0" w:rsidR="002660EF" w:rsidRPr="0066478C" w:rsidRDefault="002660EF" w:rsidP="0066478C">
      <w:pPr>
        <w:pStyle w:val="Default"/>
        <w:ind w:left="720"/>
        <w:jc w:val="both"/>
        <w:rPr>
          <w:sz w:val="22"/>
        </w:rPr>
      </w:pPr>
      <w:r w:rsidRPr="0066478C">
        <w:rPr>
          <w:sz w:val="22"/>
        </w:rPr>
        <w:t>“Whilst the presence of reasonable prospects of success on appeal is an important consideration which is relevant to the granting of condonation, it is not necessarily decisive. Thus, in the case of a flagrant breach of the rules, particularly where there is no acceptable explanation for it, the indulgence of condonation may be refused, whatever the merits of the appeal may be.”</w:t>
      </w:r>
    </w:p>
    <w:p w14:paraId="4A3D42C1" w14:textId="77777777" w:rsidR="002660EF" w:rsidRDefault="002660EF" w:rsidP="002660EF">
      <w:pPr>
        <w:pStyle w:val="Default"/>
        <w:ind w:left="720"/>
        <w:jc w:val="both"/>
      </w:pPr>
    </w:p>
    <w:p w14:paraId="434226C9" w14:textId="547702ED" w:rsidR="002660EF" w:rsidRPr="0066478C" w:rsidRDefault="002660EF" w:rsidP="0066478C">
      <w:pPr>
        <w:pStyle w:val="ListParagraph"/>
        <w:numPr>
          <w:ilvl w:val="0"/>
          <w:numId w:val="1"/>
        </w:numPr>
        <w:spacing w:line="360" w:lineRule="auto"/>
        <w:jc w:val="both"/>
        <w:rPr>
          <w:rFonts w:ascii="Times New Roman" w:hAnsi="Times New Roman" w:cs="Times New Roman"/>
          <w:sz w:val="24"/>
          <w:szCs w:val="24"/>
        </w:rPr>
      </w:pPr>
      <w:r w:rsidRPr="0066478C">
        <w:rPr>
          <w:rFonts w:ascii="Times New Roman" w:hAnsi="Times New Roman" w:cs="Times New Roman"/>
          <w:sz w:val="24"/>
          <w:szCs w:val="24"/>
        </w:rPr>
        <w:t>In </w:t>
      </w:r>
      <w:r w:rsidRPr="0066478C">
        <w:rPr>
          <w:rFonts w:ascii="Times New Roman" w:hAnsi="Times New Roman" w:cs="Times New Roman"/>
          <w:i/>
          <w:iCs/>
          <w:sz w:val="24"/>
          <w:szCs w:val="24"/>
        </w:rPr>
        <w:t xml:space="preserve">Melane </w:t>
      </w:r>
      <w:r w:rsidRPr="0066478C">
        <w:rPr>
          <w:rFonts w:ascii="Times New Roman" w:hAnsi="Times New Roman" w:cs="Times New Roman"/>
          <w:iCs/>
          <w:sz w:val="24"/>
          <w:szCs w:val="24"/>
        </w:rPr>
        <w:t>v</w:t>
      </w:r>
      <w:r w:rsidRPr="0066478C">
        <w:rPr>
          <w:rFonts w:ascii="Times New Roman" w:hAnsi="Times New Roman" w:cs="Times New Roman"/>
          <w:i/>
          <w:iCs/>
          <w:sz w:val="24"/>
          <w:szCs w:val="24"/>
        </w:rPr>
        <w:t xml:space="preserve"> Santam Insurance Co Ltd</w:t>
      </w:r>
      <w:r w:rsidRPr="0066478C">
        <w:rPr>
          <w:rFonts w:ascii="Times New Roman" w:hAnsi="Times New Roman" w:cs="Times New Roman"/>
          <w:sz w:val="24"/>
          <w:szCs w:val="24"/>
        </w:rPr>
        <w:t xml:space="preserve"> 1962 (4) SA 531 (A) at 532C-G the court stated that: </w:t>
      </w:r>
    </w:p>
    <w:p w14:paraId="667C2271" w14:textId="0FD1C615" w:rsidR="002660EF" w:rsidRPr="0066478C" w:rsidRDefault="002660EF" w:rsidP="0066478C">
      <w:pPr>
        <w:spacing w:line="240" w:lineRule="auto"/>
        <w:ind w:left="720"/>
        <w:jc w:val="both"/>
        <w:rPr>
          <w:rFonts w:ascii="Times New Roman" w:hAnsi="Times New Roman" w:cs="Times New Roman"/>
          <w:szCs w:val="24"/>
        </w:rPr>
      </w:pPr>
      <w:r w:rsidRPr="0066478C">
        <w:rPr>
          <w:rFonts w:ascii="Times New Roman" w:hAnsi="Times New Roman" w:cs="Times New Roman"/>
          <w:szCs w:val="24"/>
        </w:rPr>
        <w:t>“</w:t>
      </w:r>
      <w:r w:rsidRPr="0066478C">
        <w:rPr>
          <w:rFonts w:ascii="Times New Roman" w:hAnsi="Times New Roman" w:cs="Times New Roman"/>
          <w:szCs w:val="24"/>
          <w:lang w:val="en-US"/>
        </w:rPr>
        <w:t xml:space="preserve">In deciding whether sufficient cause has been shown, the basic principle is that the Court has a discretion, to be exercised judicially upon a consideration of all the facts, and in essence it is </w:t>
      </w:r>
      <w:r w:rsidRPr="0066478C">
        <w:rPr>
          <w:rFonts w:ascii="Times New Roman" w:hAnsi="Times New Roman" w:cs="Times New Roman"/>
          <w:szCs w:val="24"/>
          <w:lang w:val="en-US"/>
        </w:rPr>
        <w:lastRenderedPageBreak/>
        <w:t xml:space="preserve">a matter of fairness to both sides. Among the facts usually relevant are the degree of lateness, the explanation therefor, the prospects of success, and the importance of the case. Ordinarily these facts are interrelated: they are not individually decisive, for that would be a piecemeal approach incompatible with a true discretion, </w:t>
      </w:r>
      <w:r w:rsidRPr="0066478C">
        <w:rPr>
          <w:rFonts w:ascii="Times New Roman" w:hAnsi="Times New Roman" w:cs="Times New Roman"/>
          <w:szCs w:val="24"/>
          <w:u w:val="single"/>
          <w:lang w:val="en-US"/>
        </w:rPr>
        <w:t>save of course that if there are no prospects of success there would be no point in granting condonation</w:t>
      </w:r>
      <w:r w:rsidRPr="0066478C">
        <w:rPr>
          <w:rFonts w:ascii="Times New Roman" w:hAnsi="Times New Roman" w:cs="Times New Roman"/>
          <w:szCs w:val="24"/>
          <w:lang w:val="en-US"/>
        </w:rPr>
        <w:t>. Any attempt to formulate a rule of thumb would only serve to harden the arteries of what should be a flexible discretion. What is needed is an objective conspectus of all the facts. Thus a slight delay and a good explanation may help to compensate for prospects of success which are not strong. Or the importance of the issue and strong prospects of success may tend to compensate for a long delay. And the respondent's interest in finality must not be overlooked. I would add that discursiveness should be discouraged in canvassing the prospects of success in the affidavits.”</w:t>
      </w:r>
    </w:p>
    <w:p w14:paraId="05B163BC" w14:textId="77777777" w:rsidR="0066478C" w:rsidRDefault="009C26A4" w:rsidP="00D84655">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Briefly, his explanation for the delay runs as follows. He alleges that the second respondent notified him of the discharge on 12 March 2024. He contends that on 13 March 2024 he wrote a letter to the second respondent seeking a record of proceedings so that he could file an application for review. He wrote a follow up letter on 3 April 2024, still he was not provided with the record. The record was provided on 4 September 2024, and at that time he was in Mozambique, and returned to Zimbabwe on 16 November 2024.</w:t>
      </w:r>
      <w:r w:rsidR="00B718F3" w:rsidRPr="0066478C">
        <w:rPr>
          <w:rFonts w:ascii="Times New Roman" w:hAnsi="Times New Roman" w:cs="Times New Roman"/>
          <w:sz w:val="24"/>
          <w:szCs w:val="24"/>
        </w:rPr>
        <w:t xml:space="preserve"> </w:t>
      </w:r>
      <w:r w:rsidR="00B718F3" w:rsidRPr="0066478C">
        <w:rPr>
          <w:rFonts w:ascii="Times New Roman" w:hAnsi="Times New Roman" w:cs="Times New Roman"/>
          <w:i/>
          <w:iCs/>
          <w:sz w:val="24"/>
          <w:szCs w:val="24"/>
        </w:rPr>
        <w:t>Per contra</w:t>
      </w:r>
      <w:r w:rsidR="00B718F3" w:rsidRPr="0066478C">
        <w:rPr>
          <w:rFonts w:ascii="Times New Roman" w:hAnsi="Times New Roman" w:cs="Times New Roman"/>
          <w:sz w:val="24"/>
          <w:szCs w:val="24"/>
        </w:rPr>
        <w:t>, the</w:t>
      </w:r>
      <w:r w:rsidR="00725C37" w:rsidRPr="0066478C">
        <w:rPr>
          <w:rFonts w:ascii="Times New Roman" w:hAnsi="Times New Roman" w:cs="Times New Roman"/>
          <w:sz w:val="24"/>
          <w:szCs w:val="24"/>
        </w:rPr>
        <w:t xml:space="preserve"> </w:t>
      </w:r>
      <w:r w:rsidR="00064732" w:rsidRPr="0066478C">
        <w:rPr>
          <w:rFonts w:ascii="Times New Roman" w:hAnsi="Times New Roman" w:cs="Times New Roman"/>
          <w:sz w:val="24"/>
          <w:szCs w:val="24"/>
        </w:rPr>
        <w:t xml:space="preserve">first </w:t>
      </w:r>
      <w:r w:rsidR="00B718F3" w:rsidRPr="0066478C">
        <w:rPr>
          <w:rFonts w:ascii="Times New Roman" w:hAnsi="Times New Roman" w:cs="Times New Roman"/>
          <w:sz w:val="24"/>
          <w:szCs w:val="24"/>
        </w:rPr>
        <w:t>respondent contend</w:t>
      </w:r>
      <w:r w:rsidR="00064732" w:rsidRPr="0066478C">
        <w:rPr>
          <w:rFonts w:ascii="Times New Roman" w:hAnsi="Times New Roman" w:cs="Times New Roman"/>
          <w:sz w:val="24"/>
          <w:szCs w:val="24"/>
        </w:rPr>
        <w:t>s</w:t>
      </w:r>
      <w:r w:rsidR="00B718F3" w:rsidRPr="0066478C">
        <w:rPr>
          <w:rFonts w:ascii="Times New Roman" w:hAnsi="Times New Roman" w:cs="Times New Roman"/>
          <w:sz w:val="24"/>
          <w:szCs w:val="24"/>
        </w:rPr>
        <w:t xml:space="preserve"> that the applicant was notified of his discharge on </w:t>
      </w:r>
      <w:r w:rsidR="00725C37" w:rsidRPr="0066478C">
        <w:rPr>
          <w:rFonts w:ascii="Times New Roman" w:hAnsi="Times New Roman" w:cs="Times New Roman"/>
          <w:sz w:val="24"/>
          <w:szCs w:val="24"/>
        </w:rPr>
        <w:t>15 January 2024</w:t>
      </w:r>
      <w:r w:rsidR="00064732" w:rsidRPr="0066478C">
        <w:rPr>
          <w:rFonts w:ascii="Times New Roman" w:hAnsi="Times New Roman" w:cs="Times New Roman"/>
          <w:sz w:val="24"/>
          <w:szCs w:val="24"/>
        </w:rPr>
        <w:t xml:space="preserve">. </w:t>
      </w:r>
    </w:p>
    <w:p w14:paraId="0D673BD0" w14:textId="353EB205" w:rsidR="0066478C" w:rsidRDefault="00FD1110" w:rsidP="00B718F3">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On the principle established in </w:t>
      </w:r>
      <w:r w:rsidRPr="0066478C">
        <w:rPr>
          <w:rFonts w:ascii="Times New Roman" w:hAnsi="Times New Roman" w:cs="Times New Roman"/>
          <w:i/>
          <w:iCs/>
          <w:sz w:val="24"/>
          <w:szCs w:val="24"/>
        </w:rPr>
        <w:t xml:space="preserve">Plascon Evans Paints Ltd </w:t>
      </w:r>
      <w:r w:rsidRPr="0066478C">
        <w:rPr>
          <w:rFonts w:ascii="Times New Roman" w:hAnsi="Times New Roman" w:cs="Times New Roman"/>
          <w:iCs/>
          <w:sz w:val="24"/>
          <w:szCs w:val="24"/>
        </w:rPr>
        <w:t xml:space="preserve">v </w:t>
      </w:r>
      <w:r w:rsidRPr="0066478C">
        <w:rPr>
          <w:rFonts w:ascii="Times New Roman" w:hAnsi="Times New Roman" w:cs="Times New Roman"/>
          <w:i/>
          <w:iCs/>
          <w:sz w:val="24"/>
          <w:szCs w:val="24"/>
        </w:rPr>
        <w:t xml:space="preserve">Van Riebeeck Paints (Pty) </w:t>
      </w:r>
      <w:r w:rsidRPr="0066478C">
        <w:rPr>
          <w:rFonts w:ascii="Times New Roman" w:hAnsi="Times New Roman" w:cs="Times New Roman"/>
          <w:sz w:val="24"/>
          <w:szCs w:val="24"/>
        </w:rPr>
        <w:t>[1984] ZASCA 51</w:t>
      </w:r>
      <w:r w:rsidR="0071576C">
        <w:rPr>
          <w:rFonts w:ascii="Times New Roman" w:hAnsi="Times New Roman" w:cs="Times New Roman"/>
          <w:sz w:val="24"/>
          <w:szCs w:val="24"/>
        </w:rPr>
        <w:t>,</w:t>
      </w:r>
      <w:r w:rsidRPr="0066478C">
        <w:rPr>
          <w:rFonts w:ascii="Times New Roman" w:hAnsi="Times New Roman" w:cs="Times New Roman"/>
          <w:sz w:val="24"/>
          <w:szCs w:val="24"/>
        </w:rPr>
        <w:t xml:space="preserve"> I accept the first respondent’s version that the applicant was notified of the discharge on 15 January 2024. </w:t>
      </w:r>
      <w:r w:rsidR="00D84655" w:rsidRPr="0066478C">
        <w:rPr>
          <w:rFonts w:ascii="Times New Roman" w:hAnsi="Times New Roman" w:cs="Times New Roman"/>
          <w:sz w:val="24"/>
          <w:szCs w:val="24"/>
        </w:rPr>
        <w:t>Having been informed of the discharge on 15 January 2024, in terms of r 62 (4) of the High Court Rules, 2021</w:t>
      </w:r>
      <w:r w:rsidR="001D0DD3">
        <w:rPr>
          <w:rFonts w:ascii="Times New Roman" w:hAnsi="Times New Roman" w:cs="Times New Roman"/>
          <w:sz w:val="24"/>
          <w:szCs w:val="24"/>
        </w:rPr>
        <w:t xml:space="preserve"> </w:t>
      </w:r>
      <w:r w:rsidR="00D84655" w:rsidRPr="0066478C">
        <w:rPr>
          <w:rFonts w:ascii="Times New Roman" w:hAnsi="Times New Roman" w:cs="Times New Roman"/>
          <w:sz w:val="24"/>
          <w:szCs w:val="24"/>
        </w:rPr>
        <w:t xml:space="preserve">an application for review </w:t>
      </w:r>
      <w:r w:rsidR="001D0DD3">
        <w:rPr>
          <w:rFonts w:ascii="Times New Roman" w:hAnsi="Times New Roman" w:cs="Times New Roman"/>
          <w:sz w:val="24"/>
          <w:szCs w:val="24"/>
        </w:rPr>
        <w:t xml:space="preserve">ought to have been </w:t>
      </w:r>
      <w:r w:rsidR="00D84655" w:rsidRPr="0066478C">
        <w:rPr>
          <w:rFonts w:ascii="Times New Roman" w:hAnsi="Times New Roman" w:cs="Times New Roman"/>
          <w:sz w:val="24"/>
          <w:szCs w:val="24"/>
        </w:rPr>
        <w:t>filed within eight weeks of the decision sought to be reviewed</w:t>
      </w:r>
      <w:r w:rsidR="001D0DD3">
        <w:rPr>
          <w:rFonts w:ascii="Times New Roman" w:hAnsi="Times New Roman" w:cs="Times New Roman"/>
          <w:sz w:val="24"/>
          <w:szCs w:val="24"/>
        </w:rPr>
        <w:t xml:space="preserve">, i.e., </w:t>
      </w:r>
      <w:r w:rsidR="001D0DD3" w:rsidRPr="0066478C">
        <w:rPr>
          <w:rFonts w:ascii="Times New Roman" w:hAnsi="Times New Roman" w:cs="Times New Roman"/>
          <w:sz w:val="24"/>
          <w:szCs w:val="24"/>
        </w:rPr>
        <w:t>on</w:t>
      </w:r>
      <w:r w:rsidR="00D84655" w:rsidRPr="0066478C">
        <w:rPr>
          <w:rFonts w:ascii="Times New Roman" w:hAnsi="Times New Roman" w:cs="Times New Roman"/>
          <w:sz w:val="24"/>
          <w:szCs w:val="24"/>
        </w:rPr>
        <w:t xml:space="preserve"> 15 March 2024. This application was filed on 22 November 2024. A simple calculation shows that this application approximately eight months outside the timeline to file a review. By whatever measure, such a delay is inordinate. </w:t>
      </w:r>
    </w:p>
    <w:p w14:paraId="7EF1C508" w14:textId="4C6E4AE4" w:rsidR="00FD1110" w:rsidRPr="0066478C" w:rsidRDefault="00D84655" w:rsidP="0066478C">
      <w:pPr>
        <w:pStyle w:val="ListParagraph"/>
        <w:numPr>
          <w:ilvl w:val="0"/>
          <w:numId w:val="1"/>
        </w:numPr>
        <w:spacing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I now turn to the reasonableness of the explanation for the delay. </w:t>
      </w:r>
      <w:r w:rsidR="00FD1110" w:rsidRPr="0066478C">
        <w:rPr>
          <w:rFonts w:ascii="Times New Roman" w:hAnsi="Times New Roman" w:cs="Times New Roman"/>
          <w:sz w:val="24"/>
          <w:szCs w:val="24"/>
        </w:rPr>
        <w:t xml:space="preserve">I accept the applicant’s version that he was not provided with reasons until </w:t>
      </w:r>
      <w:r w:rsidR="00394356" w:rsidRPr="0066478C">
        <w:rPr>
          <w:rFonts w:ascii="Times New Roman" w:hAnsi="Times New Roman" w:cs="Times New Roman"/>
          <w:sz w:val="24"/>
          <w:szCs w:val="24"/>
        </w:rPr>
        <w:t xml:space="preserve">4 September 2024. </w:t>
      </w:r>
      <w:r w:rsidRPr="0066478C">
        <w:rPr>
          <w:rFonts w:ascii="Times New Roman" w:hAnsi="Times New Roman" w:cs="Times New Roman"/>
          <w:sz w:val="24"/>
          <w:szCs w:val="24"/>
        </w:rPr>
        <w:t xml:space="preserve">His contention is that the delay </w:t>
      </w:r>
      <w:r w:rsidR="00D30ACC" w:rsidRPr="0066478C">
        <w:rPr>
          <w:rFonts w:ascii="Times New Roman" w:hAnsi="Times New Roman" w:cs="Times New Roman"/>
          <w:sz w:val="24"/>
          <w:szCs w:val="24"/>
        </w:rPr>
        <w:t xml:space="preserve">was caused by the absence of reasons. </w:t>
      </w:r>
      <w:r w:rsidR="00394356" w:rsidRPr="0066478C">
        <w:rPr>
          <w:rFonts w:ascii="Times New Roman" w:hAnsi="Times New Roman" w:cs="Times New Roman"/>
          <w:sz w:val="24"/>
          <w:szCs w:val="24"/>
        </w:rPr>
        <w:t>The giving of reasons is a fundamental requirement of administrative justice and an important component of procedural fairness. This is underscored in s</w:t>
      </w:r>
      <w:r w:rsidR="00FD1110" w:rsidRPr="0066478C">
        <w:rPr>
          <w:rFonts w:ascii="Times New Roman" w:hAnsi="Times New Roman" w:cs="Times New Roman"/>
          <w:sz w:val="24"/>
          <w:szCs w:val="24"/>
        </w:rPr>
        <w:t xml:space="preserve"> 3</w:t>
      </w:r>
      <w:r w:rsidR="00064732" w:rsidRPr="0066478C">
        <w:rPr>
          <w:rFonts w:ascii="Times New Roman" w:hAnsi="Times New Roman" w:cs="Times New Roman"/>
          <w:sz w:val="24"/>
          <w:szCs w:val="24"/>
        </w:rPr>
        <w:t>(1)</w:t>
      </w:r>
      <w:r w:rsidR="00FD1110" w:rsidRPr="0066478C">
        <w:rPr>
          <w:rFonts w:ascii="Times New Roman" w:hAnsi="Times New Roman" w:cs="Times New Roman"/>
          <w:sz w:val="24"/>
          <w:szCs w:val="24"/>
        </w:rPr>
        <w:t xml:space="preserve"> (c) of the Administrative Justice Act [</w:t>
      </w:r>
      <w:r w:rsidR="00FD1110" w:rsidRPr="0066478C">
        <w:rPr>
          <w:rFonts w:ascii="Times New Roman" w:hAnsi="Times New Roman" w:cs="Times New Roman"/>
          <w:i/>
          <w:sz w:val="24"/>
          <w:szCs w:val="24"/>
        </w:rPr>
        <w:t>Chapter 10:28</w:t>
      </w:r>
      <w:r w:rsidR="00FD1110" w:rsidRPr="0066478C">
        <w:rPr>
          <w:rFonts w:ascii="Times New Roman" w:hAnsi="Times New Roman" w:cs="Times New Roman"/>
          <w:sz w:val="24"/>
          <w:szCs w:val="24"/>
        </w:rPr>
        <w:t xml:space="preserve">] </w:t>
      </w:r>
      <w:r w:rsidR="00394356" w:rsidRPr="0066478C">
        <w:rPr>
          <w:rFonts w:ascii="Times New Roman" w:hAnsi="Times New Roman" w:cs="Times New Roman"/>
          <w:sz w:val="24"/>
          <w:szCs w:val="24"/>
        </w:rPr>
        <w:t xml:space="preserve">which </w:t>
      </w:r>
      <w:r w:rsidR="00FD1110" w:rsidRPr="0066478C">
        <w:rPr>
          <w:rFonts w:ascii="Times New Roman" w:hAnsi="Times New Roman" w:cs="Times New Roman"/>
          <w:sz w:val="24"/>
          <w:szCs w:val="24"/>
        </w:rPr>
        <w:t xml:space="preserve">provides that: </w:t>
      </w:r>
    </w:p>
    <w:p w14:paraId="1387BE3E" w14:textId="4736CB5C" w:rsidR="009205D9" w:rsidRPr="0066478C" w:rsidRDefault="00FD1110" w:rsidP="0066478C">
      <w:pPr>
        <w:spacing w:line="240" w:lineRule="auto"/>
        <w:ind w:left="1440"/>
        <w:jc w:val="both"/>
        <w:rPr>
          <w:rFonts w:ascii="Times New Roman" w:hAnsi="Times New Roman" w:cs="Times New Roman"/>
          <w:szCs w:val="24"/>
        </w:rPr>
      </w:pPr>
      <w:r w:rsidRPr="0066478C">
        <w:rPr>
          <w:rFonts w:ascii="Times New Roman" w:hAnsi="Times New Roman" w:cs="Times New Roman"/>
          <w:szCs w:val="24"/>
        </w:rPr>
        <w:t>“</w:t>
      </w:r>
      <w:r w:rsidR="00064732" w:rsidRPr="0066478C">
        <w:rPr>
          <w:rFonts w:ascii="Times New Roman" w:hAnsi="Times New Roman" w:cs="Times New Roman"/>
          <w:szCs w:val="24"/>
        </w:rPr>
        <w:t>An administrative authority which has the responsibility or power to take any administrative action which may affect the rights, interests or legitimate expectations of any person shall—</w:t>
      </w:r>
      <w:r w:rsidR="00725C37" w:rsidRPr="0066478C">
        <w:rPr>
          <w:rFonts w:ascii="Times New Roman" w:hAnsi="Times New Roman" w:cs="Times New Roman"/>
          <w:szCs w:val="24"/>
        </w:rPr>
        <w:t xml:space="preserve"> </w:t>
      </w:r>
      <w:r w:rsidRPr="0066478C">
        <w:rPr>
          <w:rFonts w:ascii="Times New Roman" w:hAnsi="Times New Roman" w:cs="Times New Roman"/>
          <w:szCs w:val="24"/>
        </w:rPr>
        <w:t xml:space="preserve">where it has taken the action, supply written reasons therefor within the relevant period specified by law or, if there is no such specified period, </w:t>
      </w:r>
      <w:r w:rsidRPr="0066478C">
        <w:rPr>
          <w:rFonts w:ascii="Times New Roman" w:hAnsi="Times New Roman" w:cs="Times New Roman"/>
          <w:szCs w:val="24"/>
        </w:rPr>
        <w:lastRenderedPageBreak/>
        <w:t>within a reasonable period after being requested to supply reasons by the person concerned.”</w:t>
      </w:r>
    </w:p>
    <w:p w14:paraId="214DDE55" w14:textId="521978C2" w:rsidR="00394356" w:rsidRPr="0066478C" w:rsidRDefault="00394356" w:rsidP="0066478C">
      <w:pPr>
        <w:pStyle w:val="ListParagraph"/>
        <w:numPr>
          <w:ilvl w:val="0"/>
          <w:numId w:val="1"/>
        </w:numPr>
        <w:spacing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An administrative authority has a statutory obligation to supply reasons within a reasonable period. The question is what is the remedy to a litigant whose request for reasons have not been complied with. Should such litigant sit back and hope that at some point the reasons sought would be supplied. I do not think so. </w:t>
      </w:r>
      <w:r w:rsidR="008C4A60" w:rsidRPr="0066478C">
        <w:rPr>
          <w:rFonts w:ascii="Times New Roman" w:hAnsi="Times New Roman" w:cs="Times New Roman"/>
          <w:sz w:val="24"/>
          <w:szCs w:val="24"/>
        </w:rPr>
        <w:t xml:space="preserve">Section 6 of the Act provides the answer, </w:t>
      </w:r>
      <w:r w:rsidR="0071576C">
        <w:rPr>
          <w:rFonts w:ascii="Times New Roman" w:hAnsi="Times New Roman" w:cs="Times New Roman"/>
          <w:sz w:val="24"/>
          <w:szCs w:val="24"/>
        </w:rPr>
        <w:t xml:space="preserve">it </w:t>
      </w:r>
      <w:r w:rsidR="0071576C" w:rsidRPr="0066478C">
        <w:rPr>
          <w:rFonts w:ascii="Times New Roman" w:hAnsi="Times New Roman" w:cs="Times New Roman"/>
          <w:sz w:val="24"/>
          <w:szCs w:val="24"/>
        </w:rPr>
        <w:t>says</w:t>
      </w:r>
      <w:r w:rsidR="008C4A60" w:rsidRPr="0066478C">
        <w:rPr>
          <w:rFonts w:ascii="Times New Roman" w:hAnsi="Times New Roman" w:cs="Times New Roman"/>
          <w:sz w:val="24"/>
          <w:szCs w:val="24"/>
        </w:rPr>
        <w:t xml:space="preserve">: </w:t>
      </w:r>
    </w:p>
    <w:p w14:paraId="00C0C2A8" w14:textId="64DD4F1A" w:rsidR="008C4A60" w:rsidRPr="0066478C" w:rsidRDefault="0066478C" w:rsidP="0066478C">
      <w:pPr>
        <w:spacing w:line="240" w:lineRule="auto"/>
        <w:ind w:left="768" w:firstLine="48"/>
        <w:jc w:val="both"/>
        <w:rPr>
          <w:rFonts w:ascii="Times New Roman" w:hAnsi="Times New Roman" w:cs="Times New Roman"/>
          <w:szCs w:val="24"/>
        </w:rPr>
      </w:pPr>
      <w:r>
        <w:rPr>
          <w:rFonts w:ascii="Times New Roman" w:hAnsi="Times New Roman" w:cs="Times New Roman"/>
          <w:szCs w:val="24"/>
        </w:rPr>
        <w:tab/>
      </w:r>
      <w:r w:rsidR="008C4A60" w:rsidRPr="0066478C">
        <w:rPr>
          <w:rFonts w:ascii="Times New Roman" w:hAnsi="Times New Roman" w:cs="Times New Roman"/>
          <w:szCs w:val="24"/>
        </w:rPr>
        <w:t>“</w:t>
      </w:r>
      <w:r w:rsidR="00394356" w:rsidRPr="0066478C">
        <w:rPr>
          <w:rFonts w:ascii="Times New Roman" w:hAnsi="Times New Roman" w:cs="Times New Roman"/>
          <w:szCs w:val="24"/>
        </w:rPr>
        <w:t xml:space="preserve">Application for and issue of order to supply reasons </w:t>
      </w:r>
    </w:p>
    <w:p w14:paraId="61BAF237" w14:textId="605A7701" w:rsidR="00394356" w:rsidRPr="0066478C" w:rsidRDefault="0066478C" w:rsidP="0066478C">
      <w:pPr>
        <w:spacing w:line="240" w:lineRule="auto"/>
        <w:ind w:left="768" w:firstLine="48"/>
        <w:jc w:val="both"/>
        <w:rPr>
          <w:rFonts w:ascii="Times New Roman" w:hAnsi="Times New Roman" w:cs="Times New Roman"/>
          <w:szCs w:val="24"/>
        </w:rPr>
      </w:pPr>
      <w:r>
        <w:rPr>
          <w:rFonts w:ascii="Times New Roman" w:hAnsi="Times New Roman" w:cs="Times New Roman"/>
          <w:szCs w:val="24"/>
        </w:rPr>
        <w:tab/>
      </w:r>
      <w:r w:rsidR="00394356" w:rsidRPr="0066478C">
        <w:rPr>
          <w:rFonts w:ascii="Times New Roman" w:hAnsi="Times New Roman" w:cs="Times New Roman"/>
          <w:szCs w:val="24"/>
        </w:rPr>
        <w:t xml:space="preserve">(1) Subject to this Act and any other enactment, any person— (a) whose rights, interests </w:t>
      </w:r>
      <w:r>
        <w:rPr>
          <w:rFonts w:ascii="Times New Roman" w:hAnsi="Times New Roman" w:cs="Times New Roman"/>
          <w:szCs w:val="24"/>
        </w:rPr>
        <w:tab/>
      </w:r>
      <w:r w:rsidR="00394356" w:rsidRPr="0066478C">
        <w:rPr>
          <w:rFonts w:ascii="Times New Roman" w:hAnsi="Times New Roman" w:cs="Times New Roman"/>
          <w:szCs w:val="24"/>
        </w:rPr>
        <w:t xml:space="preserve">or legitimate expectations are materially and adversely affected by any administrative </w:t>
      </w:r>
      <w:r>
        <w:rPr>
          <w:rFonts w:ascii="Times New Roman" w:hAnsi="Times New Roman" w:cs="Times New Roman"/>
          <w:szCs w:val="24"/>
        </w:rPr>
        <w:tab/>
      </w:r>
      <w:r w:rsidR="00394356" w:rsidRPr="0066478C">
        <w:rPr>
          <w:rFonts w:ascii="Times New Roman" w:hAnsi="Times New Roman" w:cs="Times New Roman"/>
          <w:szCs w:val="24"/>
        </w:rPr>
        <w:t xml:space="preserve">action; or (b) who is entitled to apply for relief in terms of section four; and who is </w:t>
      </w:r>
      <w:r>
        <w:rPr>
          <w:rFonts w:ascii="Times New Roman" w:hAnsi="Times New Roman" w:cs="Times New Roman"/>
          <w:szCs w:val="24"/>
        </w:rPr>
        <w:tab/>
      </w:r>
      <w:r w:rsidR="00394356" w:rsidRPr="0066478C">
        <w:rPr>
          <w:rFonts w:ascii="Times New Roman" w:hAnsi="Times New Roman" w:cs="Times New Roman"/>
          <w:szCs w:val="24"/>
        </w:rPr>
        <w:t xml:space="preserve">aggrieved by the failure of an administrative authority to supply written reasons for the </w:t>
      </w:r>
      <w:r>
        <w:rPr>
          <w:rFonts w:ascii="Times New Roman" w:hAnsi="Times New Roman" w:cs="Times New Roman"/>
          <w:szCs w:val="24"/>
        </w:rPr>
        <w:tab/>
      </w:r>
      <w:r w:rsidR="00394356" w:rsidRPr="0066478C">
        <w:rPr>
          <w:rFonts w:ascii="Times New Roman" w:hAnsi="Times New Roman" w:cs="Times New Roman"/>
          <w:szCs w:val="24"/>
        </w:rPr>
        <w:t xml:space="preserve">action concerned within— (i) the period specified in the relevant enactment; or (ii) in </w:t>
      </w:r>
      <w:r>
        <w:rPr>
          <w:rFonts w:ascii="Times New Roman" w:hAnsi="Times New Roman" w:cs="Times New Roman"/>
          <w:szCs w:val="24"/>
        </w:rPr>
        <w:tab/>
      </w:r>
      <w:r w:rsidR="00394356" w:rsidRPr="0066478C">
        <w:rPr>
          <w:rFonts w:ascii="Times New Roman" w:hAnsi="Times New Roman" w:cs="Times New Roman"/>
          <w:szCs w:val="24"/>
        </w:rPr>
        <w:t xml:space="preserve">the absence of any such specified period, </w:t>
      </w:r>
      <w:r w:rsidR="00394356" w:rsidRPr="0066478C">
        <w:rPr>
          <w:rFonts w:ascii="Times New Roman" w:hAnsi="Times New Roman" w:cs="Times New Roman"/>
          <w:szCs w:val="24"/>
          <w:u w:val="single"/>
        </w:rPr>
        <w:t xml:space="preserve">a reasonable period after a request for such </w:t>
      </w:r>
      <w:r w:rsidRPr="0066478C">
        <w:rPr>
          <w:rFonts w:ascii="Times New Roman" w:hAnsi="Times New Roman" w:cs="Times New Roman"/>
          <w:szCs w:val="24"/>
        </w:rPr>
        <w:tab/>
      </w:r>
      <w:r w:rsidR="00394356" w:rsidRPr="0066478C">
        <w:rPr>
          <w:rFonts w:ascii="Times New Roman" w:hAnsi="Times New Roman" w:cs="Times New Roman"/>
          <w:szCs w:val="24"/>
          <w:u w:val="single"/>
        </w:rPr>
        <w:t xml:space="preserve">reasons has been made; may apply to the High Court for an order compelling the </w:t>
      </w:r>
      <w:r w:rsidRPr="0066478C">
        <w:rPr>
          <w:rFonts w:ascii="Times New Roman" w:hAnsi="Times New Roman" w:cs="Times New Roman"/>
          <w:szCs w:val="24"/>
        </w:rPr>
        <w:tab/>
      </w:r>
      <w:r w:rsidR="00394356" w:rsidRPr="0066478C">
        <w:rPr>
          <w:rFonts w:ascii="Times New Roman" w:hAnsi="Times New Roman" w:cs="Times New Roman"/>
          <w:szCs w:val="24"/>
          <w:u w:val="single"/>
        </w:rPr>
        <w:t>administrative authority to supply reasons</w:t>
      </w:r>
      <w:r w:rsidR="008C4A60" w:rsidRPr="0066478C">
        <w:rPr>
          <w:rFonts w:ascii="Times New Roman" w:hAnsi="Times New Roman" w:cs="Times New Roman"/>
          <w:szCs w:val="24"/>
          <w:u w:val="single"/>
        </w:rPr>
        <w:t>.</w:t>
      </w:r>
      <w:r w:rsidR="008C4A60" w:rsidRPr="0066478C">
        <w:rPr>
          <w:rFonts w:ascii="Times New Roman" w:hAnsi="Times New Roman" w:cs="Times New Roman"/>
          <w:szCs w:val="24"/>
        </w:rPr>
        <w:t xml:space="preserve">” </w:t>
      </w:r>
      <w:r>
        <w:rPr>
          <w:rFonts w:ascii="Times New Roman" w:hAnsi="Times New Roman" w:cs="Times New Roman"/>
          <w:szCs w:val="24"/>
        </w:rPr>
        <w:t>(My emphasis)</w:t>
      </w:r>
    </w:p>
    <w:p w14:paraId="65B9F9F2" w14:textId="4F55A67B" w:rsidR="0066478C" w:rsidRDefault="00D30ACC" w:rsidP="009205D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The </w:t>
      </w:r>
      <w:r w:rsidR="00842366" w:rsidRPr="0066478C">
        <w:rPr>
          <w:rFonts w:ascii="Times New Roman" w:hAnsi="Times New Roman" w:cs="Times New Roman"/>
          <w:sz w:val="24"/>
          <w:szCs w:val="24"/>
        </w:rPr>
        <w:t xml:space="preserve">applicant </w:t>
      </w:r>
      <w:r w:rsidR="009514FA" w:rsidRPr="0066478C">
        <w:rPr>
          <w:rFonts w:ascii="Times New Roman" w:hAnsi="Times New Roman" w:cs="Times New Roman"/>
          <w:sz w:val="24"/>
          <w:szCs w:val="24"/>
        </w:rPr>
        <w:t xml:space="preserve">knew that he was aggrieved by the decision to discharge him and </w:t>
      </w:r>
      <w:r w:rsidR="00C02A9E" w:rsidRPr="0066478C">
        <w:rPr>
          <w:rFonts w:ascii="Times New Roman" w:hAnsi="Times New Roman" w:cs="Times New Roman"/>
          <w:sz w:val="24"/>
          <w:szCs w:val="24"/>
        </w:rPr>
        <w:t xml:space="preserve">that he intended to subject it for review. </w:t>
      </w:r>
      <w:r w:rsidRPr="0066478C">
        <w:rPr>
          <w:rFonts w:ascii="Times New Roman" w:hAnsi="Times New Roman" w:cs="Times New Roman"/>
          <w:sz w:val="24"/>
          <w:szCs w:val="24"/>
        </w:rPr>
        <w:t>He knew that it in terms of r 62(4) he had to file his review application within eight weeks of the date of the decision. He was merely content with writing letters asking for reasons, such is not reasonable. A litigant who has not been supplied with reasons within a reasonable period must seek to compel the supply of such reasons. He or she cannot sit back and wait indefinitely, when the time to comply with the rules is passing by e</w:t>
      </w:r>
      <w:r w:rsidR="0071576C">
        <w:rPr>
          <w:rFonts w:ascii="Times New Roman" w:hAnsi="Times New Roman" w:cs="Times New Roman"/>
          <w:sz w:val="24"/>
          <w:szCs w:val="24"/>
        </w:rPr>
        <w:t>ach</w:t>
      </w:r>
      <w:r w:rsidRPr="0066478C">
        <w:rPr>
          <w:rFonts w:ascii="Times New Roman" w:hAnsi="Times New Roman" w:cs="Times New Roman"/>
          <w:sz w:val="24"/>
          <w:szCs w:val="24"/>
        </w:rPr>
        <w:t xml:space="preserve"> day. The legislature has provided </w:t>
      </w:r>
      <w:r w:rsidR="001D0DD3">
        <w:rPr>
          <w:rFonts w:ascii="Times New Roman" w:hAnsi="Times New Roman" w:cs="Times New Roman"/>
          <w:sz w:val="24"/>
          <w:szCs w:val="24"/>
        </w:rPr>
        <w:t xml:space="preserve">a </w:t>
      </w:r>
      <w:r w:rsidRPr="0066478C">
        <w:rPr>
          <w:rFonts w:ascii="Times New Roman" w:hAnsi="Times New Roman" w:cs="Times New Roman"/>
          <w:sz w:val="24"/>
          <w:szCs w:val="24"/>
        </w:rPr>
        <w:t xml:space="preserve">procedural remedy against an administrative authority refusing to supply reasons. Failure to make use of such a readily available remedy is inexcusable. </w:t>
      </w:r>
      <w:r w:rsidR="009205D9" w:rsidRPr="0066478C">
        <w:rPr>
          <w:rFonts w:ascii="Times New Roman" w:hAnsi="Times New Roman" w:cs="Times New Roman"/>
          <w:sz w:val="24"/>
          <w:szCs w:val="24"/>
        </w:rPr>
        <w:t xml:space="preserve">It is for these reasons that I take the view that the explanation for the delay is unreasonable. </w:t>
      </w:r>
    </w:p>
    <w:p w14:paraId="3C460A15" w14:textId="2D8EEC61" w:rsidR="0066478C" w:rsidRDefault="009205D9" w:rsidP="009205D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Regarding the merits of the matter, the applicant contends that the first respondent improperly invoked s 48 of the Police Act, on the grounds that this provision cannot be engaged if the litigant has been sentenced to a term of imprisonment without the option of a fine. Further, it was contended that the first respondent had no right to discharge the applicant as he is not the employer. It was argued that the employer is the second respondent, and it is he who has a right to discharge. It was further argued that the second respondent </w:t>
      </w:r>
      <w:r w:rsidR="0071576C" w:rsidRPr="0066478C">
        <w:rPr>
          <w:rFonts w:ascii="Times New Roman" w:hAnsi="Times New Roman" w:cs="Times New Roman"/>
          <w:sz w:val="24"/>
          <w:szCs w:val="24"/>
        </w:rPr>
        <w:t>fell into</w:t>
      </w:r>
      <w:r w:rsidRPr="0066478C">
        <w:rPr>
          <w:rFonts w:ascii="Times New Roman" w:hAnsi="Times New Roman" w:cs="Times New Roman"/>
          <w:sz w:val="24"/>
          <w:szCs w:val="24"/>
        </w:rPr>
        <w:t xml:space="preserve"> the same error as the first respondent when he dismissed the applicant’s appeal. </w:t>
      </w:r>
      <w:r w:rsidR="000D638B" w:rsidRPr="0066478C">
        <w:rPr>
          <w:rFonts w:ascii="Times New Roman" w:hAnsi="Times New Roman" w:cs="Times New Roman"/>
          <w:sz w:val="24"/>
          <w:szCs w:val="24"/>
        </w:rPr>
        <w:t xml:space="preserve">The applicant further complains that the second respondent fell into error when he failed to allow him to argue his appeal as provided for in s 69(1) of the Constitution. The </w:t>
      </w:r>
      <w:r w:rsidR="000D638B" w:rsidRPr="0066478C">
        <w:rPr>
          <w:rFonts w:ascii="Times New Roman" w:hAnsi="Times New Roman" w:cs="Times New Roman"/>
          <w:sz w:val="24"/>
          <w:szCs w:val="24"/>
        </w:rPr>
        <w:lastRenderedPageBreak/>
        <w:t>second respondent is further criticised for failing to convene a tribunal to hear the appeal, but instead</w:t>
      </w:r>
      <w:r w:rsidR="00842366" w:rsidRPr="0066478C">
        <w:rPr>
          <w:rFonts w:ascii="Times New Roman" w:hAnsi="Times New Roman" w:cs="Times New Roman"/>
          <w:sz w:val="24"/>
          <w:szCs w:val="24"/>
        </w:rPr>
        <w:t>,</w:t>
      </w:r>
      <w:r w:rsidR="000D638B" w:rsidRPr="0066478C">
        <w:rPr>
          <w:rFonts w:ascii="Times New Roman" w:hAnsi="Times New Roman" w:cs="Times New Roman"/>
          <w:sz w:val="24"/>
          <w:szCs w:val="24"/>
        </w:rPr>
        <w:t xml:space="preserve"> merely summarised the information it got from the first respondent. </w:t>
      </w:r>
    </w:p>
    <w:p w14:paraId="5240CC63" w14:textId="052FF968" w:rsidR="0066478C" w:rsidRDefault="00D54235" w:rsidP="009205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purposes of </w:t>
      </w:r>
      <w:r w:rsidR="00306699">
        <w:rPr>
          <w:rFonts w:ascii="Times New Roman" w:hAnsi="Times New Roman" w:cs="Times New Roman"/>
          <w:sz w:val="24"/>
          <w:szCs w:val="24"/>
        </w:rPr>
        <w:t xml:space="preserve">completeness, </w:t>
      </w:r>
      <w:r w:rsidR="00306699" w:rsidRPr="0066478C">
        <w:rPr>
          <w:rFonts w:ascii="Times New Roman" w:hAnsi="Times New Roman" w:cs="Times New Roman"/>
          <w:sz w:val="24"/>
          <w:szCs w:val="24"/>
        </w:rPr>
        <w:t>I</w:t>
      </w:r>
      <w:r w:rsidR="000D638B" w:rsidRPr="0066478C">
        <w:rPr>
          <w:rFonts w:ascii="Times New Roman" w:hAnsi="Times New Roman" w:cs="Times New Roman"/>
          <w:sz w:val="24"/>
          <w:szCs w:val="24"/>
        </w:rPr>
        <w:t xml:space="preserve"> make the following observation. </w:t>
      </w:r>
      <w:r w:rsidR="0071576C">
        <w:rPr>
          <w:rFonts w:ascii="Times New Roman" w:hAnsi="Times New Roman" w:cs="Times New Roman"/>
          <w:sz w:val="24"/>
          <w:szCs w:val="24"/>
        </w:rPr>
        <w:t>T</w:t>
      </w:r>
      <w:r w:rsidR="000D638B" w:rsidRPr="0066478C">
        <w:rPr>
          <w:rFonts w:ascii="Times New Roman" w:hAnsi="Times New Roman" w:cs="Times New Roman"/>
          <w:sz w:val="24"/>
          <w:szCs w:val="24"/>
        </w:rPr>
        <w:t xml:space="preserve">he applicant has not attached to this application the draft copy of the intended review application. Attaching a draft copy is important in that it gives the court and the respondent a clear view of the application and the grounds sought to be relied upon. </w:t>
      </w:r>
      <w:r w:rsidR="00306699">
        <w:rPr>
          <w:rFonts w:ascii="Times New Roman" w:hAnsi="Times New Roman" w:cs="Times New Roman"/>
          <w:sz w:val="24"/>
          <w:szCs w:val="24"/>
        </w:rPr>
        <w:t xml:space="preserve">In addition, it enables the court to properly assess the prospects of success of the intended application for review. </w:t>
      </w:r>
    </w:p>
    <w:p w14:paraId="22920EF7" w14:textId="317A0E1D" w:rsidR="004D3120" w:rsidRPr="0066478C" w:rsidRDefault="004D3120" w:rsidP="0066478C">
      <w:pPr>
        <w:pStyle w:val="ListParagraph"/>
        <w:numPr>
          <w:ilvl w:val="0"/>
          <w:numId w:val="1"/>
        </w:numPr>
        <w:spacing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 Notwithstanding th</w:t>
      </w:r>
      <w:r w:rsidR="00F71873">
        <w:rPr>
          <w:rFonts w:ascii="Times New Roman" w:hAnsi="Times New Roman" w:cs="Times New Roman"/>
          <w:sz w:val="24"/>
          <w:szCs w:val="24"/>
        </w:rPr>
        <w:t>is</w:t>
      </w:r>
      <w:r w:rsidRPr="0066478C">
        <w:rPr>
          <w:rFonts w:ascii="Times New Roman" w:hAnsi="Times New Roman" w:cs="Times New Roman"/>
          <w:sz w:val="24"/>
          <w:szCs w:val="24"/>
        </w:rPr>
        <w:t xml:space="preserve"> observation, I now turn to the actual merits of the matter. </w:t>
      </w:r>
      <w:r w:rsidR="00211979" w:rsidRPr="0066478C">
        <w:rPr>
          <w:rFonts w:ascii="Times New Roman" w:hAnsi="Times New Roman" w:cs="Times New Roman"/>
          <w:sz w:val="24"/>
          <w:szCs w:val="24"/>
        </w:rPr>
        <w:t xml:space="preserve">The applicant contends that s 48 of the Police Act was wrongly engaged in his case. Section 48 says: </w:t>
      </w:r>
    </w:p>
    <w:p w14:paraId="3A0FBFC0" w14:textId="77777777" w:rsidR="00211979" w:rsidRPr="0066478C" w:rsidRDefault="00211979" w:rsidP="0066478C">
      <w:pPr>
        <w:spacing w:line="240" w:lineRule="auto"/>
        <w:ind w:left="1440"/>
        <w:jc w:val="both"/>
        <w:rPr>
          <w:rFonts w:ascii="Times New Roman" w:hAnsi="Times New Roman" w:cs="Times New Roman"/>
          <w:szCs w:val="24"/>
        </w:rPr>
      </w:pPr>
      <w:r w:rsidRPr="0066478C">
        <w:rPr>
          <w:rFonts w:ascii="Times New Roman" w:hAnsi="Times New Roman" w:cs="Times New Roman"/>
          <w:szCs w:val="24"/>
        </w:rPr>
        <w:t xml:space="preserve">“Procedure on conviction of member for certain offences </w:t>
      </w:r>
    </w:p>
    <w:p w14:paraId="18C52FC3" w14:textId="4C35767F" w:rsidR="00211979" w:rsidRPr="0066478C" w:rsidRDefault="00211979" w:rsidP="0066478C">
      <w:pPr>
        <w:spacing w:after="0" w:line="240" w:lineRule="auto"/>
        <w:ind w:left="1440"/>
        <w:jc w:val="both"/>
        <w:rPr>
          <w:rFonts w:ascii="Times New Roman" w:hAnsi="Times New Roman" w:cs="Times New Roman"/>
          <w:szCs w:val="24"/>
        </w:rPr>
      </w:pPr>
      <w:r w:rsidRPr="0066478C">
        <w:rPr>
          <w:rFonts w:ascii="Times New Roman" w:hAnsi="Times New Roman" w:cs="Times New Roman"/>
          <w:szCs w:val="24"/>
          <w:u w:val="single"/>
        </w:rPr>
        <w:t>If a member, other than an officer, is convicted of any offence and sentenced therefor to imprisonment without the option of a fine, whether or not the execution of such sentence is suspended</w:t>
      </w:r>
      <w:r w:rsidRPr="0066478C">
        <w:rPr>
          <w:rFonts w:ascii="Times New Roman" w:hAnsi="Times New Roman" w:cs="Times New Roman"/>
          <w:szCs w:val="24"/>
        </w:rPr>
        <w:t>, the Commissioner-General may—</w:t>
      </w:r>
    </w:p>
    <w:p w14:paraId="0BEE7C78" w14:textId="77777777" w:rsidR="0066478C" w:rsidRDefault="00211979" w:rsidP="0066478C">
      <w:pPr>
        <w:pStyle w:val="ListParagraph"/>
        <w:numPr>
          <w:ilvl w:val="0"/>
          <w:numId w:val="2"/>
        </w:numPr>
        <w:spacing w:after="0" w:line="240" w:lineRule="auto"/>
        <w:ind w:left="1800"/>
        <w:jc w:val="both"/>
        <w:rPr>
          <w:rFonts w:ascii="Times New Roman" w:hAnsi="Times New Roman" w:cs="Times New Roman"/>
          <w:szCs w:val="24"/>
        </w:rPr>
      </w:pPr>
      <w:r w:rsidRPr="0066478C">
        <w:rPr>
          <w:rFonts w:ascii="Times New Roman" w:hAnsi="Times New Roman" w:cs="Times New Roman"/>
          <w:szCs w:val="24"/>
        </w:rPr>
        <w:t xml:space="preserve">discharge the member, in which case the discharge may take effect from the date of his conviction; or </w:t>
      </w:r>
    </w:p>
    <w:p w14:paraId="5A0C42B0" w14:textId="5729B78C" w:rsidR="00211979" w:rsidRPr="0066478C" w:rsidRDefault="00211979" w:rsidP="0066478C">
      <w:pPr>
        <w:pStyle w:val="ListParagraph"/>
        <w:numPr>
          <w:ilvl w:val="0"/>
          <w:numId w:val="2"/>
        </w:numPr>
        <w:spacing w:after="0" w:line="240" w:lineRule="auto"/>
        <w:ind w:left="1800"/>
        <w:jc w:val="both"/>
        <w:rPr>
          <w:rFonts w:ascii="Times New Roman" w:hAnsi="Times New Roman" w:cs="Times New Roman"/>
          <w:szCs w:val="24"/>
        </w:rPr>
      </w:pPr>
      <w:r w:rsidRPr="0066478C">
        <w:rPr>
          <w:rFonts w:ascii="Times New Roman" w:hAnsi="Times New Roman" w:cs="Times New Roman"/>
          <w:szCs w:val="24"/>
        </w:rPr>
        <w:t>impose any one or more of the following penalties—</w:t>
      </w:r>
    </w:p>
    <w:p w14:paraId="753C1EBA" w14:textId="77777777" w:rsidR="0066478C" w:rsidRDefault="00211979" w:rsidP="0066478C">
      <w:pPr>
        <w:pStyle w:val="ListParagraph"/>
        <w:numPr>
          <w:ilvl w:val="0"/>
          <w:numId w:val="3"/>
        </w:numPr>
        <w:spacing w:after="0" w:line="240" w:lineRule="auto"/>
        <w:ind w:left="2265"/>
        <w:jc w:val="both"/>
        <w:rPr>
          <w:rFonts w:ascii="Times New Roman" w:hAnsi="Times New Roman" w:cs="Times New Roman"/>
          <w:szCs w:val="24"/>
        </w:rPr>
      </w:pPr>
      <w:r w:rsidRPr="0066478C">
        <w:rPr>
          <w:rFonts w:ascii="Times New Roman" w:hAnsi="Times New Roman" w:cs="Times New Roman"/>
          <w:szCs w:val="24"/>
        </w:rPr>
        <w:t>reduction in rank;</w:t>
      </w:r>
    </w:p>
    <w:p w14:paraId="189127D4" w14:textId="77777777" w:rsidR="0066478C" w:rsidRDefault="00211979" w:rsidP="0066478C">
      <w:pPr>
        <w:pStyle w:val="ListParagraph"/>
        <w:numPr>
          <w:ilvl w:val="0"/>
          <w:numId w:val="3"/>
        </w:numPr>
        <w:spacing w:after="0" w:line="240" w:lineRule="auto"/>
        <w:ind w:left="2265"/>
        <w:jc w:val="both"/>
        <w:rPr>
          <w:rFonts w:ascii="Times New Roman" w:hAnsi="Times New Roman" w:cs="Times New Roman"/>
          <w:szCs w:val="24"/>
        </w:rPr>
      </w:pPr>
      <w:r w:rsidRPr="0066478C">
        <w:rPr>
          <w:rFonts w:ascii="Times New Roman" w:hAnsi="Times New Roman" w:cs="Times New Roman"/>
          <w:szCs w:val="24"/>
        </w:rPr>
        <w:t>loss of seniority;</w:t>
      </w:r>
    </w:p>
    <w:p w14:paraId="713D1329" w14:textId="13B1AD9C" w:rsidR="00211979" w:rsidRPr="0066478C" w:rsidRDefault="00211979" w:rsidP="0066478C">
      <w:pPr>
        <w:pStyle w:val="ListParagraph"/>
        <w:numPr>
          <w:ilvl w:val="0"/>
          <w:numId w:val="3"/>
        </w:numPr>
        <w:spacing w:after="0" w:line="240" w:lineRule="auto"/>
        <w:ind w:left="2265"/>
        <w:jc w:val="both"/>
        <w:rPr>
          <w:rFonts w:ascii="Times New Roman" w:hAnsi="Times New Roman" w:cs="Times New Roman"/>
          <w:szCs w:val="24"/>
        </w:rPr>
      </w:pPr>
      <w:r w:rsidRPr="0066478C">
        <w:rPr>
          <w:rFonts w:ascii="Times New Roman" w:hAnsi="Times New Roman" w:cs="Times New Roman"/>
          <w:szCs w:val="24"/>
        </w:rPr>
        <w:t>withholding of an increment of salary; or</w:t>
      </w:r>
    </w:p>
    <w:p w14:paraId="7A7A5D0A" w14:textId="0A25C80C" w:rsidR="001A229D" w:rsidRDefault="00211979" w:rsidP="0066478C">
      <w:pPr>
        <w:pStyle w:val="ListParagraph"/>
        <w:numPr>
          <w:ilvl w:val="0"/>
          <w:numId w:val="2"/>
        </w:numPr>
        <w:spacing w:after="0" w:line="240" w:lineRule="auto"/>
        <w:ind w:left="1800"/>
        <w:jc w:val="both"/>
        <w:rPr>
          <w:rFonts w:ascii="Times New Roman" w:hAnsi="Times New Roman" w:cs="Times New Roman"/>
          <w:szCs w:val="24"/>
        </w:rPr>
      </w:pPr>
      <w:r w:rsidRPr="0066478C">
        <w:rPr>
          <w:rFonts w:ascii="Times New Roman" w:hAnsi="Times New Roman" w:cs="Times New Roman"/>
          <w:szCs w:val="24"/>
        </w:rPr>
        <w:t>reprimand the member</w:t>
      </w:r>
      <w:r w:rsidR="0066478C" w:rsidRPr="0066478C">
        <w:rPr>
          <w:rFonts w:ascii="Times New Roman" w:hAnsi="Times New Roman" w:cs="Times New Roman"/>
          <w:szCs w:val="24"/>
        </w:rPr>
        <w:t>.” (My emphasis)</w:t>
      </w:r>
      <w:r w:rsidRPr="0066478C">
        <w:rPr>
          <w:rFonts w:ascii="Times New Roman" w:hAnsi="Times New Roman" w:cs="Times New Roman"/>
          <w:szCs w:val="24"/>
        </w:rPr>
        <w:t xml:space="preserve"> </w:t>
      </w:r>
    </w:p>
    <w:p w14:paraId="2094D17B" w14:textId="77777777" w:rsidR="0066478C" w:rsidRPr="0066478C" w:rsidRDefault="0066478C" w:rsidP="0066478C">
      <w:pPr>
        <w:pStyle w:val="ListParagraph"/>
        <w:spacing w:after="0" w:line="240" w:lineRule="auto"/>
        <w:ind w:left="1800"/>
        <w:jc w:val="both"/>
        <w:rPr>
          <w:rFonts w:ascii="Times New Roman" w:hAnsi="Times New Roman" w:cs="Times New Roman"/>
          <w:szCs w:val="24"/>
        </w:rPr>
      </w:pPr>
    </w:p>
    <w:p w14:paraId="553E6E96" w14:textId="4D6955EF" w:rsidR="0066478C" w:rsidRDefault="00211979" w:rsidP="00831DE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For the crime of theft, the applicant was sentenced six months imprisonment of which three months were suspended for five years on condition of good behaviour and the remaining three months </w:t>
      </w:r>
      <w:r w:rsidR="00842366" w:rsidRPr="0066478C">
        <w:rPr>
          <w:rFonts w:ascii="Times New Roman" w:hAnsi="Times New Roman" w:cs="Times New Roman"/>
          <w:sz w:val="24"/>
          <w:szCs w:val="24"/>
        </w:rPr>
        <w:t xml:space="preserve">were </w:t>
      </w:r>
      <w:r w:rsidRPr="0066478C">
        <w:rPr>
          <w:rFonts w:ascii="Times New Roman" w:hAnsi="Times New Roman" w:cs="Times New Roman"/>
          <w:sz w:val="24"/>
          <w:szCs w:val="24"/>
        </w:rPr>
        <w:t>suspended on condition of restitution.</w:t>
      </w:r>
      <w:r w:rsidR="00831DE9" w:rsidRPr="0066478C">
        <w:rPr>
          <w:rFonts w:ascii="Times New Roman" w:hAnsi="Times New Roman" w:cs="Times New Roman"/>
          <w:sz w:val="24"/>
          <w:szCs w:val="24"/>
        </w:rPr>
        <w:t xml:space="preserve"> The applicant was not sentenced to an option of fine. Three months were suspended on condition of good behaviour and the remaining three months on condition of restitution. There is no fine in this sentence. No amount of ingenuity or spin will change the fact that the applicant was not given an option of a fine. The provision is clear, it does not matter even if the execution of the sentence is suspended, as long as he was not given an option of a fine s 48 is </w:t>
      </w:r>
      <w:r w:rsidR="00F71873">
        <w:rPr>
          <w:rFonts w:ascii="Times New Roman" w:hAnsi="Times New Roman" w:cs="Times New Roman"/>
          <w:sz w:val="24"/>
          <w:szCs w:val="24"/>
        </w:rPr>
        <w:t>triggered</w:t>
      </w:r>
      <w:r w:rsidR="00831DE9" w:rsidRPr="0066478C">
        <w:rPr>
          <w:rFonts w:ascii="Times New Roman" w:hAnsi="Times New Roman" w:cs="Times New Roman"/>
          <w:sz w:val="24"/>
          <w:szCs w:val="24"/>
        </w:rPr>
        <w:t xml:space="preserve">.  The first respondent discharged the applicant in terms of s 48(1)(a) of the Act. In the circumstances, the submission that the first respondent improperly </w:t>
      </w:r>
      <w:r w:rsidR="009B4206">
        <w:rPr>
          <w:rFonts w:ascii="Times New Roman" w:hAnsi="Times New Roman" w:cs="Times New Roman"/>
          <w:sz w:val="24"/>
          <w:szCs w:val="24"/>
        </w:rPr>
        <w:t>triggered</w:t>
      </w:r>
      <w:r w:rsidR="00831DE9" w:rsidRPr="0066478C">
        <w:rPr>
          <w:rFonts w:ascii="Times New Roman" w:hAnsi="Times New Roman" w:cs="Times New Roman"/>
          <w:sz w:val="24"/>
          <w:szCs w:val="24"/>
        </w:rPr>
        <w:t xml:space="preserve"> s 48 has no merit. </w:t>
      </w:r>
    </w:p>
    <w:p w14:paraId="0B1D4D25" w14:textId="77777777" w:rsidR="0066478C" w:rsidRDefault="00090DAC" w:rsidP="002405F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The applicant argues that the first respondent had no lawful authority to discharge him form the Police Service. In terms of s 48(1)(a) the Commissioner-General may discharge a member sentenced to imprisonment without the option of a fine. The argument that the first respondent had no authority to discharge the applicant has no basis in law. It has no merit. </w:t>
      </w:r>
    </w:p>
    <w:p w14:paraId="0224FB24" w14:textId="26A3033B" w:rsidR="0066478C" w:rsidRDefault="00090DAC" w:rsidP="002405F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lastRenderedPageBreak/>
        <w:t>T</w:t>
      </w:r>
      <w:r w:rsidR="00EC2079">
        <w:rPr>
          <w:rFonts w:ascii="Times New Roman" w:hAnsi="Times New Roman" w:cs="Times New Roman"/>
          <w:sz w:val="24"/>
          <w:szCs w:val="24"/>
        </w:rPr>
        <w:t>he contention</w:t>
      </w:r>
      <w:r w:rsidRPr="0066478C">
        <w:rPr>
          <w:rFonts w:ascii="Times New Roman" w:hAnsi="Times New Roman" w:cs="Times New Roman"/>
          <w:sz w:val="24"/>
          <w:szCs w:val="24"/>
        </w:rPr>
        <w:t xml:space="preserve"> that the second respondent fell into error when </w:t>
      </w:r>
      <w:r w:rsidR="00EC2079">
        <w:rPr>
          <w:rFonts w:ascii="Times New Roman" w:hAnsi="Times New Roman" w:cs="Times New Roman"/>
          <w:sz w:val="24"/>
          <w:szCs w:val="24"/>
        </w:rPr>
        <w:t>it</w:t>
      </w:r>
      <w:r w:rsidRPr="0066478C">
        <w:rPr>
          <w:rFonts w:ascii="Times New Roman" w:hAnsi="Times New Roman" w:cs="Times New Roman"/>
          <w:sz w:val="24"/>
          <w:szCs w:val="24"/>
        </w:rPr>
        <w:t xml:space="preserve"> failed to allow </w:t>
      </w:r>
      <w:r w:rsidR="00EC2079">
        <w:rPr>
          <w:rFonts w:ascii="Times New Roman" w:hAnsi="Times New Roman" w:cs="Times New Roman"/>
          <w:sz w:val="24"/>
          <w:szCs w:val="24"/>
        </w:rPr>
        <w:t>the applicant</w:t>
      </w:r>
      <w:r w:rsidRPr="0066478C">
        <w:rPr>
          <w:rFonts w:ascii="Times New Roman" w:hAnsi="Times New Roman" w:cs="Times New Roman"/>
          <w:sz w:val="24"/>
          <w:szCs w:val="24"/>
        </w:rPr>
        <w:t xml:space="preserve"> to argue his appeal as provided for in s 69(1) of the Constitution</w:t>
      </w:r>
      <w:r w:rsidR="00EC2079">
        <w:rPr>
          <w:rFonts w:ascii="Times New Roman" w:hAnsi="Times New Roman" w:cs="Times New Roman"/>
          <w:sz w:val="24"/>
          <w:szCs w:val="24"/>
        </w:rPr>
        <w:t xml:space="preserve"> has no merit</w:t>
      </w:r>
      <w:r w:rsidRPr="0066478C">
        <w:rPr>
          <w:rFonts w:ascii="Times New Roman" w:hAnsi="Times New Roman" w:cs="Times New Roman"/>
          <w:sz w:val="24"/>
          <w:szCs w:val="24"/>
        </w:rPr>
        <w:t xml:space="preserve">. </w:t>
      </w:r>
      <w:r w:rsidR="00EC2079">
        <w:rPr>
          <w:rFonts w:ascii="Times New Roman" w:hAnsi="Times New Roman" w:cs="Times New Roman"/>
          <w:sz w:val="24"/>
          <w:szCs w:val="24"/>
        </w:rPr>
        <w:t>F</w:t>
      </w:r>
      <w:r w:rsidRPr="0066478C">
        <w:rPr>
          <w:rFonts w:ascii="Times New Roman" w:hAnsi="Times New Roman" w:cs="Times New Roman"/>
          <w:sz w:val="24"/>
          <w:szCs w:val="24"/>
        </w:rPr>
        <w:t xml:space="preserve">urther </w:t>
      </w:r>
      <w:r w:rsidR="00EC2079">
        <w:rPr>
          <w:rFonts w:ascii="Times New Roman" w:hAnsi="Times New Roman" w:cs="Times New Roman"/>
          <w:sz w:val="24"/>
          <w:szCs w:val="24"/>
        </w:rPr>
        <w:t>the criticism that the second respondent failed t</w:t>
      </w:r>
      <w:r w:rsidRPr="0066478C">
        <w:rPr>
          <w:rFonts w:ascii="Times New Roman" w:hAnsi="Times New Roman" w:cs="Times New Roman"/>
          <w:sz w:val="24"/>
          <w:szCs w:val="24"/>
        </w:rPr>
        <w:t xml:space="preserve">o convene a tribunal to hear the </w:t>
      </w:r>
      <w:r w:rsidR="00BC29C8" w:rsidRPr="0066478C">
        <w:rPr>
          <w:rFonts w:ascii="Times New Roman" w:hAnsi="Times New Roman" w:cs="Times New Roman"/>
          <w:sz w:val="24"/>
          <w:szCs w:val="24"/>
        </w:rPr>
        <w:t>appeal but</w:t>
      </w:r>
      <w:r w:rsidRPr="0066478C">
        <w:rPr>
          <w:rFonts w:ascii="Times New Roman" w:hAnsi="Times New Roman" w:cs="Times New Roman"/>
          <w:sz w:val="24"/>
          <w:szCs w:val="24"/>
        </w:rPr>
        <w:t xml:space="preserve"> merely summarised the information it got from the first respondent</w:t>
      </w:r>
      <w:r w:rsidR="00EC2079">
        <w:rPr>
          <w:rFonts w:ascii="Times New Roman" w:hAnsi="Times New Roman" w:cs="Times New Roman"/>
          <w:sz w:val="24"/>
          <w:szCs w:val="24"/>
        </w:rPr>
        <w:t xml:space="preserve"> also has no merit</w:t>
      </w:r>
      <w:r w:rsidRPr="0066478C">
        <w:rPr>
          <w:rFonts w:ascii="Times New Roman" w:hAnsi="Times New Roman" w:cs="Times New Roman"/>
          <w:sz w:val="24"/>
          <w:szCs w:val="24"/>
        </w:rPr>
        <w:t xml:space="preserve">. There is no evidence that the applicant was refused to argue his appeal. In fact, the record show that a board constituting </w:t>
      </w:r>
      <w:r w:rsidR="002405F9" w:rsidRPr="0066478C">
        <w:rPr>
          <w:rFonts w:ascii="Times New Roman" w:hAnsi="Times New Roman" w:cs="Times New Roman"/>
          <w:sz w:val="24"/>
          <w:szCs w:val="24"/>
        </w:rPr>
        <w:t xml:space="preserve">five commissioners sat to determine the appeal. </w:t>
      </w:r>
      <w:r w:rsidR="00BC29C8">
        <w:rPr>
          <w:rFonts w:ascii="Times New Roman" w:hAnsi="Times New Roman" w:cs="Times New Roman"/>
          <w:sz w:val="24"/>
          <w:szCs w:val="24"/>
        </w:rPr>
        <w:t xml:space="preserve">In any event, nothing turns on the criticism of the conduct of the second respondent because </w:t>
      </w:r>
      <w:r w:rsidR="00D84ECD">
        <w:rPr>
          <w:rFonts w:ascii="Times New Roman" w:hAnsi="Times New Roman" w:cs="Times New Roman"/>
          <w:sz w:val="24"/>
          <w:szCs w:val="24"/>
        </w:rPr>
        <w:t xml:space="preserve">it is the proceedings of the first respondent that are sought to be reviewed should this application succeeds. </w:t>
      </w:r>
      <w:r w:rsidR="002405F9" w:rsidRPr="0066478C">
        <w:rPr>
          <w:rFonts w:ascii="Times New Roman" w:hAnsi="Times New Roman" w:cs="Times New Roman"/>
          <w:sz w:val="24"/>
          <w:szCs w:val="24"/>
        </w:rPr>
        <w:t xml:space="preserve"> </w:t>
      </w:r>
    </w:p>
    <w:p w14:paraId="0AF3D1AB" w14:textId="5FC33B1D" w:rsidR="002405F9" w:rsidRPr="0066478C" w:rsidRDefault="002405F9" w:rsidP="002405F9">
      <w:pPr>
        <w:pStyle w:val="ListParagraph"/>
        <w:numPr>
          <w:ilvl w:val="0"/>
          <w:numId w:val="1"/>
        </w:numPr>
        <w:spacing w:after="0" w:line="360" w:lineRule="auto"/>
        <w:jc w:val="both"/>
        <w:rPr>
          <w:rFonts w:ascii="Times New Roman" w:hAnsi="Times New Roman" w:cs="Times New Roman"/>
          <w:sz w:val="24"/>
          <w:szCs w:val="24"/>
        </w:rPr>
      </w:pPr>
      <w:r w:rsidRPr="0066478C">
        <w:rPr>
          <w:rFonts w:ascii="Times New Roman" w:hAnsi="Times New Roman" w:cs="Times New Roman"/>
          <w:sz w:val="24"/>
          <w:szCs w:val="24"/>
        </w:rPr>
        <w:t xml:space="preserve">In summary, the delay is inordinate, the explanation thereof is unreasonable, and the application for review intended to be filed has no prospects of success. It is destined to fail. No good grounds exist for a departure from the general rule that costs follow the event. The first respondent is entitled to its costs. It is for these reasons that I dismissed this application with costs. </w:t>
      </w:r>
    </w:p>
    <w:p w14:paraId="1D769535" w14:textId="77777777" w:rsidR="006B1974" w:rsidRDefault="006B1974" w:rsidP="002405F9">
      <w:pPr>
        <w:spacing w:after="0" w:line="360" w:lineRule="auto"/>
        <w:jc w:val="both"/>
        <w:rPr>
          <w:rFonts w:ascii="Times New Roman" w:hAnsi="Times New Roman" w:cs="Times New Roman"/>
          <w:sz w:val="24"/>
          <w:szCs w:val="24"/>
        </w:rPr>
      </w:pPr>
    </w:p>
    <w:p w14:paraId="4A25CF0B" w14:textId="77777777" w:rsidR="0066478C" w:rsidRDefault="0066478C" w:rsidP="002405F9">
      <w:pPr>
        <w:spacing w:after="0" w:line="360" w:lineRule="auto"/>
        <w:jc w:val="both"/>
        <w:rPr>
          <w:rFonts w:ascii="Times New Roman" w:hAnsi="Times New Roman" w:cs="Times New Roman"/>
          <w:sz w:val="24"/>
          <w:szCs w:val="24"/>
        </w:rPr>
      </w:pPr>
    </w:p>
    <w:p w14:paraId="5FBFB9BA" w14:textId="157E3E67" w:rsidR="0066478C" w:rsidRDefault="0066478C" w:rsidP="0066478C">
      <w:pPr>
        <w:spacing w:line="240" w:lineRule="auto"/>
        <w:jc w:val="both"/>
        <w:rPr>
          <w:rFonts w:ascii="Times New Roman" w:hAnsi="Times New Roman" w:cs="Times New Roman"/>
          <w:sz w:val="24"/>
          <w:szCs w:val="24"/>
        </w:rPr>
      </w:pPr>
      <w:r w:rsidRPr="0066478C">
        <w:rPr>
          <w:rFonts w:ascii="Times New Roman" w:hAnsi="Times New Roman" w:cs="Times New Roman"/>
          <w:b/>
          <w:smallCaps/>
          <w:sz w:val="24"/>
          <w:szCs w:val="24"/>
        </w:rPr>
        <w:t>Dube - Banda J</w:t>
      </w:r>
      <w:r>
        <w:rPr>
          <w:rFonts w:ascii="Times New Roman" w:hAnsi="Times New Roman" w:cs="Times New Roman"/>
          <w:sz w:val="24"/>
          <w:szCs w:val="24"/>
        </w:rPr>
        <w:t>: ………………………………………..</w:t>
      </w:r>
    </w:p>
    <w:p w14:paraId="5D586EDE" w14:textId="328065B0" w:rsidR="006B1974" w:rsidRDefault="006B1974" w:rsidP="006B1974">
      <w:pPr>
        <w:spacing w:after="0" w:line="276" w:lineRule="auto"/>
        <w:jc w:val="both"/>
        <w:rPr>
          <w:rFonts w:ascii="Times New Roman" w:hAnsi="Times New Roman" w:cs="Times New Roman"/>
          <w:sz w:val="24"/>
          <w:szCs w:val="24"/>
        </w:rPr>
      </w:pPr>
      <w:r w:rsidRPr="006B1974">
        <w:rPr>
          <w:rFonts w:ascii="Times New Roman" w:hAnsi="Times New Roman" w:cs="Times New Roman"/>
          <w:i/>
          <w:iCs/>
          <w:sz w:val="24"/>
          <w:szCs w:val="24"/>
        </w:rPr>
        <w:t>Mugiya Law Chambers</w:t>
      </w:r>
      <w:r>
        <w:rPr>
          <w:rFonts w:ascii="Times New Roman" w:hAnsi="Times New Roman" w:cs="Times New Roman"/>
          <w:sz w:val="24"/>
          <w:szCs w:val="24"/>
        </w:rPr>
        <w:t xml:space="preserve">, applicant’s legal practitioners </w:t>
      </w:r>
    </w:p>
    <w:p w14:paraId="1763246A" w14:textId="455055E6" w:rsidR="006B1974" w:rsidRPr="00452E35" w:rsidRDefault="006B1974" w:rsidP="006B1974">
      <w:pPr>
        <w:spacing w:after="0" w:line="276" w:lineRule="auto"/>
        <w:jc w:val="both"/>
        <w:rPr>
          <w:rFonts w:ascii="Times New Roman" w:hAnsi="Times New Roman" w:cs="Times New Roman"/>
          <w:sz w:val="24"/>
          <w:szCs w:val="24"/>
        </w:rPr>
      </w:pPr>
      <w:r w:rsidRPr="006B1974">
        <w:rPr>
          <w:rFonts w:ascii="Times New Roman" w:hAnsi="Times New Roman" w:cs="Times New Roman"/>
          <w:i/>
          <w:iCs/>
          <w:sz w:val="24"/>
          <w:szCs w:val="24"/>
        </w:rPr>
        <w:t>Civil Division of the Attorney General’s Office,</w:t>
      </w:r>
      <w:r>
        <w:rPr>
          <w:rFonts w:ascii="Times New Roman" w:hAnsi="Times New Roman" w:cs="Times New Roman"/>
          <w:sz w:val="24"/>
          <w:szCs w:val="24"/>
        </w:rPr>
        <w:t xml:space="preserve"> respondents’ legal practitioners </w:t>
      </w:r>
    </w:p>
    <w:sectPr w:rsidR="006B1974" w:rsidRPr="00452E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5098" w14:textId="77777777" w:rsidR="00600E22" w:rsidRDefault="00600E22" w:rsidP="0066478C">
      <w:pPr>
        <w:spacing w:after="0" w:line="240" w:lineRule="auto"/>
      </w:pPr>
      <w:r>
        <w:separator/>
      </w:r>
    </w:p>
  </w:endnote>
  <w:endnote w:type="continuationSeparator" w:id="0">
    <w:p w14:paraId="4096ABE3" w14:textId="77777777" w:rsidR="00600E22" w:rsidRDefault="00600E22" w:rsidP="0066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EE86" w14:textId="77777777" w:rsidR="00600E22" w:rsidRDefault="00600E22" w:rsidP="0066478C">
      <w:pPr>
        <w:spacing w:after="0" w:line="240" w:lineRule="auto"/>
      </w:pPr>
      <w:r>
        <w:separator/>
      </w:r>
    </w:p>
  </w:footnote>
  <w:footnote w:type="continuationSeparator" w:id="0">
    <w:p w14:paraId="07F4B2AF" w14:textId="77777777" w:rsidR="00600E22" w:rsidRDefault="00600E22" w:rsidP="0066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86991"/>
      <w:docPartObj>
        <w:docPartGallery w:val="Page Numbers (Top of Page)"/>
        <w:docPartUnique/>
      </w:docPartObj>
    </w:sdtPr>
    <w:sdtEndPr>
      <w:rPr>
        <w:noProof/>
      </w:rPr>
    </w:sdtEndPr>
    <w:sdtContent>
      <w:p w14:paraId="6D36254D" w14:textId="6CF2E7D4" w:rsidR="0066478C" w:rsidRDefault="0066478C">
        <w:pPr>
          <w:pStyle w:val="Header"/>
          <w:jc w:val="right"/>
          <w:rPr>
            <w:noProof/>
          </w:rPr>
        </w:pPr>
        <w:r>
          <w:fldChar w:fldCharType="begin"/>
        </w:r>
        <w:r>
          <w:instrText xml:space="preserve"> PAGE   \* MERGEFORMAT </w:instrText>
        </w:r>
        <w:r>
          <w:fldChar w:fldCharType="separate"/>
        </w:r>
        <w:r w:rsidR="00FB3B14">
          <w:rPr>
            <w:noProof/>
          </w:rPr>
          <w:t>1</w:t>
        </w:r>
        <w:r>
          <w:rPr>
            <w:noProof/>
          </w:rPr>
          <w:fldChar w:fldCharType="end"/>
        </w:r>
      </w:p>
      <w:p w14:paraId="3161CA37" w14:textId="7275FE4D" w:rsidR="006C726F" w:rsidRDefault="006C726F">
        <w:pPr>
          <w:pStyle w:val="Header"/>
          <w:jc w:val="right"/>
          <w:rPr>
            <w:noProof/>
          </w:rPr>
        </w:pPr>
        <w:r>
          <w:rPr>
            <w:noProof/>
          </w:rPr>
          <w:t>HH 377 - 25</w:t>
        </w:r>
      </w:p>
      <w:p w14:paraId="065D1A44" w14:textId="025F2A36" w:rsidR="0066478C" w:rsidRDefault="003873C1">
        <w:pPr>
          <w:pStyle w:val="Header"/>
          <w:jc w:val="right"/>
        </w:pPr>
        <w:r>
          <w:rPr>
            <w:noProof/>
          </w:rPr>
          <w:t>HCH 5310/24</w:t>
        </w:r>
      </w:p>
    </w:sdtContent>
  </w:sdt>
  <w:p w14:paraId="78195EA9" w14:textId="77777777" w:rsidR="0066478C" w:rsidRDefault="006647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1ACF"/>
    <w:multiLevelType w:val="hybridMultilevel"/>
    <w:tmpl w:val="6E287994"/>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8840F4"/>
    <w:multiLevelType w:val="hybridMultilevel"/>
    <w:tmpl w:val="3350F9B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34356"/>
    <w:multiLevelType w:val="hybridMultilevel"/>
    <w:tmpl w:val="E10E898A"/>
    <w:lvl w:ilvl="0" w:tplc="BE9C0B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CF44AE"/>
    <w:multiLevelType w:val="hybridMultilevel"/>
    <w:tmpl w:val="EF46D5F0"/>
    <w:lvl w:ilvl="0" w:tplc="4600F3E4">
      <w:start w:val="1"/>
      <w:numFmt w:val="lowerRoman"/>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15:restartNumberingAfterBreak="0">
    <w:nsid w:val="64501732"/>
    <w:multiLevelType w:val="hybridMultilevel"/>
    <w:tmpl w:val="65E43AF0"/>
    <w:lvl w:ilvl="0" w:tplc="7C064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35"/>
    <w:rsid w:val="00064732"/>
    <w:rsid w:val="00090DAC"/>
    <w:rsid w:val="000D638B"/>
    <w:rsid w:val="001A229D"/>
    <w:rsid w:val="001D0DD3"/>
    <w:rsid w:val="00211979"/>
    <w:rsid w:val="00214210"/>
    <w:rsid w:val="002405F9"/>
    <w:rsid w:val="00262BBA"/>
    <w:rsid w:val="002660EF"/>
    <w:rsid w:val="002A0461"/>
    <w:rsid w:val="00305918"/>
    <w:rsid w:val="00306699"/>
    <w:rsid w:val="003749A6"/>
    <w:rsid w:val="003873C1"/>
    <w:rsid w:val="00394356"/>
    <w:rsid w:val="003B7030"/>
    <w:rsid w:val="003C3BE7"/>
    <w:rsid w:val="00452E35"/>
    <w:rsid w:val="004D3120"/>
    <w:rsid w:val="00502BF0"/>
    <w:rsid w:val="005D437D"/>
    <w:rsid w:val="00600E22"/>
    <w:rsid w:val="0066478C"/>
    <w:rsid w:val="0067504D"/>
    <w:rsid w:val="006B1974"/>
    <w:rsid w:val="006C726F"/>
    <w:rsid w:val="0071576C"/>
    <w:rsid w:val="00725C37"/>
    <w:rsid w:val="007D2ABD"/>
    <w:rsid w:val="0081464E"/>
    <w:rsid w:val="00831DE9"/>
    <w:rsid w:val="00842366"/>
    <w:rsid w:val="00844DE5"/>
    <w:rsid w:val="008C4A60"/>
    <w:rsid w:val="008F10B4"/>
    <w:rsid w:val="009205D9"/>
    <w:rsid w:val="009514FA"/>
    <w:rsid w:val="009B4206"/>
    <w:rsid w:val="009C26A4"/>
    <w:rsid w:val="009F6CD7"/>
    <w:rsid w:val="00B70E16"/>
    <w:rsid w:val="00B718F3"/>
    <w:rsid w:val="00B861AF"/>
    <w:rsid w:val="00BC29C8"/>
    <w:rsid w:val="00C02A9E"/>
    <w:rsid w:val="00D30ACC"/>
    <w:rsid w:val="00D54235"/>
    <w:rsid w:val="00D84655"/>
    <w:rsid w:val="00D84ECD"/>
    <w:rsid w:val="00E72222"/>
    <w:rsid w:val="00EC2079"/>
    <w:rsid w:val="00F46DA5"/>
    <w:rsid w:val="00F71873"/>
    <w:rsid w:val="00F93008"/>
    <w:rsid w:val="00FB3B14"/>
    <w:rsid w:val="00FD11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A6D8"/>
  <w15:chartTrackingRefBased/>
  <w15:docId w15:val="{C9A42F76-91B8-4D77-B367-FFB6055B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2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E35"/>
    <w:rPr>
      <w:rFonts w:eastAsiaTheme="majorEastAsia" w:cstheme="majorBidi"/>
      <w:color w:val="272727" w:themeColor="text1" w:themeTint="D8"/>
    </w:rPr>
  </w:style>
  <w:style w:type="paragraph" w:styleId="Title">
    <w:name w:val="Title"/>
    <w:basedOn w:val="Normal"/>
    <w:next w:val="Normal"/>
    <w:link w:val="TitleChar"/>
    <w:uiPriority w:val="10"/>
    <w:qFormat/>
    <w:rsid w:val="0045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E35"/>
    <w:pPr>
      <w:spacing w:before="160"/>
      <w:jc w:val="center"/>
    </w:pPr>
    <w:rPr>
      <w:i/>
      <w:iCs/>
      <w:color w:val="404040" w:themeColor="text1" w:themeTint="BF"/>
    </w:rPr>
  </w:style>
  <w:style w:type="character" w:customStyle="1" w:styleId="QuoteChar">
    <w:name w:val="Quote Char"/>
    <w:basedOn w:val="DefaultParagraphFont"/>
    <w:link w:val="Quote"/>
    <w:uiPriority w:val="29"/>
    <w:rsid w:val="00452E35"/>
    <w:rPr>
      <w:i/>
      <w:iCs/>
      <w:color w:val="404040" w:themeColor="text1" w:themeTint="BF"/>
    </w:rPr>
  </w:style>
  <w:style w:type="paragraph" w:styleId="ListParagraph">
    <w:name w:val="List Paragraph"/>
    <w:basedOn w:val="Normal"/>
    <w:uiPriority w:val="34"/>
    <w:qFormat/>
    <w:rsid w:val="00452E35"/>
    <w:pPr>
      <w:ind w:left="720"/>
      <w:contextualSpacing/>
    </w:pPr>
  </w:style>
  <w:style w:type="character" w:styleId="IntenseEmphasis">
    <w:name w:val="Intense Emphasis"/>
    <w:basedOn w:val="DefaultParagraphFont"/>
    <w:uiPriority w:val="21"/>
    <w:qFormat/>
    <w:rsid w:val="00452E35"/>
    <w:rPr>
      <w:i/>
      <w:iCs/>
      <w:color w:val="2F5496" w:themeColor="accent1" w:themeShade="BF"/>
    </w:rPr>
  </w:style>
  <w:style w:type="paragraph" w:styleId="IntenseQuote">
    <w:name w:val="Intense Quote"/>
    <w:basedOn w:val="Normal"/>
    <w:next w:val="Normal"/>
    <w:link w:val="IntenseQuoteChar"/>
    <w:uiPriority w:val="30"/>
    <w:qFormat/>
    <w:rsid w:val="00452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E35"/>
    <w:rPr>
      <w:i/>
      <w:iCs/>
      <w:color w:val="2F5496" w:themeColor="accent1" w:themeShade="BF"/>
    </w:rPr>
  </w:style>
  <w:style w:type="character" w:styleId="IntenseReference">
    <w:name w:val="Intense Reference"/>
    <w:basedOn w:val="DefaultParagraphFont"/>
    <w:uiPriority w:val="32"/>
    <w:qFormat/>
    <w:rsid w:val="00452E35"/>
    <w:rPr>
      <w:b/>
      <w:bCs/>
      <w:smallCaps/>
      <w:color w:val="2F5496" w:themeColor="accent1" w:themeShade="BF"/>
      <w:spacing w:val="5"/>
    </w:rPr>
  </w:style>
  <w:style w:type="character" w:styleId="Hyperlink">
    <w:name w:val="Hyperlink"/>
    <w:basedOn w:val="DefaultParagraphFont"/>
    <w:uiPriority w:val="99"/>
    <w:unhideWhenUsed/>
    <w:rsid w:val="00452E35"/>
    <w:rPr>
      <w:color w:val="0563C1" w:themeColor="hyperlink"/>
      <w:u w:val="single"/>
    </w:rPr>
  </w:style>
  <w:style w:type="character" w:customStyle="1" w:styleId="UnresolvedMention1">
    <w:name w:val="Unresolved Mention1"/>
    <w:basedOn w:val="DefaultParagraphFont"/>
    <w:uiPriority w:val="99"/>
    <w:semiHidden/>
    <w:unhideWhenUsed/>
    <w:rsid w:val="00452E35"/>
    <w:rPr>
      <w:color w:val="605E5C"/>
      <w:shd w:val="clear" w:color="auto" w:fill="E1DFDD"/>
    </w:rPr>
  </w:style>
  <w:style w:type="paragraph" w:customStyle="1" w:styleId="Default">
    <w:name w:val="Default"/>
    <w:rsid w:val="002660E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6B1974"/>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66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78C"/>
  </w:style>
  <w:style w:type="paragraph" w:styleId="Footer">
    <w:name w:val="footer"/>
    <w:basedOn w:val="Normal"/>
    <w:link w:val="FooterChar"/>
    <w:uiPriority w:val="99"/>
    <w:unhideWhenUsed/>
    <w:rsid w:val="0066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972880">
      <w:bodyDiv w:val="1"/>
      <w:marLeft w:val="0"/>
      <w:marRight w:val="0"/>
      <w:marTop w:val="0"/>
      <w:marBottom w:val="0"/>
      <w:divBdr>
        <w:top w:val="none" w:sz="0" w:space="0" w:color="auto"/>
        <w:left w:val="none" w:sz="0" w:space="0" w:color="auto"/>
        <w:bottom w:val="none" w:sz="0" w:space="0" w:color="auto"/>
        <w:right w:val="none" w:sz="0" w:space="0" w:color="auto"/>
      </w:divBdr>
    </w:div>
    <w:div w:id="21174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2025-07-11T10:58:00Z</dcterms:created>
  <dcterms:modified xsi:type="dcterms:W3CDTF">2025-07-11T10:58:00Z</dcterms:modified>
</cp:coreProperties>
</file>