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F28" w:rsidRDefault="007A6FD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EUNIGOD PRIVATE SCHOOL (PVT) LTD t/a </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EUNIGOD PRIMARY SCHOOL</w:t>
      </w:r>
    </w:p>
    <w:p w:rsidR="00D76F28" w:rsidRDefault="007A6FD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Versus</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CHRISTBRANDS INVESTMENTS (PVT) LTD </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PHILLIP MASHAAH</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PUBLIC WORKS AND NATIONAL HOUSING</w:t>
      </w:r>
    </w:p>
    <w:p w:rsidR="00D76F28" w:rsidRDefault="00D76F28">
      <w:pPr>
        <w:jc w:val="both"/>
        <w:rPr>
          <w:rFonts w:ascii="Times New Roman" w:hAnsi="Times New Roman" w:cs="Times New Roman"/>
          <w:sz w:val="24"/>
          <w:szCs w:val="24"/>
        </w:rPr>
      </w:pP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D76F28" w:rsidRDefault="007A6F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MUSHURE J </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March &amp; 10 July</w:t>
      </w:r>
      <w:r>
        <w:rPr>
          <w:rFonts w:ascii="Times New Roman" w:hAnsi="Times New Roman" w:cs="Times New Roman"/>
          <w:sz w:val="24"/>
          <w:szCs w:val="24"/>
        </w:rPr>
        <w:t xml:space="preserve"> 2025</w:t>
      </w:r>
    </w:p>
    <w:p w:rsidR="00D76F28" w:rsidRDefault="00D76F28">
      <w:pPr>
        <w:jc w:val="both"/>
        <w:rPr>
          <w:rFonts w:ascii="Times New Roman" w:hAnsi="Times New Roman" w:cs="Times New Roman"/>
          <w:sz w:val="24"/>
          <w:szCs w:val="24"/>
        </w:rPr>
      </w:pPr>
    </w:p>
    <w:p w:rsidR="00D76F28" w:rsidRDefault="007A6FDB">
      <w:pPr>
        <w:jc w:val="both"/>
        <w:rPr>
          <w:rFonts w:ascii="Times New Roman" w:hAnsi="Times New Roman" w:cs="Times New Roman"/>
          <w:b/>
          <w:sz w:val="24"/>
          <w:szCs w:val="24"/>
        </w:rPr>
      </w:pPr>
      <w:r>
        <w:rPr>
          <w:rFonts w:ascii="Times New Roman" w:hAnsi="Times New Roman" w:cs="Times New Roman"/>
          <w:b/>
          <w:sz w:val="24"/>
          <w:szCs w:val="24"/>
        </w:rPr>
        <w:t>Application for a Declaratur</w:t>
      </w:r>
    </w:p>
    <w:p w:rsidR="00D76F28" w:rsidRDefault="00D76F28">
      <w:pPr>
        <w:spacing w:after="0" w:line="240" w:lineRule="auto"/>
        <w:jc w:val="both"/>
        <w:rPr>
          <w:rFonts w:ascii="Times New Roman" w:hAnsi="Times New Roman" w:cs="Times New Roman"/>
          <w:sz w:val="24"/>
          <w:szCs w:val="24"/>
        </w:rPr>
      </w:pP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Biti</w:t>
      </w:r>
      <w:r>
        <w:rPr>
          <w:rFonts w:ascii="Times New Roman" w:hAnsi="Times New Roman" w:cs="Times New Roman"/>
          <w:sz w:val="24"/>
          <w:szCs w:val="24"/>
        </w:rPr>
        <w:t xml:space="preserve">, for the applicant </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Tandiri,</w:t>
      </w:r>
      <w:r>
        <w:rPr>
          <w:rFonts w:ascii="Times New Roman" w:hAnsi="Times New Roman" w:cs="Times New Roman"/>
          <w:sz w:val="24"/>
          <w:szCs w:val="24"/>
        </w:rPr>
        <w:t xml:space="preserve"> for the first and second respondents</w:t>
      </w:r>
    </w:p>
    <w:p w:rsidR="00D76F28" w:rsidRDefault="007A6FDB">
      <w:pPr>
        <w:jc w:val="both"/>
        <w:rPr>
          <w:rFonts w:ascii="Times New Roman" w:hAnsi="Times New Roman" w:cs="Times New Roman"/>
          <w:sz w:val="24"/>
          <w:szCs w:val="24"/>
        </w:rPr>
      </w:pPr>
      <w:r>
        <w:rPr>
          <w:rFonts w:ascii="Times New Roman" w:hAnsi="Times New Roman" w:cs="Times New Roman"/>
          <w:i/>
          <w:sz w:val="24"/>
          <w:szCs w:val="24"/>
        </w:rPr>
        <w:t>L. Muradzikwa</w:t>
      </w:r>
      <w:r>
        <w:rPr>
          <w:rFonts w:ascii="Times New Roman" w:hAnsi="Times New Roman" w:cs="Times New Roman"/>
          <w:sz w:val="24"/>
          <w:szCs w:val="24"/>
        </w:rPr>
        <w:t xml:space="preserve">, for the third respondent </w:t>
      </w:r>
    </w:p>
    <w:p w:rsidR="00D76F28" w:rsidRDefault="00D76F28">
      <w:pPr>
        <w:jc w:val="both"/>
        <w:rPr>
          <w:rFonts w:ascii="Times New Roman" w:hAnsi="Times New Roman" w:cs="Times New Roman"/>
          <w:sz w:val="24"/>
          <w:szCs w:val="24"/>
        </w:rPr>
      </w:pPr>
    </w:p>
    <w:p w:rsidR="00D76F28" w:rsidRDefault="007A6FDB">
      <w:pPr>
        <w:ind w:firstLine="720"/>
        <w:jc w:val="both"/>
        <w:rPr>
          <w:rFonts w:ascii="Times New Roman" w:hAnsi="Times New Roman" w:cs="Times New Roman"/>
          <w:sz w:val="24"/>
          <w:szCs w:val="24"/>
        </w:rPr>
      </w:pPr>
      <w:r>
        <w:rPr>
          <w:rFonts w:ascii="Times New Roman" w:hAnsi="Times New Roman" w:cs="Times New Roman"/>
          <w:sz w:val="24"/>
          <w:szCs w:val="24"/>
        </w:rPr>
        <w:t xml:space="preserve">MUSHURE J: </w:t>
      </w:r>
    </w:p>
    <w:p w:rsidR="00D76F28" w:rsidRDefault="007A6FDB">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INTRODUCTION </w:t>
      </w:r>
    </w:p>
    <w:p w:rsidR="00D76F28" w:rsidRDefault="007A6FDB">
      <w:pPr>
        <w:pStyle w:val="ListParagraph"/>
        <w:numPr>
          <w:ilvl w:val="0"/>
          <w:numId w:val="1"/>
        </w:numPr>
        <w:spacing w:line="360" w:lineRule="auto"/>
        <w:ind w:left="426"/>
        <w:rPr>
          <w:rFonts w:ascii="Times New Roman" w:hAnsi="Times New Roman" w:cs="Times New Roman"/>
          <w:sz w:val="24"/>
        </w:rPr>
      </w:pPr>
      <w:r>
        <w:rPr>
          <w:rFonts w:ascii="Times New Roman" w:hAnsi="Times New Roman" w:cs="Times New Roman"/>
          <w:sz w:val="24"/>
        </w:rPr>
        <w:t>This is an opposed application for a declaratur in which the applicant see</w:t>
      </w:r>
      <w:r>
        <w:rPr>
          <w:rFonts w:ascii="Times New Roman" w:hAnsi="Times New Roman" w:cs="Times New Roman"/>
          <w:sz w:val="24"/>
        </w:rPr>
        <w:t>ks the following relief:</w:t>
      </w:r>
    </w:p>
    <w:p w:rsidR="00D76F28" w:rsidRDefault="007A6FDB">
      <w:pPr>
        <w:pStyle w:val="ListParagraph"/>
        <w:spacing w:line="240" w:lineRule="auto"/>
        <w:ind w:left="426"/>
        <w:rPr>
          <w:rFonts w:ascii="Times New Roman" w:hAnsi="Times New Roman" w:cs="Times New Roman"/>
        </w:rPr>
      </w:pPr>
      <w:r>
        <w:rPr>
          <w:rFonts w:ascii="Times New Roman" w:hAnsi="Times New Roman" w:cs="Times New Roman"/>
        </w:rPr>
        <w:t>“IT IS HEREBY DECLARED THAT:</w:t>
      </w:r>
    </w:p>
    <w:p w:rsidR="00D76F28" w:rsidRDefault="007A6FDB">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The Applicant is the rightful owner of Stand 2178 Westlea, Mutare. </w:t>
      </w:r>
    </w:p>
    <w:p w:rsidR="00D76F28" w:rsidRDefault="007A6FDB">
      <w:pPr>
        <w:pStyle w:val="ListParagraph"/>
        <w:numPr>
          <w:ilvl w:val="0"/>
          <w:numId w:val="2"/>
        </w:numPr>
        <w:spacing w:line="240" w:lineRule="auto"/>
        <w:rPr>
          <w:rFonts w:ascii="Times New Roman" w:hAnsi="Times New Roman" w:cs="Times New Roman"/>
        </w:rPr>
      </w:pPr>
      <w:r>
        <w:rPr>
          <w:rFonts w:ascii="Times New Roman" w:hAnsi="Times New Roman" w:cs="Times New Roman"/>
        </w:rPr>
        <w:t>The lease agreement entered into between the 3</w:t>
      </w:r>
      <w:r>
        <w:rPr>
          <w:rFonts w:ascii="Times New Roman" w:hAnsi="Times New Roman" w:cs="Times New Roman"/>
          <w:vertAlign w:val="superscript"/>
        </w:rPr>
        <w:t>rd</w:t>
      </w:r>
      <w:r>
        <w:rPr>
          <w:rFonts w:ascii="Times New Roman" w:hAnsi="Times New Roman" w:cs="Times New Roman"/>
        </w:rPr>
        <w:t xml:space="preserve"> Respondent and the 1</w:t>
      </w:r>
      <w:r>
        <w:rPr>
          <w:rFonts w:ascii="Times New Roman" w:hAnsi="Times New Roman" w:cs="Times New Roman"/>
          <w:vertAlign w:val="superscript"/>
        </w:rPr>
        <w:t>st</w:t>
      </w:r>
      <w:r>
        <w:rPr>
          <w:rFonts w:ascii="Times New Roman" w:hAnsi="Times New Roman" w:cs="Times New Roman"/>
        </w:rPr>
        <w:t xml:space="preserve"> Respondent is null and void. </w:t>
      </w:r>
    </w:p>
    <w:p w:rsidR="00D76F28" w:rsidRDefault="007A6FDB">
      <w:pPr>
        <w:pStyle w:val="ListParagraph"/>
        <w:spacing w:line="240" w:lineRule="auto"/>
        <w:ind w:left="786"/>
        <w:rPr>
          <w:rFonts w:ascii="Times New Roman" w:hAnsi="Times New Roman" w:cs="Times New Roman"/>
        </w:rPr>
      </w:pPr>
      <w:r>
        <w:rPr>
          <w:rFonts w:ascii="Times New Roman" w:hAnsi="Times New Roman" w:cs="Times New Roman"/>
        </w:rPr>
        <w:t xml:space="preserve">CONSEQUENTLY, IT IS HEREBY </w:t>
      </w:r>
      <w:r>
        <w:rPr>
          <w:rFonts w:ascii="Times New Roman" w:hAnsi="Times New Roman" w:cs="Times New Roman"/>
        </w:rPr>
        <w:t>ORDERED THAT:</w:t>
      </w:r>
    </w:p>
    <w:p w:rsidR="00D76F28" w:rsidRDefault="007A6FDB">
      <w:pPr>
        <w:pStyle w:val="ListParagraph"/>
        <w:numPr>
          <w:ilvl w:val="0"/>
          <w:numId w:val="2"/>
        </w:numPr>
        <w:spacing w:line="240" w:lineRule="auto"/>
        <w:rPr>
          <w:rFonts w:ascii="Times New Roman" w:hAnsi="Times New Roman" w:cs="Times New Roman"/>
        </w:rPr>
      </w:pPr>
      <w:r>
        <w:rPr>
          <w:rFonts w:ascii="Times New Roman" w:hAnsi="Times New Roman" w:cs="Times New Roman"/>
        </w:rPr>
        <w:t>The 1</w:t>
      </w:r>
      <w:r>
        <w:rPr>
          <w:rFonts w:ascii="Times New Roman" w:hAnsi="Times New Roman" w:cs="Times New Roman"/>
          <w:vertAlign w:val="superscript"/>
        </w:rPr>
        <w:t>st</w:t>
      </w:r>
      <w:r>
        <w:rPr>
          <w:rFonts w:ascii="Times New Roman" w:hAnsi="Times New Roman" w:cs="Times New Roman"/>
        </w:rPr>
        <w:t xml:space="preserve"> and 2</w:t>
      </w:r>
      <w:r>
        <w:rPr>
          <w:rFonts w:ascii="Times New Roman" w:hAnsi="Times New Roman" w:cs="Times New Roman"/>
          <w:vertAlign w:val="superscript"/>
        </w:rPr>
        <w:t>nd</w:t>
      </w:r>
      <w:r>
        <w:rPr>
          <w:rFonts w:ascii="Times New Roman" w:hAnsi="Times New Roman" w:cs="Times New Roman"/>
        </w:rPr>
        <w:t xml:space="preserve"> Respondents are hereby interdicted from constructing on Stand 2178 Westlea, Mutare. </w:t>
      </w:r>
    </w:p>
    <w:p w:rsidR="00D76F28" w:rsidRDefault="007A6FDB">
      <w:pPr>
        <w:pStyle w:val="ListParagraph"/>
        <w:numPr>
          <w:ilvl w:val="0"/>
          <w:numId w:val="2"/>
        </w:numPr>
        <w:spacing w:line="240" w:lineRule="auto"/>
        <w:rPr>
          <w:rFonts w:ascii="Times New Roman" w:hAnsi="Times New Roman" w:cs="Times New Roman"/>
        </w:rPr>
      </w:pPr>
      <w:r>
        <w:rPr>
          <w:rFonts w:ascii="Times New Roman" w:hAnsi="Times New Roman" w:cs="Times New Roman"/>
        </w:rPr>
        <w:t>The 3</w:t>
      </w:r>
      <w:r>
        <w:rPr>
          <w:rFonts w:ascii="Times New Roman" w:hAnsi="Times New Roman" w:cs="Times New Roman"/>
          <w:vertAlign w:val="superscript"/>
        </w:rPr>
        <w:t>rd</w:t>
      </w:r>
      <w:r>
        <w:rPr>
          <w:rFonts w:ascii="Times New Roman" w:hAnsi="Times New Roman" w:cs="Times New Roman"/>
        </w:rPr>
        <w:t xml:space="preserve"> Respondent shall cancel the lease agreement executed in favour of the 1</w:t>
      </w:r>
      <w:r>
        <w:rPr>
          <w:rFonts w:ascii="Times New Roman" w:hAnsi="Times New Roman" w:cs="Times New Roman"/>
          <w:vertAlign w:val="superscript"/>
        </w:rPr>
        <w:t>st</w:t>
      </w:r>
      <w:r>
        <w:rPr>
          <w:rFonts w:ascii="Times New Roman" w:hAnsi="Times New Roman" w:cs="Times New Roman"/>
        </w:rPr>
        <w:t xml:space="preserve"> Respondent over Stand 2178 Westlea, Mutare. </w:t>
      </w:r>
    </w:p>
    <w:p w:rsidR="00D76F28" w:rsidRDefault="007A6FDB">
      <w:pPr>
        <w:pStyle w:val="ListParagraph"/>
        <w:numPr>
          <w:ilvl w:val="0"/>
          <w:numId w:val="2"/>
        </w:numPr>
        <w:spacing w:line="240" w:lineRule="auto"/>
        <w:rPr>
          <w:rFonts w:ascii="Times New Roman" w:hAnsi="Times New Roman" w:cs="Times New Roman"/>
        </w:rPr>
      </w:pPr>
      <w:r>
        <w:rPr>
          <w:rFonts w:ascii="Times New Roman" w:hAnsi="Times New Roman" w:cs="Times New Roman"/>
        </w:rPr>
        <w:t>The 1</w:t>
      </w:r>
      <w:r>
        <w:rPr>
          <w:rFonts w:ascii="Times New Roman" w:hAnsi="Times New Roman" w:cs="Times New Roman"/>
          <w:vertAlign w:val="superscript"/>
        </w:rPr>
        <w:t>st</w:t>
      </w:r>
      <w:r>
        <w:rPr>
          <w:rFonts w:ascii="Times New Roman" w:hAnsi="Times New Roman" w:cs="Times New Roman"/>
        </w:rPr>
        <w:t xml:space="preserve"> and 2</w:t>
      </w:r>
      <w:r>
        <w:rPr>
          <w:rFonts w:ascii="Times New Roman" w:hAnsi="Times New Roman" w:cs="Times New Roman"/>
          <w:vertAlign w:val="superscript"/>
        </w:rPr>
        <w:t>n</w:t>
      </w:r>
      <w:r>
        <w:rPr>
          <w:rFonts w:ascii="Times New Roman" w:hAnsi="Times New Roman" w:cs="Times New Roman"/>
          <w:vertAlign w:val="superscript"/>
        </w:rPr>
        <w:t>d</w:t>
      </w:r>
      <w:r>
        <w:rPr>
          <w:rFonts w:ascii="Times New Roman" w:hAnsi="Times New Roman" w:cs="Times New Roman"/>
        </w:rPr>
        <w:t xml:space="preserve"> Respondents shall demolish any structure it (sic) constructed on the said stand within 48 hours of this order. </w:t>
      </w:r>
    </w:p>
    <w:p w:rsidR="00D76F28" w:rsidRDefault="007A6FDB">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The Respondents shall pay costs of suit” </w:t>
      </w:r>
    </w:p>
    <w:p w:rsidR="00D76F28" w:rsidRDefault="007A6FDB">
      <w:pPr>
        <w:spacing w:before="240" w:line="360" w:lineRule="auto"/>
        <w:ind w:left="66"/>
        <w:jc w:val="both"/>
        <w:rPr>
          <w:rFonts w:ascii="Times New Roman" w:hAnsi="Times New Roman" w:cs="Times New Roman"/>
          <w:b/>
          <w:sz w:val="24"/>
          <w:u w:val="single"/>
        </w:rPr>
      </w:pPr>
      <w:r>
        <w:rPr>
          <w:rFonts w:ascii="Times New Roman" w:hAnsi="Times New Roman" w:cs="Times New Roman"/>
          <w:b/>
          <w:sz w:val="24"/>
          <w:u w:val="single"/>
        </w:rPr>
        <w:t>APPLICANT’S CASE</w:t>
      </w:r>
    </w:p>
    <w:p w:rsidR="00D76F28" w:rsidRDefault="007A6FDB">
      <w:pPr>
        <w:pStyle w:val="ListParagraph"/>
        <w:numPr>
          <w:ilvl w:val="0"/>
          <w:numId w:val="1"/>
        </w:numPr>
        <w:spacing w:line="360" w:lineRule="auto"/>
        <w:ind w:left="284"/>
        <w:jc w:val="both"/>
        <w:rPr>
          <w:rFonts w:ascii="Times New Roman" w:hAnsi="Times New Roman" w:cs="Times New Roman"/>
          <w:sz w:val="24"/>
        </w:rPr>
      </w:pPr>
      <w:r>
        <w:rPr>
          <w:rFonts w:ascii="Times New Roman" w:hAnsi="Times New Roman" w:cs="Times New Roman"/>
          <w:sz w:val="24"/>
        </w:rPr>
        <w:t>The applicant is a company duly registered according to the laws of Zimbabwe. It av</w:t>
      </w:r>
      <w:r>
        <w:rPr>
          <w:rFonts w:ascii="Times New Roman" w:hAnsi="Times New Roman" w:cs="Times New Roman"/>
          <w:sz w:val="24"/>
        </w:rPr>
        <w:t xml:space="preserve">ers that it is the owner and holder of exclusive rights of a certain piece of land situate in the District of Mutare called stand 2178 of Mutare Township measuring 7, 4131 hectares (‘the property’) by virtue of an oral agreement of sale between it and the </w:t>
      </w:r>
      <w:r>
        <w:rPr>
          <w:rFonts w:ascii="Times New Roman" w:hAnsi="Times New Roman" w:cs="Times New Roman"/>
          <w:sz w:val="24"/>
        </w:rPr>
        <w:t xml:space="preserve">third respondent. It avers, </w:t>
      </w:r>
      <w:r>
        <w:rPr>
          <w:rFonts w:ascii="Times New Roman" w:hAnsi="Times New Roman" w:cs="Times New Roman"/>
          <w:sz w:val="24"/>
        </w:rPr>
        <w:lastRenderedPageBreak/>
        <w:t xml:space="preserve">further, that in terms of the said agreement, the purchase price was set at two hundred and sixty-two thousand six hundred and forty United States dollars (US$262 640.00), payable in </w:t>
      </w:r>
      <w:r>
        <w:rPr>
          <w:rFonts w:ascii="Times New Roman" w:hAnsi="Times New Roman" w:cs="Times New Roman"/>
          <w:sz w:val="24"/>
          <w:lang w:val="en-US"/>
        </w:rPr>
        <w:t>instalments</w:t>
      </w:r>
      <w:r>
        <w:rPr>
          <w:rFonts w:ascii="Times New Roman" w:hAnsi="Times New Roman" w:cs="Times New Roman"/>
          <w:sz w:val="24"/>
        </w:rPr>
        <w:t>, with an initial deposit of US$26</w:t>
      </w:r>
      <w:r>
        <w:rPr>
          <w:rFonts w:ascii="Times New Roman" w:hAnsi="Times New Roman" w:cs="Times New Roman"/>
          <w:sz w:val="24"/>
        </w:rPr>
        <w:t xml:space="preserve"> 640.00, representing 10% of the purchase price.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It asserts that it made payments towards the deposit from 2010 to 2012 and that it took vacant possession of the property in 2010. It asserts, further, that it has been enjoying peaceful and undisturbed pos</w:t>
      </w:r>
      <w:r>
        <w:rPr>
          <w:rFonts w:ascii="Times New Roman" w:hAnsi="Times New Roman" w:cs="Times New Roman"/>
          <w:sz w:val="24"/>
        </w:rPr>
        <w:t xml:space="preserve">session of the property since then until 10 November 2024, when the first and second respondents deposited over 30 000 bricks, tons of river sand, pit sand and concrete stones on the property.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It is the applicant’s submission that on 12 November 2024, the</w:t>
      </w:r>
      <w:r>
        <w:rPr>
          <w:rFonts w:ascii="Times New Roman" w:hAnsi="Times New Roman" w:cs="Times New Roman"/>
          <w:sz w:val="24"/>
        </w:rPr>
        <w:t xml:space="preserve"> first and second respondents commenced construction works at the property and the applicant sought to interdict them on an urgent basis. The applicant submits, further, that the application was struck off the roll on the basis that there was no proper app</w:t>
      </w:r>
      <w:r>
        <w:rPr>
          <w:rFonts w:ascii="Times New Roman" w:hAnsi="Times New Roman" w:cs="Times New Roman"/>
          <w:sz w:val="24"/>
        </w:rPr>
        <w:t xml:space="preserve">licant before the court. According to the applicant, it is from the interdict proceedings that it gathered that the third respondent had leased over the same property to the first respondent sometime in March 2024.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applicant alleges that this was done</w:t>
      </w:r>
      <w:r>
        <w:rPr>
          <w:rFonts w:ascii="Times New Roman" w:hAnsi="Times New Roman" w:cs="Times New Roman"/>
          <w:sz w:val="24"/>
        </w:rPr>
        <w:t xml:space="preserve"> despite having paid the full purchase price for the property in 2020 and awaiting title deeds to be issued and processed. It further alleges that on 30 November 2020, the third respondent even wrote a letter to Lafarge Cement (Pvt) Ltd (‘Lafarge’) confirm</w:t>
      </w:r>
      <w:r>
        <w:rPr>
          <w:rFonts w:ascii="Times New Roman" w:hAnsi="Times New Roman" w:cs="Times New Roman"/>
          <w:sz w:val="24"/>
        </w:rPr>
        <w:t xml:space="preserve">ing its ownership of the property, that the full purchase price had been paid and that it was in the process of issuing the applicant with a title deed.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applicant alleges that, to date, no such title deed has been issued. It is the applicant’s content</w:t>
      </w:r>
      <w:r>
        <w:rPr>
          <w:rFonts w:ascii="Times New Roman" w:hAnsi="Times New Roman" w:cs="Times New Roman"/>
          <w:sz w:val="24"/>
        </w:rPr>
        <w:t xml:space="preserve">ion that the third respondent purports to have withdrawn the lease sometime in 2021, but that withdrawal was never served on the applicant.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An averment is made by the applicant that at the time the lease agreement was executed, the lessee was named as Eun</w:t>
      </w:r>
      <w:r>
        <w:rPr>
          <w:rFonts w:ascii="Times New Roman" w:hAnsi="Times New Roman" w:cs="Times New Roman"/>
          <w:sz w:val="24"/>
        </w:rPr>
        <w:t>igo</w:t>
      </w:r>
      <w:r>
        <w:rPr>
          <w:rFonts w:ascii="Times New Roman" w:hAnsi="Times New Roman" w:cs="Times New Roman"/>
          <w:sz w:val="24"/>
          <w:lang w:val="en-US"/>
        </w:rPr>
        <w:t>l</w:t>
      </w:r>
      <w:r>
        <w:rPr>
          <w:rFonts w:ascii="Times New Roman" w:hAnsi="Times New Roman" w:cs="Times New Roman"/>
          <w:sz w:val="24"/>
        </w:rPr>
        <w:t xml:space="preserve">d Primary School (‘the primary school’) which is a non-existent entity at law with no capacity to contract and the applicant’s representative made an oversight and signed the lease without paying attention to the name entered. Monies paid to the third </w:t>
      </w:r>
      <w:r>
        <w:rPr>
          <w:rFonts w:ascii="Times New Roman" w:hAnsi="Times New Roman" w:cs="Times New Roman"/>
          <w:sz w:val="24"/>
        </w:rPr>
        <w:t xml:space="preserve">respondent from 2010 to 2012 were receipted under the primary school’s name instead of the applicant herein because the representative was acting on behalf of the applicant.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applicant asserts that the name had never been an issue until the interdict p</w:t>
      </w:r>
      <w:r>
        <w:rPr>
          <w:rFonts w:ascii="Times New Roman" w:hAnsi="Times New Roman" w:cs="Times New Roman"/>
          <w:sz w:val="24"/>
        </w:rPr>
        <w:t xml:space="preserve">roceedings, and the third respondent itself had used the two names interchangeably to refer to the applicant. The applicant asserts, further, that it has since assumed the name of the </w:t>
      </w:r>
      <w:r>
        <w:rPr>
          <w:rFonts w:ascii="Times New Roman" w:hAnsi="Times New Roman" w:cs="Times New Roman"/>
          <w:sz w:val="24"/>
        </w:rPr>
        <w:lastRenderedPageBreak/>
        <w:t>unregistered entity as its trade name and ratified the acts of the prima</w:t>
      </w:r>
      <w:r>
        <w:rPr>
          <w:rFonts w:ascii="Times New Roman" w:hAnsi="Times New Roman" w:cs="Times New Roman"/>
          <w:sz w:val="24"/>
        </w:rPr>
        <w:t xml:space="preserve">ry school as its own acts. </w:t>
      </w:r>
    </w:p>
    <w:p w:rsidR="00D76F28" w:rsidRDefault="00D76F28">
      <w:pPr>
        <w:pStyle w:val="ListParagraph"/>
        <w:spacing w:before="240" w:line="360" w:lineRule="auto"/>
        <w:ind w:left="426"/>
        <w:jc w:val="both"/>
        <w:rPr>
          <w:rFonts w:ascii="Times New Roman" w:hAnsi="Times New Roman" w:cs="Times New Roman"/>
          <w:b/>
          <w:sz w:val="24"/>
          <w:u w:val="single"/>
        </w:rPr>
      </w:pPr>
    </w:p>
    <w:p w:rsidR="00D76F28" w:rsidRDefault="007A6FDB">
      <w:pPr>
        <w:pStyle w:val="ListParagraph"/>
        <w:spacing w:before="240" w:line="360" w:lineRule="auto"/>
        <w:ind w:left="426"/>
        <w:jc w:val="both"/>
        <w:rPr>
          <w:rFonts w:ascii="Times New Roman" w:hAnsi="Times New Roman" w:cs="Times New Roman"/>
          <w:b/>
          <w:sz w:val="24"/>
          <w:u w:val="single"/>
        </w:rPr>
      </w:pPr>
      <w:r>
        <w:rPr>
          <w:rFonts w:ascii="Times New Roman" w:hAnsi="Times New Roman" w:cs="Times New Roman"/>
          <w:b/>
          <w:sz w:val="24"/>
          <w:u w:val="single"/>
        </w:rPr>
        <w:t>FIRST AND SECOND RESPONDENTS’ OPPOSITION</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The first and second respondents argue, in </w:t>
      </w:r>
      <w:r>
        <w:rPr>
          <w:rFonts w:ascii="Times New Roman" w:hAnsi="Times New Roman" w:cs="Times New Roman"/>
          <w:i/>
          <w:sz w:val="24"/>
        </w:rPr>
        <w:t>limine</w:t>
      </w:r>
      <w:r>
        <w:rPr>
          <w:rFonts w:ascii="Times New Roman" w:hAnsi="Times New Roman" w:cs="Times New Roman"/>
          <w:sz w:val="24"/>
        </w:rPr>
        <w:t>, that the second respondent has been misjoined to the proceedings because he does not have a personal, direct and substantial interest i</w:t>
      </w:r>
      <w:r>
        <w:rPr>
          <w:rFonts w:ascii="Times New Roman" w:hAnsi="Times New Roman" w:cs="Times New Roman"/>
          <w:sz w:val="24"/>
        </w:rPr>
        <w:t>n the matter.</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They argue, further, that the applicant has no </w:t>
      </w:r>
      <w:r>
        <w:rPr>
          <w:rFonts w:ascii="Times New Roman" w:hAnsi="Times New Roman" w:cs="Times New Roman"/>
          <w:i/>
          <w:sz w:val="24"/>
        </w:rPr>
        <w:t>locus standi</w:t>
      </w:r>
      <w:r>
        <w:rPr>
          <w:rFonts w:ascii="Times New Roman" w:hAnsi="Times New Roman" w:cs="Times New Roman"/>
          <w:sz w:val="24"/>
        </w:rPr>
        <w:t xml:space="preserve"> to sue on the basis of the lease agreement, which was entered into between the primary school and the third respondent. They contend that the applicant’s assumption of the name Eunigod Primary School as its trade name was only done on 13 December 2024 and</w:t>
      </w:r>
      <w:r>
        <w:rPr>
          <w:rFonts w:ascii="Times New Roman" w:hAnsi="Times New Roman" w:cs="Times New Roman"/>
          <w:sz w:val="24"/>
        </w:rPr>
        <w:t xml:space="preserve"> has no retrospective effect. They further contend that at the time the lease agreement was entered into, the primary school and the applicant had no relationship and that the applicant was already in existence. Additionally, at the time of contracting, th</w:t>
      </w:r>
      <w:r>
        <w:rPr>
          <w:rFonts w:ascii="Times New Roman" w:hAnsi="Times New Roman" w:cs="Times New Roman"/>
          <w:sz w:val="24"/>
        </w:rPr>
        <w:t>e primary school was an unregistered entity with no capacity to enter into contracts; hence, the lease agreement was a nullity. In any event, they submit, the applicant did not inherit any rights from the lease agreement and the fact that the applicant ass</w:t>
      </w:r>
      <w:r>
        <w:rPr>
          <w:rFonts w:ascii="Times New Roman" w:hAnsi="Times New Roman" w:cs="Times New Roman"/>
          <w:sz w:val="24"/>
        </w:rPr>
        <w:t>umed the primary school’s name does not mean that it is now entitled to exercise all the rights and bear all the primary school’s liabilities. They suggest that the proper course of action would have been for the primary school to cede its rights and liabi</w:t>
      </w:r>
      <w:r>
        <w:rPr>
          <w:rFonts w:ascii="Times New Roman" w:hAnsi="Times New Roman" w:cs="Times New Roman"/>
          <w:sz w:val="24"/>
        </w:rPr>
        <w:t xml:space="preserve">lities to the applicant.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On the merits, the first and second respondents dispute the applicant’s ownership of the property and state that the entity which entered into the lease agreement was the primary school. The lease agreement expired by effluxion of</w:t>
      </w:r>
      <w:r>
        <w:rPr>
          <w:rFonts w:ascii="Times New Roman" w:hAnsi="Times New Roman" w:cs="Times New Roman"/>
          <w:sz w:val="24"/>
        </w:rPr>
        <w:t xml:space="preserve"> time in 2014 and was never renewed. The primary school also failed to comply with all material terms and conditions of the lease agreement, including failure to pay rentals annually and failure to construct structures prior to the expiration of the lease </w:t>
      </w:r>
      <w:r>
        <w:rPr>
          <w:rFonts w:ascii="Times New Roman" w:hAnsi="Times New Roman" w:cs="Times New Roman"/>
          <w:sz w:val="24"/>
        </w:rPr>
        <w:t xml:space="preserve">agreement. The first and second respondents doubt that the primary school exercised the right of option to purchase the property. They contend that the applicant never took occupation of the property but sublet a portion thereafter to someone else who was </w:t>
      </w:r>
      <w:r>
        <w:rPr>
          <w:rFonts w:ascii="Times New Roman" w:hAnsi="Times New Roman" w:cs="Times New Roman"/>
          <w:sz w:val="24"/>
        </w:rPr>
        <w:t xml:space="preserve">involved in horticulture and poultry projects. They confirm that the third respondent entered into a lease agreement with the first respondent on 1 February 2024 and took vacant possession of the stand on 6 March 2024.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It is submitted on behalf of the first and second respondents that the lease agreement between the first respondent and the third respondent was only entered into after the </w:t>
      </w:r>
      <w:r>
        <w:rPr>
          <w:rFonts w:ascii="Times New Roman" w:hAnsi="Times New Roman" w:cs="Times New Roman"/>
          <w:sz w:val="24"/>
        </w:rPr>
        <w:lastRenderedPageBreak/>
        <w:t>termination of the lease agreement between the third respondent and the primary sch</w:t>
      </w:r>
      <w:r>
        <w:rPr>
          <w:rFonts w:ascii="Times New Roman" w:hAnsi="Times New Roman" w:cs="Times New Roman"/>
          <w:sz w:val="24"/>
        </w:rPr>
        <w:t>ool. The respondents make reference to two case numbers, HCH5335/24 and HCH5343/25, in which they allege that the primary school was furnished with copies of the notice of intention to withdraw the lease and the notice of the termination of the lease agree</w:t>
      </w:r>
      <w:r>
        <w:rPr>
          <w:rFonts w:ascii="Times New Roman" w:hAnsi="Times New Roman" w:cs="Times New Roman"/>
          <w:sz w:val="24"/>
        </w:rPr>
        <w:t>ment, yet the applicant did not challenge the withdrawal. Further, the primary school was never charged the purchase price by the third respondent, and the assumption should be that the payments were for rentals. Even if that be the case, the first and sec</w:t>
      </w:r>
      <w:r>
        <w:rPr>
          <w:rFonts w:ascii="Times New Roman" w:hAnsi="Times New Roman" w:cs="Times New Roman"/>
          <w:sz w:val="24"/>
        </w:rPr>
        <w:t>ond respondents contend that there is no evidence that the primary school paid rentals between 2010 and 2020; there is no evidence that the payments made in the first year were for the purchase price because the receipts speak to rentals; and there is also</w:t>
      </w:r>
      <w:r>
        <w:rPr>
          <w:rFonts w:ascii="Times New Roman" w:hAnsi="Times New Roman" w:cs="Times New Roman"/>
          <w:sz w:val="24"/>
        </w:rPr>
        <w:t xml:space="preserve"> no evidence that an initial deposit was paid.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The first and second respondents challenge the applicant’s submission that the third respondent confirmed the primary school’s ownership of the land. The letter written to Lafarge confirms a lease agreement, </w:t>
      </w:r>
      <w:r>
        <w:rPr>
          <w:rFonts w:ascii="Times New Roman" w:hAnsi="Times New Roman" w:cs="Times New Roman"/>
          <w:sz w:val="24"/>
        </w:rPr>
        <w:t xml:space="preserve">not an agreement of sale. They also question the basis upon which the applicant is seeking a declaratur as the lease agreement no longer exists. Further, they state that if the primary school were a non-existent entity, it follows that the lease agreement </w:t>
      </w:r>
      <w:r>
        <w:rPr>
          <w:rFonts w:ascii="Times New Roman" w:hAnsi="Times New Roman" w:cs="Times New Roman"/>
          <w:sz w:val="24"/>
        </w:rPr>
        <w:t>was entered into by an entity which had no legal capacity to enter into it. To them, the assumption by the applicant of the primary school’s name as its trade name is of no legal consequence. They argue that the board resolution does not substitute the app</w:t>
      </w:r>
      <w:r>
        <w:rPr>
          <w:rFonts w:ascii="Times New Roman" w:hAnsi="Times New Roman" w:cs="Times New Roman"/>
          <w:sz w:val="24"/>
        </w:rPr>
        <w:t xml:space="preserve">licant as the new lessee and that the board could not ratify the acts done by the primary school because they were not done on behalf of the applicant. Finally, the first and second respondents pray for the dismissal of the application with costs. </w:t>
      </w:r>
    </w:p>
    <w:p w:rsidR="00D76F28" w:rsidRDefault="00D76F28">
      <w:pPr>
        <w:pStyle w:val="ListParagraph"/>
        <w:spacing w:before="240" w:line="360" w:lineRule="auto"/>
        <w:ind w:left="426"/>
        <w:jc w:val="both"/>
        <w:rPr>
          <w:rFonts w:ascii="Times New Roman" w:hAnsi="Times New Roman" w:cs="Times New Roman"/>
          <w:b/>
          <w:sz w:val="24"/>
          <w:u w:val="single"/>
        </w:rPr>
      </w:pPr>
    </w:p>
    <w:p w:rsidR="00D76F28" w:rsidRDefault="007A6FDB">
      <w:pPr>
        <w:pStyle w:val="ListParagraph"/>
        <w:spacing w:before="240" w:line="360" w:lineRule="auto"/>
        <w:ind w:left="426"/>
        <w:jc w:val="both"/>
        <w:rPr>
          <w:rFonts w:ascii="Times New Roman" w:hAnsi="Times New Roman" w:cs="Times New Roman"/>
          <w:b/>
          <w:sz w:val="24"/>
          <w:u w:val="single"/>
        </w:rPr>
      </w:pPr>
      <w:r>
        <w:rPr>
          <w:rFonts w:ascii="Times New Roman" w:hAnsi="Times New Roman" w:cs="Times New Roman"/>
          <w:b/>
          <w:sz w:val="24"/>
          <w:u w:val="single"/>
        </w:rPr>
        <w:t xml:space="preserve">THIRD </w:t>
      </w:r>
      <w:r>
        <w:rPr>
          <w:rFonts w:ascii="Times New Roman" w:hAnsi="Times New Roman" w:cs="Times New Roman"/>
          <w:b/>
          <w:sz w:val="24"/>
          <w:u w:val="single"/>
        </w:rPr>
        <w:t xml:space="preserve">RESPONDENT’S OPPOSITION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The third respondent has been improperly cited as the Minister of Local Government, Public Works and National Housing instead of the Minister of Local Government and Public Works. However, at the hearing of the matter, Mr </w:t>
      </w:r>
      <w:r>
        <w:rPr>
          <w:rFonts w:ascii="Times New Roman" w:hAnsi="Times New Roman" w:cs="Times New Roman"/>
          <w:i/>
          <w:sz w:val="24"/>
        </w:rPr>
        <w:t>Muradzikw</w:t>
      </w:r>
      <w:r>
        <w:rPr>
          <w:rFonts w:ascii="Times New Roman" w:hAnsi="Times New Roman" w:cs="Times New Roman"/>
          <w:i/>
          <w:sz w:val="24"/>
        </w:rPr>
        <w:t>a</w:t>
      </w:r>
      <w:r>
        <w:rPr>
          <w:rFonts w:ascii="Times New Roman" w:hAnsi="Times New Roman" w:cs="Times New Roman"/>
          <w:sz w:val="24"/>
        </w:rPr>
        <w:t>, appearing for the third respondent, submitted that he was not taking issue with the mis-citation as it was not dispositive of the matter. On the merits of the matter, the third respondent denies that the applicant is the owner and holder of exclusive ri</w:t>
      </w:r>
      <w:r>
        <w:rPr>
          <w:rFonts w:ascii="Times New Roman" w:hAnsi="Times New Roman" w:cs="Times New Roman"/>
          <w:sz w:val="24"/>
        </w:rPr>
        <w:t xml:space="preserve">ghts in the property on the basis that its allocation was </w:t>
      </w:r>
      <w:r>
        <w:rPr>
          <w:rFonts w:ascii="Times New Roman" w:hAnsi="Times New Roman" w:cs="Times New Roman"/>
          <w:sz w:val="24"/>
          <w:lang w:val="en-US"/>
        </w:rPr>
        <w:t>canceled</w:t>
      </w:r>
      <w:r>
        <w:rPr>
          <w:rFonts w:ascii="Times New Roman" w:hAnsi="Times New Roman" w:cs="Times New Roman"/>
          <w:sz w:val="24"/>
        </w:rPr>
        <w:t xml:space="preserve"> in 2021 by the third respondent after the applicant failed to fulfil the conditions under the lease agreement. The third respondent acknowledges entering into a lease agreement with the fir</w:t>
      </w:r>
      <w:r>
        <w:rPr>
          <w:rFonts w:ascii="Times New Roman" w:hAnsi="Times New Roman" w:cs="Times New Roman"/>
          <w:sz w:val="24"/>
        </w:rPr>
        <w:t xml:space="preserve">st respondent subsequent to the cancellation.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lastRenderedPageBreak/>
        <w:t>The third respondent avers that it is arguable that the applicant paid the full purchase price for the property because the applicant approached the third respondent seeking confirmation of ownership of the pr</w:t>
      </w:r>
      <w:r>
        <w:rPr>
          <w:rFonts w:ascii="Times New Roman" w:hAnsi="Times New Roman" w:cs="Times New Roman"/>
          <w:sz w:val="24"/>
        </w:rPr>
        <w:t xml:space="preserve">operty but it never came back after being advised to renew the lease agreement. The third respondent avers, further, that the issuance of a title deed was to be considered after some obligations and processes were fulfilled.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It is the third respondent’s a</w:t>
      </w:r>
      <w:r>
        <w:rPr>
          <w:rFonts w:ascii="Times New Roman" w:hAnsi="Times New Roman" w:cs="Times New Roman"/>
          <w:sz w:val="24"/>
        </w:rPr>
        <w:t>rgument that the applicant ought to prove that it paid the full purchase price in 2020. The third respondent does not dispute the factual background to the matter as narrated by the applicant, including the fact that the parties entered into an oral agreem</w:t>
      </w:r>
      <w:r>
        <w:rPr>
          <w:rFonts w:ascii="Times New Roman" w:hAnsi="Times New Roman" w:cs="Times New Roman"/>
          <w:sz w:val="24"/>
        </w:rPr>
        <w:t xml:space="preserve">ent of sale, and that in order to recognise that the applicant had some rights over the property, the third respondent and the applicant executed a lease agreement under the primary school’s name.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third respondent however submits that it is not true t</w:t>
      </w:r>
      <w:r>
        <w:rPr>
          <w:rFonts w:ascii="Times New Roman" w:hAnsi="Times New Roman" w:cs="Times New Roman"/>
          <w:sz w:val="24"/>
        </w:rPr>
        <w:t>hat a letter written by the third respondent’s officers to the applicant is a confirmation that despite the existence of the lease agreement, an agreement of sale existed between the parties. The third respondent further submits that the applicant is misle</w:t>
      </w:r>
      <w:r>
        <w:rPr>
          <w:rFonts w:ascii="Times New Roman" w:hAnsi="Times New Roman" w:cs="Times New Roman"/>
          <w:sz w:val="24"/>
        </w:rPr>
        <w:t xml:space="preserve">ading the court into believing that a simple letter could serve as confirmation of an existing agreement and that the contents of the letter are very clear. The third respondent challenges the applicant to provide sufficient evidence to prove its claims.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The third respondent submits, further, that it is not arguable that the applicant paid the balance of the purchase price in local currency owing to currency changes in Zimbabwe, that it wrote a letter to Lafarge confirming ownership of the property by the </w:t>
      </w:r>
      <w:r>
        <w:rPr>
          <w:rFonts w:ascii="Times New Roman" w:hAnsi="Times New Roman" w:cs="Times New Roman"/>
          <w:sz w:val="24"/>
        </w:rPr>
        <w:t xml:space="preserve">applicant, and that the third respondent was in the process of issuing the applicant with a title deed.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third respondent contends that in 2020, he advised the applicant to renew its lease agreement. In 2021, he advised the applicant to fulfil the cond</w:t>
      </w:r>
      <w:r>
        <w:rPr>
          <w:rFonts w:ascii="Times New Roman" w:hAnsi="Times New Roman" w:cs="Times New Roman"/>
          <w:sz w:val="24"/>
        </w:rPr>
        <w:t xml:space="preserve">itions of its lease through payment of lease fees and development of the property but the applicant did not respond, following which the lease agreement was </w:t>
      </w:r>
      <w:r>
        <w:rPr>
          <w:rFonts w:ascii="Times New Roman" w:hAnsi="Times New Roman" w:cs="Times New Roman"/>
          <w:sz w:val="24"/>
          <w:lang w:val="en-US"/>
        </w:rPr>
        <w:t>canceled</w:t>
      </w:r>
      <w:r>
        <w:rPr>
          <w:rFonts w:ascii="Times New Roman" w:hAnsi="Times New Roman" w:cs="Times New Roman"/>
          <w:sz w:val="24"/>
        </w:rPr>
        <w:t xml:space="preserve"> through a letter. Despite this, the applicant, the third respondent further contends, neve</w:t>
      </w:r>
      <w:r>
        <w:rPr>
          <w:rFonts w:ascii="Times New Roman" w:hAnsi="Times New Roman" w:cs="Times New Roman"/>
          <w:sz w:val="24"/>
        </w:rPr>
        <w:t xml:space="preserve">r bothered to present itself leading to the re-allocation of the property to the first respondent. The third respondent challenges the applicant to prove that it was not served with the letter withdrawing the lease agreement.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In response to the applicant’</w:t>
      </w:r>
      <w:r>
        <w:rPr>
          <w:rFonts w:ascii="Times New Roman" w:hAnsi="Times New Roman" w:cs="Times New Roman"/>
          <w:sz w:val="24"/>
        </w:rPr>
        <w:t xml:space="preserve">s averment that the full purchase price was paid in 2020, which the third respondent acknowledged and indicated that he was processing the title deed so there was no lease to withdraw or terminate at that stage, the third respondent </w:t>
      </w:r>
      <w:r>
        <w:rPr>
          <w:rFonts w:ascii="Times New Roman" w:hAnsi="Times New Roman" w:cs="Times New Roman"/>
          <w:sz w:val="24"/>
        </w:rPr>
        <w:lastRenderedPageBreak/>
        <w:t>states that this is not</w:t>
      </w:r>
      <w:r>
        <w:rPr>
          <w:rFonts w:ascii="Times New Roman" w:hAnsi="Times New Roman" w:cs="Times New Roman"/>
          <w:sz w:val="24"/>
        </w:rPr>
        <w:t xml:space="preserve"> in argument. The third respondent however argues that failure to fulfil the conditions of the lease agreement can lead to cancellation of the lease agreement. To the applicant’s submission that the third respondent totally ignored the monies paid by the a</w:t>
      </w:r>
      <w:r>
        <w:rPr>
          <w:rFonts w:ascii="Times New Roman" w:hAnsi="Times New Roman" w:cs="Times New Roman"/>
          <w:sz w:val="24"/>
        </w:rPr>
        <w:t>pplicant, the correspondences exchanged between the parties and sought to hide behind a technicality that the lease agreement had been executed in the name of the primary school and not the applicant, the third respondent comments that this is common cause</w:t>
      </w:r>
      <w:r>
        <w:rPr>
          <w:rFonts w:ascii="Times New Roman" w:hAnsi="Times New Roman" w:cs="Times New Roman"/>
          <w:sz w:val="24"/>
        </w:rPr>
        <w:t xml:space="preserve"> but the declaratory relief should not be granted because the applicant has no rights over the property. The third respondent comments, further, that no issues arise from the submissions made by the applicant in relation to the interchange of the applicant</w:t>
      </w:r>
      <w:r>
        <w:rPr>
          <w:rFonts w:ascii="Times New Roman" w:hAnsi="Times New Roman" w:cs="Times New Roman"/>
          <w:sz w:val="24"/>
        </w:rPr>
        <w:t xml:space="preserve">’s names. The third respondent also prays that the application be dismissed. </w:t>
      </w:r>
    </w:p>
    <w:p w:rsidR="00D76F28" w:rsidRDefault="00D76F28">
      <w:pPr>
        <w:pStyle w:val="ListParagraph"/>
        <w:spacing w:line="360" w:lineRule="auto"/>
        <w:ind w:left="426"/>
        <w:jc w:val="both"/>
        <w:rPr>
          <w:rFonts w:ascii="Times New Roman" w:hAnsi="Times New Roman" w:cs="Times New Roman"/>
          <w:b/>
          <w:sz w:val="24"/>
          <w:u w:val="single"/>
        </w:rPr>
      </w:pPr>
    </w:p>
    <w:p w:rsidR="00D76F28" w:rsidRDefault="007A6FDB">
      <w:pPr>
        <w:pStyle w:val="ListParagraph"/>
        <w:spacing w:line="360" w:lineRule="auto"/>
        <w:ind w:left="426"/>
        <w:jc w:val="both"/>
        <w:rPr>
          <w:rFonts w:ascii="Times New Roman" w:hAnsi="Times New Roman" w:cs="Times New Roman"/>
          <w:b/>
          <w:sz w:val="24"/>
          <w:u w:val="single"/>
        </w:rPr>
      </w:pPr>
      <w:r>
        <w:rPr>
          <w:rFonts w:ascii="Times New Roman" w:hAnsi="Times New Roman" w:cs="Times New Roman"/>
          <w:b/>
          <w:sz w:val="24"/>
          <w:u w:val="single"/>
        </w:rPr>
        <w:t xml:space="preserve">APPLICANT’S ANSWERING AFFIDAVIT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salient issues which the applicant motivates in the answering affidavit are as follows. It moves for the withdrawal of the second respondent</w:t>
      </w:r>
      <w:r>
        <w:rPr>
          <w:rFonts w:ascii="Times New Roman" w:hAnsi="Times New Roman" w:cs="Times New Roman"/>
          <w:sz w:val="24"/>
        </w:rPr>
        <w:t>’s citation as a party. It submits that the point being missed by the respondents is that it does not derive its rights on the property from the lease agreement but from the contract of sale. It further submits that the lease agreement was only entered int</w:t>
      </w:r>
      <w:r>
        <w:rPr>
          <w:rFonts w:ascii="Times New Roman" w:hAnsi="Times New Roman" w:cs="Times New Roman"/>
          <w:sz w:val="24"/>
        </w:rPr>
        <w:t>o to give the applicant the right of continued possession of the property pending payment of the full purchase price. It asserts that receipts were issued under the name of the primary school instead of the applicant’s name, and this was way before the lea</w:t>
      </w:r>
      <w:r>
        <w:rPr>
          <w:rFonts w:ascii="Times New Roman" w:hAnsi="Times New Roman" w:cs="Times New Roman"/>
          <w:sz w:val="24"/>
        </w:rPr>
        <w:t xml:space="preserve">se was signed. The same error was repeated at the time the lease was signed. It makes the point that both names have been used interchangeably in correspondences between the applicant and the third respondent. It states that this is a common mistake where </w:t>
      </w:r>
      <w:r>
        <w:rPr>
          <w:rFonts w:ascii="Times New Roman" w:hAnsi="Times New Roman" w:cs="Times New Roman"/>
          <w:sz w:val="24"/>
        </w:rPr>
        <w:t xml:space="preserve">one party enters into a contract with another party but mistakes its name to be another, but such does not invalidate the contract because it does not go to the root of same.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 It contends that the third respondent has not even questioned its standing beca</w:t>
      </w:r>
      <w:r>
        <w:rPr>
          <w:rFonts w:ascii="Times New Roman" w:hAnsi="Times New Roman" w:cs="Times New Roman"/>
          <w:sz w:val="24"/>
        </w:rPr>
        <w:t xml:space="preserve">use the third respondent is well aware that the applicant is the party with whom the contract of sale was entered into. It asserts that it has approached the court seeking to protect the rights it obtained from the agreement of sale, and it therefore has </w:t>
      </w:r>
      <w:r>
        <w:rPr>
          <w:rFonts w:ascii="Times New Roman" w:hAnsi="Times New Roman" w:cs="Times New Roman"/>
          <w:i/>
          <w:sz w:val="24"/>
        </w:rPr>
        <w:t>l</w:t>
      </w:r>
      <w:r>
        <w:rPr>
          <w:rFonts w:ascii="Times New Roman" w:hAnsi="Times New Roman" w:cs="Times New Roman"/>
          <w:i/>
          <w:sz w:val="24"/>
        </w:rPr>
        <w:t xml:space="preserve">ocus standi </w:t>
      </w:r>
      <w:r>
        <w:rPr>
          <w:rFonts w:ascii="Times New Roman" w:hAnsi="Times New Roman" w:cs="Times New Roman"/>
          <w:sz w:val="24"/>
        </w:rPr>
        <w:t>to institute the proceedings. It argues that there was no need to renew the lease agreement because the purchase price was paid in full. It argues, further, that the first respondent is not in a position to dispute the sale between the applican</w:t>
      </w:r>
      <w:r>
        <w:rPr>
          <w:rFonts w:ascii="Times New Roman" w:hAnsi="Times New Roman" w:cs="Times New Roman"/>
          <w:sz w:val="24"/>
        </w:rPr>
        <w:t xml:space="preserve">t and the third respondent when the third </w:t>
      </w:r>
      <w:r>
        <w:rPr>
          <w:rFonts w:ascii="Times New Roman" w:hAnsi="Times New Roman" w:cs="Times New Roman"/>
          <w:sz w:val="24"/>
        </w:rPr>
        <w:lastRenderedPageBreak/>
        <w:t xml:space="preserve">respondent does not dispute it. It accepts that it has not constructed the school but insists it has a caretaker staying on the property.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It is the applicant’s position that the third respondent did not even follo</w:t>
      </w:r>
      <w:r>
        <w:rPr>
          <w:rFonts w:ascii="Times New Roman" w:hAnsi="Times New Roman" w:cs="Times New Roman"/>
          <w:sz w:val="24"/>
        </w:rPr>
        <w:t xml:space="preserve">w the legally laid down procedure for </w:t>
      </w:r>
      <w:r>
        <w:rPr>
          <w:rFonts w:ascii="Times New Roman" w:hAnsi="Times New Roman" w:cs="Times New Roman"/>
          <w:sz w:val="24"/>
          <w:lang w:val="en-US"/>
        </w:rPr>
        <w:t>canceling</w:t>
      </w:r>
      <w:r>
        <w:rPr>
          <w:rFonts w:ascii="Times New Roman" w:hAnsi="Times New Roman" w:cs="Times New Roman"/>
          <w:sz w:val="24"/>
        </w:rPr>
        <w:t xml:space="preserve"> a contract, and that the allocation of the property to the first respondent was unlawful on the basis that the applicant paid for the stand in full. The applicant maintains that it did not receive the letters</w:t>
      </w:r>
      <w:r>
        <w:rPr>
          <w:rFonts w:ascii="Times New Roman" w:hAnsi="Times New Roman" w:cs="Times New Roman"/>
          <w:sz w:val="24"/>
        </w:rPr>
        <w:t xml:space="preserve"> </w:t>
      </w:r>
      <w:r>
        <w:rPr>
          <w:rFonts w:ascii="Times New Roman" w:hAnsi="Times New Roman" w:cs="Times New Roman"/>
          <w:sz w:val="24"/>
          <w:lang w:val="en-US"/>
        </w:rPr>
        <w:t>canceling</w:t>
      </w:r>
      <w:r>
        <w:rPr>
          <w:rFonts w:ascii="Times New Roman" w:hAnsi="Times New Roman" w:cs="Times New Roman"/>
          <w:sz w:val="24"/>
        </w:rPr>
        <w:t xml:space="preserve"> the lease and questions the third respondent’s failure to attach those letters. It also points out that the applicant and third respondent continued to correspond over the sale of the property beyond the expiration of the lease agreement.  The a</w:t>
      </w:r>
      <w:r>
        <w:rPr>
          <w:rFonts w:ascii="Times New Roman" w:hAnsi="Times New Roman" w:cs="Times New Roman"/>
          <w:sz w:val="24"/>
        </w:rPr>
        <w:t xml:space="preserve">pplicant submits that it has laid a basis for the relief it seeks </w:t>
      </w:r>
      <w:r>
        <w:rPr>
          <w:rFonts w:ascii="Times New Roman" w:hAnsi="Times New Roman" w:cs="Times New Roman"/>
          <w:sz w:val="24"/>
          <w:lang w:val="en-US"/>
        </w:rPr>
        <w:t>more so</w:t>
      </w:r>
      <w:r>
        <w:rPr>
          <w:rFonts w:ascii="Times New Roman" w:hAnsi="Times New Roman" w:cs="Times New Roman"/>
          <w:sz w:val="24"/>
        </w:rPr>
        <w:t xml:space="preserve"> in the face of the confirmations made by the third respondent in his opposing affidavit. </w:t>
      </w:r>
    </w:p>
    <w:p w:rsidR="00D76F28" w:rsidRDefault="00D76F28">
      <w:pPr>
        <w:pStyle w:val="ListParagraph"/>
        <w:spacing w:line="360" w:lineRule="auto"/>
        <w:ind w:left="426"/>
        <w:jc w:val="both"/>
        <w:rPr>
          <w:rFonts w:ascii="Times New Roman" w:hAnsi="Times New Roman" w:cs="Times New Roman"/>
          <w:sz w:val="24"/>
        </w:rPr>
      </w:pPr>
    </w:p>
    <w:p w:rsidR="00D76F28" w:rsidRDefault="007A6FDB">
      <w:pPr>
        <w:pStyle w:val="ListParagraph"/>
        <w:spacing w:line="360" w:lineRule="auto"/>
        <w:ind w:left="426"/>
        <w:jc w:val="both"/>
        <w:rPr>
          <w:rFonts w:ascii="Times New Roman" w:hAnsi="Times New Roman" w:cs="Times New Roman"/>
          <w:b/>
          <w:sz w:val="24"/>
          <w:u w:val="single"/>
        </w:rPr>
      </w:pPr>
      <w:r>
        <w:rPr>
          <w:rFonts w:ascii="Times New Roman" w:hAnsi="Times New Roman" w:cs="Times New Roman"/>
          <w:b/>
          <w:sz w:val="24"/>
          <w:u w:val="single"/>
        </w:rPr>
        <w:t xml:space="preserve">ISSUES FOR DETERMINATION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From the pleadings filed of record, two preliminary points had be</w:t>
      </w:r>
      <w:r>
        <w:rPr>
          <w:rFonts w:ascii="Times New Roman" w:hAnsi="Times New Roman" w:cs="Times New Roman"/>
          <w:sz w:val="24"/>
        </w:rPr>
        <w:t xml:space="preserve">en raised. These relate to the misjoinder of the second respondent and the applicant’s </w:t>
      </w:r>
      <w:r>
        <w:rPr>
          <w:rFonts w:ascii="Times New Roman" w:hAnsi="Times New Roman" w:cs="Times New Roman"/>
          <w:i/>
          <w:sz w:val="24"/>
        </w:rPr>
        <w:t>locus standi</w:t>
      </w:r>
      <w:r>
        <w:rPr>
          <w:rFonts w:ascii="Times New Roman" w:hAnsi="Times New Roman" w:cs="Times New Roman"/>
          <w:sz w:val="24"/>
        </w:rPr>
        <w:t>. After the issue of misjoinder was raised in the first and second respondents’ opposing papers, the applicant indicated in its answering affidavit that it w</w:t>
      </w:r>
      <w:r>
        <w:rPr>
          <w:rFonts w:ascii="Times New Roman" w:hAnsi="Times New Roman" w:cs="Times New Roman"/>
          <w:sz w:val="24"/>
        </w:rPr>
        <w:t xml:space="preserve">ould apply for the withdrawal of the second respondent’s joinder to the current proceedings. This was duly done, and I granted the withdrawal with costs. This preliminary point having been successfully withdrawn, it becomes unnecessary for me to determine </w:t>
      </w:r>
      <w:r>
        <w:rPr>
          <w:rFonts w:ascii="Times New Roman" w:hAnsi="Times New Roman" w:cs="Times New Roman"/>
          <w:sz w:val="24"/>
        </w:rPr>
        <w:t xml:space="preserve">it. </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In my view, there are two broad issues that fall for determination in this matter. The two broad questions are:</w:t>
      </w:r>
    </w:p>
    <w:p w:rsidR="00D76F28" w:rsidRDefault="007A6FDB">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Whether or not the applicant has </w:t>
      </w:r>
      <w:r>
        <w:rPr>
          <w:rFonts w:ascii="Times New Roman" w:hAnsi="Times New Roman" w:cs="Times New Roman"/>
          <w:i/>
          <w:sz w:val="24"/>
        </w:rPr>
        <w:t>locus standi</w:t>
      </w:r>
      <w:r>
        <w:rPr>
          <w:rFonts w:ascii="Times New Roman" w:hAnsi="Times New Roman" w:cs="Times New Roman"/>
          <w:sz w:val="24"/>
        </w:rPr>
        <w:t>?</w:t>
      </w:r>
    </w:p>
    <w:p w:rsidR="00D76F28" w:rsidRDefault="007A6FDB">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If so, whether or not the applicant is entitled to the relief sought?</w:t>
      </w:r>
    </w:p>
    <w:p w:rsidR="00D76F28" w:rsidRDefault="007A6FDB">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I turn now to deal wit</w:t>
      </w:r>
      <w:r>
        <w:rPr>
          <w:rFonts w:ascii="Times New Roman" w:hAnsi="Times New Roman" w:cs="Times New Roman"/>
          <w:sz w:val="24"/>
        </w:rPr>
        <w:t xml:space="preserve">h these issues </w:t>
      </w:r>
      <w:r>
        <w:rPr>
          <w:rFonts w:ascii="Times New Roman" w:hAnsi="Times New Roman" w:cs="Times New Roman"/>
          <w:i/>
          <w:sz w:val="24"/>
        </w:rPr>
        <w:t>seriatim</w:t>
      </w:r>
      <w:r>
        <w:rPr>
          <w:rFonts w:ascii="Times New Roman" w:hAnsi="Times New Roman" w:cs="Times New Roman"/>
          <w:sz w:val="24"/>
        </w:rPr>
        <w:t xml:space="preserve">. </w:t>
      </w:r>
    </w:p>
    <w:p w:rsidR="00D76F28" w:rsidRDefault="007A6FDB">
      <w:pPr>
        <w:spacing w:line="360" w:lineRule="auto"/>
        <w:ind w:left="66"/>
        <w:jc w:val="both"/>
        <w:rPr>
          <w:rFonts w:ascii="Times New Roman" w:hAnsi="Times New Roman" w:cs="Times New Roman"/>
          <w:b/>
          <w:sz w:val="24"/>
          <w:u w:val="single"/>
        </w:rPr>
      </w:pPr>
      <w:r>
        <w:rPr>
          <w:rFonts w:ascii="Times New Roman" w:hAnsi="Times New Roman" w:cs="Times New Roman"/>
          <w:b/>
          <w:sz w:val="24"/>
          <w:u w:val="single"/>
        </w:rPr>
        <w:t xml:space="preserve">WHETHER OR NOT THE APPLICANT HAS </w:t>
      </w:r>
      <w:r>
        <w:rPr>
          <w:rFonts w:ascii="Times New Roman" w:hAnsi="Times New Roman" w:cs="Times New Roman"/>
          <w:b/>
          <w:i/>
          <w:sz w:val="24"/>
          <w:u w:val="single"/>
        </w:rPr>
        <w:t>LOCUS STANDI</w:t>
      </w:r>
      <w:r>
        <w:rPr>
          <w:rFonts w:ascii="Times New Roman" w:hAnsi="Times New Roman" w:cs="Times New Roman"/>
          <w:b/>
          <w:sz w:val="24"/>
          <w:u w:val="single"/>
        </w:rPr>
        <w:t>?</w:t>
      </w:r>
    </w:p>
    <w:p w:rsidR="00D76F28" w:rsidRDefault="007A6FDB">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t xml:space="preserve">The factors to take into account in considering whether or not a person has </w:t>
      </w:r>
      <w:r>
        <w:rPr>
          <w:rFonts w:ascii="Times New Roman" w:hAnsi="Times New Roman" w:cs="Times New Roman"/>
          <w:i/>
          <w:sz w:val="24"/>
        </w:rPr>
        <w:t>locus standi</w:t>
      </w:r>
      <w:r>
        <w:rPr>
          <w:rFonts w:ascii="Times New Roman" w:hAnsi="Times New Roman" w:cs="Times New Roman"/>
          <w:sz w:val="24"/>
        </w:rPr>
        <w:t xml:space="preserve"> have been traversed in various authorities in this jurisdiction and beyond. It is now settled that to establish </w:t>
      </w:r>
      <w:r>
        <w:rPr>
          <w:rFonts w:ascii="Times New Roman" w:hAnsi="Times New Roman" w:cs="Times New Roman"/>
          <w:i/>
          <w:sz w:val="24"/>
        </w:rPr>
        <w:t>locus standi</w:t>
      </w:r>
      <w:r>
        <w:rPr>
          <w:rFonts w:ascii="Times New Roman" w:hAnsi="Times New Roman" w:cs="Times New Roman"/>
          <w:sz w:val="24"/>
        </w:rPr>
        <w:t xml:space="preserve">, a party must show that they have a direct and substantial interest in the matter. See </w:t>
      </w:r>
      <w:r>
        <w:rPr>
          <w:rFonts w:ascii="Times New Roman" w:hAnsi="Times New Roman" w:cs="Times New Roman"/>
          <w:i/>
          <w:sz w:val="24"/>
        </w:rPr>
        <w:t>Sibanda &amp; Ors</w:t>
      </w:r>
      <w:r>
        <w:rPr>
          <w:rFonts w:ascii="Times New Roman" w:hAnsi="Times New Roman" w:cs="Times New Roman"/>
          <w:sz w:val="24"/>
        </w:rPr>
        <w:t xml:space="preserve"> </w:t>
      </w:r>
      <w:r>
        <w:rPr>
          <w:rFonts w:ascii="Times New Roman" w:hAnsi="Times New Roman" w:cs="Times New Roman"/>
          <w:sz w:val="24"/>
        </w:rPr>
        <w:t>v</w:t>
      </w:r>
      <w:r>
        <w:rPr>
          <w:rFonts w:ascii="Times New Roman" w:hAnsi="Times New Roman" w:cs="Times New Roman"/>
          <w:sz w:val="24"/>
        </w:rPr>
        <w:t xml:space="preserve"> </w:t>
      </w:r>
      <w:r>
        <w:rPr>
          <w:rFonts w:ascii="Times New Roman" w:hAnsi="Times New Roman" w:cs="Times New Roman"/>
          <w:i/>
          <w:sz w:val="24"/>
        </w:rPr>
        <w:t xml:space="preserve">Apostolic Faith Mission of </w:t>
      </w:r>
      <w:r>
        <w:rPr>
          <w:rFonts w:ascii="Times New Roman" w:hAnsi="Times New Roman" w:cs="Times New Roman"/>
          <w:i/>
          <w:sz w:val="24"/>
        </w:rPr>
        <w:t>Portland Oregon (Southern African Headquarters) Inc</w:t>
      </w:r>
      <w:r>
        <w:rPr>
          <w:rFonts w:ascii="Times New Roman" w:hAnsi="Times New Roman" w:cs="Times New Roman"/>
          <w:sz w:val="24"/>
        </w:rPr>
        <w:t xml:space="preserve"> 2018 (2) ZLR 80 (S).</w:t>
      </w:r>
    </w:p>
    <w:p w:rsidR="00D76F28" w:rsidRDefault="007A6FDB">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lastRenderedPageBreak/>
        <w:t xml:space="preserve">As to what constitutes a direct and substantial interest, it was held in the case of </w:t>
      </w:r>
      <w:r>
        <w:rPr>
          <w:rFonts w:ascii="Times New Roman" w:hAnsi="Times New Roman" w:cs="Times New Roman"/>
          <w:i/>
          <w:sz w:val="24"/>
        </w:rPr>
        <w:t xml:space="preserve">Zimbabwe Teachers Association &amp; Ors </w:t>
      </w:r>
      <w:r>
        <w:rPr>
          <w:rFonts w:ascii="Times New Roman" w:hAnsi="Times New Roman" w:cs="Times New Roman"/>
          <w:sz w:val="24"/>
        </w:rPr>
        <w:t>v</w:t>
      </w:r>
      <w:r>
        <w:rPr>
          <w:rFonts w:ascii="Times New Roman" w:hAnsi="Times New Roman" w:cs="Times New Roman"/>
          <w:i/>
          <w:sz w:val="24"/>
        </w:rPr>
        <w:t xml:space="preserve"> Minister of Education </w:t>
      </w:r>
      <w:r>
        <w:rPr>
          <w:rFonts w:ascii="Times New Roman" w:hAnsi="Times New Roman" w:cs="Times New Roman"/>
          <w:sz w:val="24"/>
        </w:rPr>
        <w:t xml:space="preserve">1990 (2) ZLR 48 (HC) that it connotes </w:t>
      </w:r>
      <w:r>
        <w:rPr>
          <w:rFonts w:ascii="Times New Roman" w:hAnsi="Times New Roman" w:cs="Times New Roman"/>
          <w:sz w:val="24"/>
        </w:rPr>
        <w:t xml:space="preserve">an interest in the right which is the subject-matter of the litigation. A financial interest which is only an indirect interest in such litigation does not meet the threshold of what constitutes a direct and substantial interest. </w:t>
      </w:r>
    </w:p>
    <w:p w:rsidR="00D76F28" w:rsidRDefault="007A6FDB">
      <w:pPr>
        <w:pStyle w:val="ListParagraph"/>
        <w:numPr>
          <w:ilvl w:val="0"/>
          <w:numId w:val="1"/>
        </w:numPr>
        <w:spacing w:after="200" w:line="360" w:lineRule="auto"/>
        <w:ind w:left="567"/>
        <w:jc w:val="both"/>
        <w:rPr>
          <w:rFonts w:ascii="Times New Roman" w:hAnsi="Times New Roman" w:cs="Times New Roman"/>
          <w:sz w:val="24"/>
        </w:rPr>
      </w:pPr>
      <w:r>
        <w:rPr>
          <w:rFonts w:ascii="Times New Roman" w:hAnsi="Times New Roman" w:cs="Times New Roman"/>
          <w:sz w:val="24"/>
        </w:rPr>
        <w:t xml:space="preserve">In </w:t>
      </w:r>
      <w:r>
        <w:rPr>
          <w:rFonts w:ascii="Times New Roman" w:hAnsi="Times New Roman" w:cs="Times New Roman"/>
          <w:i/>
          <w:sz w:val="24"/>
        </w:rPr>
        <w:t xml:space="preserve">Allied Bank Ltd </w:t>
      </w:r>
      <w:r>
        <w:rPr>
          <w:rFonts w:ascii="Times New Roman" w:hAnsi="Times New Roman" w:cs="Times New Roman"/>
          <w:sz w:val="24"/>
        </w:rPr>
        <w:t>v</w:t>
      </w:r>
      <w:r>
        <w:rPr>
          <w:rFonts w:ascii="Times New Roman" w:hAnsi="Times New Roman" w:cs="Times New Roman"/>
          <w:i/>
          <w:sz w:val="24"/>
        </w:rPr>
        <w:t xml:space="preserve"> Deng</w:t>
      </w:r>
      <w:r>
        <w:rPr>
          <w:rFonts w:ascii="Times New Roman" w:hAnsi="Times New Roman" w:cs="Times New Roman"/>
          <w:i/>
          <w:sz w:val="24"/>
        </w:rPr>
        <w:t>u &amp; Anor</w:t>
      </w:r>
      <w:r>
        <w:rPr>
          <w:rFonts w:ascii="Times New Roman" w:hAnsi="Times New Roman" w:cs="Times New Roman"/>
          <w:sz w:val="24"/>
        </w:rPr>
        <w:t xml:space="preserve"> 2016 (2) ZLR 373 (S), </w:t>
      </w:r>
      <w:r>
        <w:rPr>
          <w:rFonts w:ascii="Times New Roman" w:eastAsia="Calibri" w:hAnsi="Times New Roman" w:cs="Times New Roman"/>
          <w:bCs/>
          <w:smallCaps/>
          <w:sz w:val="24"/>
          <w:szCs w:val="24"/>
          <w:lang w:val="en-GB"/>
        </w:rPr>
        <w:t>Malaba</w:t>
      </w:r>
      <w:r>
        <w:rPr>
          <w:rFonts w:ascii="Times New Roman" w:hAnsi="Times New Roman" w:cs="Times New Roman"/>
          <w:sz w:val="24"/>
        </w:rPr>
        <w:t xml:space="preserve"> DCJ (as he then was) elaborated on the principle further in the following manner:-</w:t>
      </w:r>
    </w:p>
    <w:p w:rsidR="00D76F28" w:rsidRDefault="007A6FDB">
      <w:pPr>
        <w:pStyle w:val="ListParagraph"/>
        <w:spacing w:line="240" w:lineRule="auto"/>
        <w:ind w:left="1440"/>
        <w:jc w:val="both"/>
        <w:rPr>
          <w:rFonts w:ascii="Times New Roman" w:hAnsi="Times New Roman" w:cs="Times New Roman"/>
          <w:lang w:val="en-US"/>
        </w:rPr>
      </w:pPr>
      <w:r>
        <w:rPr>
          <w:rFonts w:ascii="Times New Roman" w:hAnsi="Times New Roman" w:cs="Times New Roman"/>
        </w:rPr>
        <w:t xml:space="preserve">“The principle of </w:t>
      </w:r>
      <w:r>
        <w:rPr>
          <w:rFonts w:ascii="Times New Roman" w:hAnsi="Times New Roman" w:cs="Times New Roman"/>
          <w:i/>
        </w:rPr>
        <w:t>locus standi</w:t>
      </w:r>
      <w:r>
        <w:rPr>
          <w:rFonts w:ascii="Times New Roman" w:hAnsi="Times New Roman" w:cs="Times New Roman"/>
        </w:rPr>
        <w:t xml:space="preserve"> is concerned with the relationship between the cause of action and the relief sought. Once a party estab</w:t>
      </w:r>
      <w:r>
        <w:rPr>
          <w:rFonts w:ascii="Times New Roman" w:hAnsi="Times New Roman" w:cs="Times New Roman"/>
        </w:rPr>
        <w:t xml:space="preserve">lishes that there is a cause of action and that he/she is entitled to the relief sought, he or she has </w:t>
      </w:r>
      <w:r>
        <w:rPr>
          <w:rFonts w:ascii="Times New Roman" w:hAnsi="Times New Roman" w:cs="Times New Roman"/>
          <w:i/>
        </w:rPr>
        <w:t>locus standi</w:t>
      </w:r>
      <w:r>
        <w:rPr>
          <w:rFonts w:ascii="Times New Roman" w:hAnsi="Times New Roman" w:cs="Times New Roman"/>
        </w:rPr>
        <w:t xml:space="preserve">. The plaintiff or applicant only has to show that he or she has direct and substantial interest in the right which is the subject-matter of </w:t>
      </w:r>
      <w:r>
        <w:rPr>
          <w:rFonts w:ascii="Times New Roman" w:hAnsi="Times New Roman" w:cs="Times New Roman"/>
        </w:rPr>
        <w:t xml:space="preserve">the cause of action. In the case of </w:t>
      </w:r>
      <w:r>
        <w:rPr>
          <w:rFonts w:ascii="Times New Roman" w:hAnsi="Times New Roman" w:cs="Times New Roman"/>
          <w:i/>
        </w:rPr>
        <w:t xml:space="preserve">Ndlovu </w:t>
      </w:r>
      <w:r>
        <w:rPr>
          <w:rFonts w:ascii="Times New Roman" w:hAnsi="Times New Roman" w:cs="Times New Roman"/>
          <w:iCs/>
        </w:rPr>
        <w:t>v</w:t>
      </w:r>
      <w:r>
        <w:rPr>
          <w:rFonts w:ascii="Times New Roman" w:hAnsi="Times New Roman" w:cs="Times New Roman"/>
          <w:i/>
        </w:rPr>
        <w:t xml:space="preserve"> Marufu</w:t>
      </w:r>
      <w:r>
        <w:rPr>
          <w:rFonts w:ascii="Times New Roman" w:hAnsi="Times New Roman" w:cs="Times New Roman"/>
        </w:rPr>
        <w:t xml:space="preserve"> HH-480-15, the court had the following to say concerning the concept of </w:t>
      </w:r>
      <w:r>
        <w:rPr>
          <w:rFonts w:ascii="Times New Roman" w:hAnsi="Times New Roman" w:cs="Times New Roman"/>
          <w:i/>
        </w:rPr>
        <w:t>locus standi</w:t>
      </w:r>
      <w:r>
        <w:rPr>
          <w:rFonts w:ascii="Times New Roman" w:hAnsi="Times New Roman" w:cs="Times New Roman"/>
          <w:i/>
          <w:lang w:val="en-US"/>
        </w:rPr>
        <w:t>.”</w:t>
      </w:r>
    </w:p>
    <w:p w:rsidR="00D76F28" w:rsidRDefault="00D76F28">
      <w:pPr>
        <w:pStyle w:val="ListParagraph"/>
        <w:spacing w:line="240" w:lineRule="auto"/>
        <w:ind w:left="1440"/>
        <w:jc w:val="both"/>
        <w:rPr>
          <w:rFonts w:ascii="Times New Roman" w:hAnsi="Times New Roman" w:cs="Times New Roman"/>
        </w:rPr>
      </w:pPr>
    </w:p>
    <w:p w:rsidR="00D76F28" w:rsidRDefault="007A6FDB">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“It is trite that </w:t>
      </w:r>
      <w:r>
        <w:rPr>
          <w:rFonts w:ascii="Times New Roman" w:hAnsi="Times New Roman" w:cs="Times New Roman"/>
          <w:i/>
        </w:rPr>
        <w:t>locus standi</w:t>
      </w:r>
      <w:r>
        <w:rPr>
          <w:rFonts w:ascii="Times New Roman" w:hAnsi="Times New Roman" w:cs="Times New Roman"/>
        </w:rPr>
        <w:t xml:space="preserve"> exists when there is direct and substantial interest in the right which is the subjec</w:t>
      </w:r>
      <w:r>
        <w:rPr>
          <w:rFonts w:ascii="Times New Roman" w:hAnsi="Times New Roman" w:cs="Times New Roman"/>
        </w:rPr>
        <w:t xml:space="preserve">t matter of the litigation and the outcome thereof. A person who has </w:t>
      </w:r>
      <w:r>
        <w:rPr>
          <w:rFonts w:ascii="Times New Roman" w:hAnsi="Times New Roman" w:cs="Times New Roman"/>
          <w:i/>
        </w:rPr>
        <w:t>locus standi</w:t>
      </w:r>
      <w:r>
        <w:rPr>
          <w:rFonts w:ascii="Times New Roman" w:hAnsi="Times New Roman" w:cs="Times New Roman"/>
        </w:rPr>
        <w:t xml:space="preserve"> has a right to sue which is derived from the legal interest recognised by the law. In the case of </w:t>
      </w:r>
      <w:r>
        <w:rPr>
          <w:rFonts w:ascii="Times New Roman" w:hAnsi="Times New Roman" w:cs="Times New Roman"/>
          <w:i/>
        </w:rPr>
        <w:t xml:space="preserve">Stevenson </w:t>
      </w:r>
      <w:r>
        <w:rPr>
          <w:rFonts w:ascii="Times New Roman" w:hAnsi="Times New Roman" w:cs="Times New Roman"/>
          <w:iCs/>
        </w:rPr>
        <w:t>v</w:t>
      </w:r>
      <w:r>
        <w:rPr>
          <w:rFonts w:ascii="Times New Roman" w:hAnsi="Times New Roman" w:cs="Times New Roman"/>
          <w:i/>
        </w:rPr>
        <w:t xml:space="preserve"> Minister of Local Government and National Housing and Ors</w:t>
      </w:r>
      <w:r>
        <w:rPr>
          <w:rFonts w:ascii="Times New Roman" w:hAnsi="Times New Roman" w:cs="Times New Roman"/>
        </w:rPr>
        <w:t xml:space="preserve"> SC 38-</w:t>
      </w:r>
      <w:r>
        <w:rPr>
          <w:rFonts w:ascii="Times New Roman" w:hAnsi="Times New Roman" w:cs="Times New Roman"/>
        </w:rPr>
        <w:t xml:space="preserve">02, the court in outlining </w:t>
      </w:r>
      <w:r>
        <w:rPr>
          <w:rFonts w:ascii="Times New Roman" w:hAnsi="Times New Roman" w:cs="Times New Roman"/>
          <w:i/>
        </w:rPr>
        <w:t xml:space="preserve">locus standi </w:t>
      </w:r>
      <w:r>
        <w:rPr>
          <w:rFonts w:ascii="Times New Roman" w:hAnsi="Times New Roman" w:cs="Times New Roman"/>
          <w:iCs/>
        </w:rPr>
        <w:t xml:space="preserve">in </w:t>
      </w:r>
      <w:r>
        <w:rPr>
          <w:rFonts w:ascii="Times New Roman" w:hAnsi="Times New Roman" w:cs="Times New Roman"/>
          <w:i/>
        </w:rPr>
        <w:t>judicio</w:t>
      </w:r>
      <w:r>
        <w:rPr>
          <w:rFonts w:ascii="Times New Roman" w:hAnsi="Times New Roman" w:cs="Times New Roman"/>
        </w:rPr>
        <w:t xml:space="preserve"> stated that in many cases the requisite interest or special reason entitling a party to bring legal proceedings has been described as “a real and substantial interest” or as a direct and substantial interest.”</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In </w:t>
      </w:r>
      <w:r>
        <w:rPr>
          <w:rFonts w:ascii="Times New Roman" w:hAnsi="Times New Roman" w:cs="Times New Roman"/>
          <w:i/>
          <w:sz w:val="24"/>
        </w:rPr>
        <w:t>casu</w:t>
      </w:r>
      <w:r>
        <w:rPr>
          <w:rFonts w:ascii="Times New Roman" w:hAnsi="Times New Roman" w:cs="Times New Roman"/>
          <w:sz w:val="24"/>
        </w:rPr>
        <w:t>, it is common cause that a lease agre</w:t>
      </w:r>
      <w:r>
        <w:rPr>
          <w:rFonts w:ascii="Times New Roman" w:hAnsi="Times New Roman" w:cs="Times New Roman"/>
          <w:sz w:val="24"/>
        </w:rPr>
        <w:t>ement was entered into between the primary school and the third respondent. It is on the basis of the lease agreement that the first and second respondents argue that the applicant is different from the primary school, hence it has no standing in these pro</w:t>
      </w:r>
      <w:r>
        <w:rPr>
          <w:rFonts w:ascii="Times New Roman" w:hAnsi="Times New Roman" w:cs="Times New Roman"/>
          <w:sz w:val="24"/>
        </w:rPr>
        <w:t xml:space="preserve">ceedings. However, the applicant makes two critical submissions. Firstly, that the basis of the current application is not the lease agreement but an oral agreement of sale which it entered into with the third respondent. Secondly, that both the applicant </w:t>
      </w:r>
      <w:r>
        <w:rPr>
          <w:rFonts w:ascii="Times New Roman" w:hAnsi="Times New Roman" w:cs="Times New Roman"/>
          <w:sz w:val="24"/>
        </w:rPr>
        <w:t xml:space="preserve">and the third respondent were using the names of the primary school and the applicant interchangeably.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At the hearing of this matter, Mr </w:t>
      </w:r>
      <w:r>
        <w:rPr>
          <w:rFonts w:ascii="Times New Roman" w:hAnsi="Times New Roman" w:cs="Times New Roman"/>
          <w:i/>
          <w:sz w:val="24"/>
        </w:rPr>
        <w:t>Muradzikwa</w:t>
      </w:r>
      <w:r>
        <w:rPr>
          <w:rFonts w:ascii="Times New Roman" w:hAnsi="Times New Roman" w:cs="Times New Roman"/>
          <w:sz w:val="24"/>
        </w:rPr>
        <w:t xml:space="preserve"> submitted that it was not the applicant who had a contract with the third respondent hence there is no priv</w:t>
      </w:r>
      <w:r>
        <w:rPr>
          <w:rFonts w:ascii="Times New Roman" w:hAnsi="Times New Roman" w:cs="Times New Roman"/>
          <w:sz w:val="24"/>
        </w:rPr>
        <w:t xml:space="preserve">ity of contract between the applicant and the third respondent, a submission which Mr </w:t>
      </w:r>
      <w:r>
        <w:rPr>
          <w:rFonts w:ascii="Times New Roman" w:hAnsi="Times New Roman" w:cs="Times New Roman"/>
          <w:i/>
          <w:sz w:val="24"/>
        </w:rPr>
        <w:t>Biti</w:t>
      </w:r>
      <w:r>
        <w:rPr>
          <w:rFonts w:ascii="Times New Roman" w:hAnsi="Times New Roman" w:cs="Times New Roman"/>
          <w:sz w:val="24"/>
        </w:rPr>
        <w:t xml:space="preserve">, for the applicant, dismissed as being opportunistic because in the third respondent’s opposing affidavit, he deposes in paragraph 10 that paragraphs 18 – 28 of the </w:t>
      </w:r>
      <w:r>
        <w:rPr>
          <w:rFonts w:ascii="Times New Roman" w:hAnsi="Times New Roman" w:cs="Times New Roman"/>
          <w:sz w:val="24"/>
        </w:rPr>
        <w:t>applicant’s founding affidavit are not in dispute. It is in these paragraphs that the applicant makes very critical averments relating to the conclusion of the oral agreement of sale between it (not the primary school) and the third respondent; the purchas</w:t>
      </w:r>
      <w:r>
        <w:rPr>
          <w:rFonts w:ascii="Times New Roman" w:hAnsi="Times New Roman" w:cs="Times New Roman"/>
          <w:sz w:val="24"/>
        </w:rPr>
        <w:t xml:space="preserve">e price being set at US$262 640. 00; the payment by the applicant of a 10% deposit per the terms of the oral agreement of sale; the </w:t>
      </w:r>
      <w:r>
        <w:rPr>
          <w:rFonts w:ascii="Times New Roman" w:hAnsi="Times New Roman" w:cs="Times New Roman"/>
          <w:sz w:val="24"/>
        </w:rPr>
        <w:lastRenderedPageBreak/>
        <w:t>payments being received in the name of the primary school, and the conclusion of a lease agreement to recognise the applican</w:t>
      </w:r>
      <w:r>
        <w:rPr>
          <w:rFonts w:ascii="Times New Roman" w:hAnsi="Times New Roman" w:cs="Times New Roman"/>
          <w:sz w:val="24"/>
        </w:rPr>
        <w:t>t’s rights over the property. In paragraph 17 of the third respondent’s opposing affidavit, the third respondent deposes that no issues arise from the applicant’s averments in paragraphs 39-48 of its founding affidavit. These paragraphs give a background t</w:t>
      </w:r>
      <w:r>
        <w:rPr>
          <w:rFonts w:ascii="Times New Roman" w:hAnsi="Times New Roman" w:cs="Times New Roman"/>
          <w:sz w:val="24"/>
        </w:rPr>
        <w:t xml:space="preserve">o the interchange of names between the applicant and the primary school and detail how the performance of the contract panned out.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It is pertinent to note that going by the third respondent’s deposition, he does not take any issue with the submission that</w:t>
      </w:r>
      <w:r>
        <w:rPr>
          <w:rFonts w:ascii="Times New Roman" w:hAnsi="Times New Roman" w:cs="Times New Roman"/>
          <w:sz w:val="24"/>
        </w:rPr>
        <w:t xml:space="preserve"> when the lease was executed, the lessee was written as Eunigo</w:t>
      </w:r>
      <w:r>
        <w:rPr>
          <w:rFonts w:ascii="Times New Roman" w:hAnsi="Times New Roman" w:cs="Times New Roman"/>
          <w:sz w:val="24"/>
          <w:lang w:val="en-US"/>
        </w:rPr>
        <w:t>l</w:t>
      </w:r>
      <w:r>
        <w:rPr>
          <w:rFonts w:ascii="Times New Roman" w:hAnsi="Times New Roman" w:cs="Times New Roman"/>
          <w:sz w:val="24"/>
        </w:rPr>
        <w:t>d Primary School and the deponent to the applicant’s affidavit, one Eunice Tambudzai Mangwende made an oversight without paying attention to the name entered. The third respondent does not take</w:t>
      </w:r>
      <w:r>
        <w:rPr>
          <w:rFonts w:ascii="Times New Roman" w:hAnsi="Times New Roman" w:cs="Times New Roman"/>
          <w:sz w:val="24"/>
        </w:rPr>
        <w:t xml:space="preserve"> issue that the monies paid to the third respondent from 2010 to 2012 were receipted under the primary school’s name, which is non-existent, instead of the applicant’s name.  The third respondent also takes no issue with the submission that monies paid in </w:t>
      </w:r>
      <w:r>
        <w:rPr>
          <w:rFonts w:ascii="Times New Roman" w:hAnsi="Times New Roman" w:cs="Times New Roman"/>
          <w:sz w:val="24"/>
        </w:rPr>
        <w:t xml:space="preserve">2020 were then made and receipted in the applicant’s name. Further, the third respondent does not take any issue with the applicant’s submission that the third respondent has been using the names interchangeably to refer to the applicant.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In his oral subm</w:t>
      </w:r>
      <w:r>
        <w:rPr>
          <w:rFonts w:ascii="Times New Roman" w:hAnsi="Times New Roman" w:cs="Times New Roman"/>
          <w:sz w:val="24"/>
        </w:rPr>
        <w:t xml:space="preserve">issions, Mr </w:t>
      </w:r>
      <w:r>
        <w:rPr>
          <w:rFonts w:ascii="Times New Roman" w:hAnsi="Times New Roman" w:cs="Times New Roman"/>
          <w:i/>
          <w:sz w:val="24"/>
        </w:rPr>
        <w:t>Muradzikwa</w:t>
      </w:r>
      <w:r>
        <w:rPr>
          <w:rFonts w:ascii="Times New Roman" w:hAnsi="Times New Roman" w:cs="Times New Roman"/>
          <w:sz w:val="24"/>
        </w:rPr>
        <w:t xml:space="preserve"> sought to qualify the third respondent’s depositions by stating that what the third respondent could not dispute was that there were certain amounts paid by the applicant, as alleged in the founding affidavit. He contended that what </w:t>
      </w:r>
      <w:r>
        <w:rPr>
          <w:rFonts w:ascii="Times New Roman" w:hAnsi="Times New Roman" w:cs="Times New Roman"/>
          <w:sz w:val="24"/>
        </w:rPr>
        <w:t>was not in dispute was that there was some form of agreement between the parties, whether orally or by way of a lease. He contended, further, that the third respondent could not dispute something which was not done. He then submitted that it was mischievou</w:t>
      </w:r>
      <w:r>
        <w:rPr>
          <w:rFonts w:ascii="Times New Roman" w:hAnsi="Times New Roman" w:cs="Times New Roman"/>
          <w:sz w:val="24"/>
        </w:rPr>
        <w:t xml:space="preserve">s for the applicant to argue that the third respondent’s depositions form the crux of the matter.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However, Mr </w:t>
      </w:r>
      <w:r>
        <w:rPr>
          <w:rFonts w:ascii="Times New Roman" w:hAnsi="Times New Roman" w:cs="Times New Roman"/>
          <w:i/>
          <w:sz w:val="24"/>
        </w:rPr>
        <w:t>Muradzikwa</w:t>
      </w:r>
      <w:r>
        <w:rPr>
          <w:rFonts w:ascii="Times New Roman" w:hAnsi="Times New Roman" w:cs="Times New Roman"/>
          <w:sz w:val="24"/>
        </w:rPr>
        <w:t xml:space="preserve"> missed the point. The effect of the third respondent’s submission that the facts as outlined by the applicant are either not in disput</w:t>
      </w:r>
      <w:r>
        <w:rPr>
          <w:rFonts w:ascii="Times New Roman" w:hAnsi="Times New Roman" w:cs="Times New Roman"/>
          <w:sz w:val="24"/>
        </w:rPr>
        <w:t xml:space="preserve">e or that no issues arise from those averments is steeped in judicial precedent. </w:t>
      </w:r>
      <w:r>
        <w:rPr>
          <w:rFonts w:ascii="Times New Roman" w:hAnsi="Times New Roman" w:cs="Times New Roman"/>
          <w:i/>
          <w:sz w:val="24"/>
        </w:rPr>
        <w:t xml:space="preserve">Fawcett Security Operations (Pvt) Ltd </w:t>
      </w:r>
      <w:r>
        <w:rPr>
          <w:rFonts w:ascii="Times New Roman" w:hAnsi="Times New Roman" w:cs="Times New Roman"/>
          <w:sz w:val="24"/>
        </w:rPr>
        <w:t>v</w:t>
      </w:r>
      <w:r>
        <w:rPr>
          <w:rFonts w:ascii="Times New Roman" w:hAnsi="Times New Roman" w:cs="Times New Roman"/>
          <w:i/>
          <w:sz w:val="24"/>
        </w:rPr>
        <w:t xml:space="preserve"> Director of Customs and Excise &amp; Ors</w:t>
      </w:r>
      <w:r>
        <w:rPr>
          <w:rFonts w:ascii="Times New Roman" w:hAnsi="Times New Roman" w:cs="Times New Roman"/>
          <w:sz w:val="24"/>
        </w:rPr>
        <w:t xml:space="preserve"> 1993 (2) ZLR 121 (S) and </w:t>
      </w:r>
      <w:r>
        <w:rPr>
          <w:rFonts w:ascii="Times New Roman" w:hAnsi="Times New Roman" w:cs="Times New Roman"/>
          <w:i/>
          <w:sz w:val="24"/>
        </w:rPr>
        <w:t xml:space="preserve">Chihwayi Enterprises (Pvt) Ltd </w:t>
      </w:r>
      <w:r>
        <w:rPr>
          <w:rFonts w:ascii="Times New Roman" w:hAnsi="Times New Roman" w:cs="Times New Roman"/>
          <w:iCs/>
          <w:sz w:val="24"/>
        </w:rPr>
        <w:t>v</w:t>
      </w:r>
      <w:r>
        <w:rPr>
          <w:rFonts w:ascii="Times New Roman" w:hAnsi="Times New Roman" w:cs="Times New Roman"/>
          <w:i/>
          <w:iCs/>
          <w:sz w:val="24"/>
        </w:rPr>
        <w:t xml:space="preserve"> </w:t>
      </w:r>
      <w:r>
        <w:rPr>
          <w:rFonts w:ascii="Times New Roman" w:hAnsi="Times New Roman" w:cs="Times New Roman"/>
          <w:i/>
          <w:sz w:val="24"/>
        </w:rPr>
        <w:t xml:space="preserve">Atish </w:t>
      </w:r>
      <w:r>
        <w:rPr>
          <w:rFonts w:ascii="Times New Roman" w:hAnsi="Times New Roman" w:cs="Times New Roman"/>
          <w:i/>
          <w:sz w:val="24"/>
          <w:lang w:val="en-US"/>
        </w:rPr>
        <w:t>Investment</w:t>
      </w:r>
      <w:r>
        <w:rPr>
          <w:rFonts w:ascii="Times New Roman" w:hAnsi="Times New Roman" w:cs="Times New Roman"/>
          <w:i/>
          <w:sz w:val="24"/>
          <w:lang w:val="en-US"/>
        </w:rPr>
        <w:t>s</w:t>
      </w:r>
      <w:r>
        <w:rPr>
          <w:rFonts w:ascii="Times New Roman" w:hAnsi="Times New Roman" w:cs="Times New Roman"/>
          <w:i/>
          <w:sz w:val="24"/>
        </w:rPr>
        <w:t xml:space="preserve"> (Pvt) Ltd</w:t>
      </w:r>
      <w:r>
        <w:rPr>
          <w:rFonts w:ascii="Times New Roman" w:hAnsi="Times New Roman" w:cs="Times New Roman"/>
          <w:sz w:val="24"/>
        </w:rPr>
        <w:t xml:space="preserve"> 2007 (2) ZLR</w:t>
      </w:r>
      <w:r>
        <w:rPr>
          <w:rFonts w:ascii="Times New Roman" w:hAnsi="Times New Roman" w:cs="Times New Roman"/>
          <w:sz w:val="24"/>
        </w:rPr>
        <w:t xml:space="preserve"> 89 (S) are authorities for the legal position that that which is not denied in affidavits must be taken to be admitted.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lastRenderedPageBreak/>
        <w:t xml:space="preserve">Therefore, Mr </w:t>
      </w:r>
      <w:r>
        <w:rPr>
          <w:rFonts w:ascii="Times New Roman" w:hAnsi="Times New Roman" w:cs="Times New Roman"/>
          <w:i/>
          <w:sz w:val="24"/>
        </w:rPr>
        <w:t>Muradzikwa</w:t>
      </w:r>
      <w:r>
        <w:rPr>
          <w:rFonts w:ascii="Times New Roman" w:hAnsi="Times New Roman" w:cs="Times New Roman"/>
          <w:sz w:val="24"/>
        </w:rPr>
        <w:t xml:space="preserve"> had no business qualifying the scope of the third respondent’s clear depositions. In my judgment, without a f</w:t>
      </w:r>
      <w:r>
        <w:rPr>
          <w:rFonts w:ascii="Times New Roman" w:hAnsi="Times New Roman" w:cs="Times New Roman"/>
          <w:sz w:val="24"/>
        </w:rPr>
        <w:t xml:space="preserve">ormal withdrawal of those averments, it was not Mr </w:t>
      </w:r>
      <w:r>
        <w:rPr>
          <w:rFonts w:ascii="Times New Roman" w:hAnsi="Times New Roman" w:cs="Times New Roman"/>
          <w:i/>
          <w:sz w:val="24"/>
        </w:rPr>
        <w:t>Muradzikwa</w:t>
      </w:r>
      <w:r>
        <w:rPr>
          <w:rFonts w:ascii="Times New Roman" w:hAnsi="Times New Roman" w:cs="Times New Roman"/>
          <w:sz w:val="24"/>
        </w:rPr>
        <w:t>’s place to try and limit their scope or add colour to their meaning. In my further view, once the applicant outlined its case as it did in the founding affidavit, it fell upon the third responde</w:t>
      </w:r>
      <w:r>
        <w:rPr>
          <w:rFonts w:ascii="Times New Roman" w:hAnsi="Times New Roman" w:cs="Times New Roman"/>
          <w:sz w:val="24"/>
        </w:rPr>
        <w:t>nt, as the party to the agreement at the centre of the current controversy, to rebut those averments if he wished to. Instead, by stating that the version of events as told by the applicant was not in dispute and that no issues arose therefrom, the applica</w:t>
      </w:r>
      <w:r>
        <w:rPr>
          <w:rFonts w:ascii="Times New Roman" w:hAnsi="Times New Roman" w:cs="Times New Roman"/>
          <w:sz w:val="24"/>
        </w:rPr>
        <w:t xml:space="preserve">nt’s version must be taken as admitted.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In my analysis, it therefore stands on record as fact that the applicant and the third respondent entered into an oral agreement of sale. It also stands as a fact that the lease agreement was entered into by the p</w:t>
      </w:r>
      <w:r>
        <w:rPr>
          <w:rFonts w:ascii="Times New Roman" w:hAnsi="Times New Roman" w:cs="Times New Roman"/>
          <w:sz w:val="24"/>
        </w:rPr>
        <w:t>arties as a way of recognising that the applicant had some rights over the property. Further, it stands as fact that the applicant and the third respondent laboured under the same incorrect perception that the use of the primary school’s and the applicant’</w:t>
      </w:r>
      <w:r>
        <w:rPr>
          <w:rFonts w:ascii="Times New Roman" w:hAnsi="Times New Roman" w:cs="Times New Roman"/>
          <w:sz w:val="24"/>
        </w:rPr>
        <w:t xml:space="preserve">s names interchangeably was not an issue and referred to one entity.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On the basis of the third respondent’s averments, I have been invited by the applicant to find that there was a common mistake between the applicant and the third respondent. In </w:t>
      </w:r>
      <w:r>
        <w:rPr>
          <w:rFonts w:ascii="Times New Roman" w:hAnsi="Times New Roman" w:cs="Times New Roman"/>
          <w:i/>
          <w:sz w:val="24"/>
        </w:rPr>
        <w:t>Golden B</w:t>
      </w:r>
      <w:r>
        <w:rPr>
          <w:rFonts w:ascii="Times New Roman" w:hAnsi="Times New Roman" w:cs="Times New Roman"/>
          <w:i/>
          <w:sz w:val="24"/>
        </w:rPr>
        <w:t xml:space="preserve">eams Development (Pvt) Ltd </w:t>
      </w:r>
      <w:r>
        <w:rPr>
          <w:rFonts w:ascii="Times New Roman" w:hAnsi="Times New Roman" w:cs="Times New Roman"/>
          <w:sz w:val="24"/>
        </w:rPr>
        <w:t>v</w:t>
      </w:r>
      <w:r>
        <w:rPr>
          <w:rFonts w:ascii="Times New Roman" w:hAnsi="Times New Roman" w:cs="Times New Roman"/>
          <w:i/>
          <w:sz w:val="24"/>
        </w:rPr>
        <w:t xml:space="preserve"> Mabhena</w:t>
      </w:r>
      <w:r>
        <w:rPr>
          <w:rFonts w:ascii="Times New Roman" w:hAnsi="Times New Roman" w:cs="Times New Roman"/>
          <w:sz w:val="24"/>
        </w:rPr>
        <w:t xml:space="preserve"> HH 296-21 at p7 of the cyclostyled judgment, the court makes the following remarks regarding the principle of common mistake in contract law: </w:t>
      </w:r>
    </w:p>
    <w:p w:rsidR="00D76F28" w:rsidRDefault="007A6FDB">
      <w:pPr>
        <w:spacing w:after="0" w:line="240" w:lineRule="auto"/>
        <w:ind w:left="1440"/>
        <w:jc w:val="both"/>
        <w:rPr>
          <w:rFonts w:ascii="Times New Roman" w:hAnsi="Times New Roman" w:cs="Times New Roman"/>
          <w:szCs w:val="24"/>
        </w:rPr>
      </w:pPr>
      <w:r>
        <w:rPr>
          <w:rFonts w:ascii="Times New Roman" w:hAnsi="Times New Roman" w:cs="Times New Roman"/>
          <w:szCs w:val="24"/>
        </w:rPr>
        <w:t xml:space="preserve">“Common law recognises three types of mistake being common mistake, mutual   mistake and a unilateral mistake. A mistake is either one of fact or law. In </w:t>
      </w:r>
      <w:r>
        <w:rPr>
          <w:rFonts w:ascii="Times New Roman" w:hAnsi="Times New Roman" w:cs="Times New Roman"/>
          <w:i/>
          <w:szCs w:val="24"/>
        </w:rPr>
        <w:t xml:space="preserve">Contract General Principles, by </w:t>
      </w:r>
      <w:r>
        <w:rPr>
          <w:rFonts w:ascii="Times New Roman" w:hAnsi="Times New Roman" w:cs="Times New Roman"/>
          <w:szCs w:val="24"/>
        </w:rPr>
        <w:t>van Der Merwe</w:t>
      </w:r>
      <w:r>
        <w:rPr>
          <w:rFonts w:ascii="Times New Roman" w:hAnsi="Times New Roman" w:cs="Times New Roman"/>
          <w:i/>
          <w:szCs w:val="24"/>
        </w:rPr>
        <w:t>,</w:t>
      </w:r>
      <w:r>
        <w:rPr>
          <w:rFonts w:ascii="Times New Roman" w:hAnsi="Times New Roman" w:cs="Times New Roman"/>
          <w:szCs w:val="24"/>
        </w:rPr>
        <w:t xml:space="preserve"> 4 ed, 2012, at p 25 the authors describe a common mista</w:t>
      </w:r>
      <w:r>
        <w:rPr>
          <w:rFonts w:ascii="Times New Roman" w:hAnsi="Times New Roman" w:cs="Times New Roman"/>
          <w:szCs w:val="24"/>
        </w:rPr>
        <w:t xml:space="preserve">ke as follows, </w:t>
      </w:r>
    </w:p>
    <w:p w:rsidR="00D76F28" w:rsidRDefault="007A6FDB">
      <w:pPr>
        <w:spacing w:after="0" w:line="240" w:lineRule="auto"/>
        <w:ind w:left="1810"/>
        <w:jc w:val="both"/>
        <w:rPr>
          <w:rFonts w:ascii="Times New Roman" w:hAnsi="Times New Roman" w:cs="Times New Roman"/>
        </w:rPr>
      </w:pPr>
      <w:r>
        <w:rPr>
          <w:rFonts w:ascii="Times New Roman" w:hAnsi="Times New Roman" w:cs="Times New Roman"/>
        </w:rPr>
        <w:t xml:space="preserve">‘A common mistake is said to be present where both parties to an agreement labour under the same incorrect perception of a fact external to the minds of the parties. Such a mistake, of course, does not lead to dissensus; the parties are in </w:t>
      </w:r>
      <w:r>
        <w:rPr>
          <w:rFonts w:ascii="Times New Roman" w:hAnsi="Times New Roman" w:cs="Times New Roman"/>
        </w:rPr>
        <w:t>complete agreement although their consensus is based on an incorrect assumption or supposition</w:t>
      </w:r>
      <w:r>
        <w:rPr>
          <w:rFonts w:ascii="Times New Roman" w:hAnsi="Times New Roman" w:cs="Times New Roman"/>
          <w:lang w:val="en-US"/>
        </w:rPr>
        <w:t>’</w:t>
      </w:r>
      <w:r>
        <w:rPr>
          <w:rFonts w:ascii="Times New Roman" w:hAnsi="Times New Roman" w:cs="Times New Roman"/>
        </w:rPr>
        <w:t>”.</w:t>
      </w:r>
    </w:p>
    <w:p w:rsidR="00D76F28" w:rsidRDefault="007A6FDB">
      <w:pPr>
        <w:pStyle w:val="ListParagraph"/>
        <w:numPr>
          <w:ilvl w:val="0"/>
          <w:numId w:val="1"/>
        </w:numPr>
        <w:spacing w:before="240" w:line="360" w:lineRule="auto"/>
        <w:ind w:left="567"/>
        <w:jc w:val="both"/>
        <w:rPr>
          <w:rFonts w:ascii="Times New Roman" w:hAnsi="Times New Roman" w:cs="Times New Roman"/>
          <w:sz w:val="24"/>
        </w:rPr>
      </w:pPr>
      <w:r>
        <w:rPr>
          <w:rFonts w:ascii="Times New Roman" w:hAnsi="Times New Roman" w:cs="Times New Roman"/>
          <w:sz w:val="24"/>
        </w:rPr>
        <w:t xml:space="preserve">  From the papers before me, I note that a case has been made for me to hold that indeed, there was a mistake common to both parties in this matter. My reasons are as follows. In addition to the fact that the third respondent does not dispute the applicant</w:t>
      </w:r>
      <w:r>
        <w:rPr>
          <w:rFonts w:ascii="Times New Roman" w:hAnsi="Times New Roman" w:cs="Times New Roman"/>
          <w:sz w:val="24"/>
        </w:rPr>
        <w:t>’s averments that the names were being used interchangeably, the erroneous assumption or supposition is also manifest in the correspondences filed of record.  For instance, by a letter of 13 February 2008, the third respondent’s Secretary authored a letter</w:t>
      </w:r>
      <w:r>
        <w:rPr>
          <w:rFonts w:ascii="Times New Roman" w:hAnsi="Times New Roman" w:cs="Times New Roman"/>
          <w:sz w:val="24"/>
        </w:rPr>
        <w:t xml:space="preserve"> to the applicant, </w:t>
      </w:r>
      <w:r>
        <w:rPr>
          <w:rFonts w:ascii="Times New Roman" w:hAnsi="Times New Roman" w:cs="Times New Roman"/>
          <w:sz w:val="24"/>
        </w:rPr>
        <w:lastRenderedPageBreak/>
        <w:t>responding to an application that had been made by the applicant for the property and advising it that the application for land for primary school purposes had been finally approved. In the same letter, the applicant was advised that the</w:t>
      </w:r>
      <w:r>
        <w:rPr>
          <w:rFonts w:ascii="Times New Roman" w:hAnsi="Times New Roman" w:cs="Times New Roman"/>
          <w:sz w:val="24"/>
        </w:rPr>
        <w:t xml:space="preserve"> third respondent was still finalising the issue of the final subdivision plan, which would enable the third respondent’s office to process the relevant paperwork for the applicant. In that letter, the applicant was identified as Eunigod Private School.  </w:t>
      </w:r>
    </w:p>
    <w:p w:rsidR="00D76F28" w:rsidRDefault="007A6FDB">
      <w:pPr>
        <w:pStyle w:val="ListParagraph"/>
        <w:numPr>
          <w:ilvl w:val="0"/>
          <w:numId w:val="1"/>
        </w:numPr>
        <w:spacing w:line="360" w:lineRule="auto"/>
        <w:ind w:left="567" w:hanging="283"/>
        <w:jc w:val="both"/>
        <w:rPr>
          <w:rFonts w:ascii="Times New Roman" w:hAnsi="Times New Roman" w:cs="Times New Roman"/>
          <w:sz w:val="24"/>
        </w:rPr>
      </w:pPr>
      <w:r>
        <w:rPr>
          <w:rFonts w:ascii="Times New Roman" w:hAnsi="Times New Roman" w:cs="Times New Roman"/>
          <w:sz w:val="24"/>
        </w:rPr>
        <w:t>The lease agreement that followed and several payments made in respect of the property, which were receipted, were done in the name of the primary school. On 11 February 2013, a letter was written by the third respondent responding to the applicant’s reque</w:t>
      </w:r>
      <w:r>
        <w:rPr>
          <w:rFonts w:ascii="Times New Roman" w:hAnsi="Times New Roman" w:cs="Times New Roman"/>
          <w:sz w:val="24"/>
        </w:rPr>
        <w:t>st for additional land to construct teachers’ houses. The addressee in that letter was Eunigod Private School. A further letter was addressed to the third respondent on 9 November 2013 and referred to the applicant as Eunigod Private School. That letter re</w:t>
      </w:r>
      <w:r>
        <w:rPr>
          <w:rFonts w:ascii="Times New Roman" w:hAnsi="Times New Roman" w:cs="Times New Roman"/>
          <w:sz w:val="24"/>
        </w:rPr>
        <w:t>quested a waiver of the lease agreement. This letter was</w:t>
      </w:r>
      <w:r>
        <w:rPr>
          <w:rFonts w:ascii="Times New Roman" w:hAnsi="Times New Roman" w:cs="Times New Roman"/>
          <w:sz w:val="24"/>
          <w:lang w:val="en-US"/>
        </w:rPr>
        <w:t xml:space="preserve"> </w:t>
      </w:r>
      <w:r>
        <w:rPr>
          <w:rFonts w:ascii="Times New Roman" w:hAnsi="Times New Roman" w:cs="Times New Roman"/>
          <w:sz w:val="24"/>
        </w:rPr>
        <w:t>captioned ‘</w:t>
      </w:r>
      <w:r>
        <w:rPr>
          <w:rFonts w:ascii="Times New Roman" w:hAnsi="Times New Roman" w:cs="Times New Roman"/>
          <w:i/>
          <w:sz w:val="24"/>
        </w:rPr>
        <w:t>Request for a waiver of Euni</w:t>
      </w:r>
      <w:r>
        <w:rPr>
          <w:rFonts w:ascii="Times New Roman" w:hAnsi="Times New Roman" w:cs="Times New Roman"/>
          <w:i/>
          <w:sz w:val="24"/>
          <w:lang w:val="en-US"/>
        </w:rPr>
        <w:t>g</w:t>
      </w:r>
      <w:r>
        <w:rPr>
          <w:rFonts w:ascii="Times New Roman" w:hAnsi="Times New Roman" w:cs="Times New Roman"/>
          <w:i/>
          <w:sz w:val="24"/>
        </w:rPr>
        <w:t>od Private School Stand 2178 Umtali Township Lease from 2014 to indefinite</w:t>
      </w:r>
      <w:r>
        <w:rPr>
          <w:rFonts w:ascii="Times New Roman" w:hAnsi="Times New Roman" w:cs="Times New Roman"/>
          <w:sz w:val="24"/>
        </w:rPr>
        <w:t>’. It identified the lessee as Eunigod Private School, yet it was common cause that t</w:t>
      </w:r>
      <w:r>
        <w:rPr>
          <w:rFonts w:ascii="Times New Roman" w:hAnsi="Times New Roman" w:cs="Times New Roman"/>
          <w:sz w:val="24"/>
        </w:rPr>
        <w:t>he parties to the lease agreement were Eunigod Primary School and the third respondent. This letter was responded to on 18 December 2013, referring to the applicant Eunigod Private School and not Eunigod Primary School. Yet another letter was written to La</w:t>
      </w:r>
      <w:r>
        <w:rPr>
          <w:rFonts w:ascii="Times New Roman" w:hAnsi="Times New Roman" w:cs="Times New Roman"/>
          <w:sz w:val="24"/>
        </w:rPr>
        <w:t>farge on 19 November 2020, indicating that the third respondent’s ministry was</w:t>
      </w:r>
      <w:r>
        <w:rPr>
          <w:rFonts w:ascii="Times New Roman" w:hAnsi="Times New Roman" w:cs="Times New Roman"/>
          <w:sz w:val="24"/>
          <w:lang w:val="en-US"/>
        </w:rPr>
        <w:t xml:space="preserve"> </w:t>
      </w:r>
      <w:r>
        <w:rPr>
          <w:rFonts w:ascii="Times New Roman" w:hAnsi="Times New Roman" w:cs="Times New Roman"/>
          <w:sz w:val="24"/>
        </w:rPr>
        <w:t xml:space="preserve">in the process of issuing a new lease agreement in the primary school’s name. </w:t>
      </w:r>
    </w:p>
    <w:p w:rsidR="00D76F28" w:rsidRDefault="007A6FDB">
      <w:pPr>
        <w:pStyle w:val="ListParagraph"/>
        <w:numPr>
          <w:ilvl w:val="0"/>
          <w:numId w:val="1"/>
        </w:numPr>
        <w:spacing w:line="360" w:lineRule="auto"/>
        <w:ind w:hanging="436"/>
        <w:jc w:val="both"/>
        <w:rPr>
          <w:rFonts w:ascii="Times New Roman" w:hAnsi="Times New Roman" w:cs="Times New Roman"/>
          <w:sz w:val="24"/>
        </w:rPr>
      </w:pPr>
      <w:r>
        <w:rPr>
          <w:rFonts w:ascii="Times New Roman" w:hAnsi="Times New Roman" w:cs="Times New Roman"/>
          <w:sz w:val="24"/>
        </w:rPr>
        <w:t>From the above, it is clear to me that the applicant and the third respondent were using the names</w:t>
      </w:r>
      <w:r>
        <w:rPr>
          <w:rFonts w:ascii="Times New Roman" w:hAnsi="Times New Roman" w:cs="Times New Roman"/>
          <w:sz w:val="24"/>
        </w:rPr>
        <w:t xml:space="preserve"> Eunigod Private School and Eunigod Primary School interchangeably without any issue. It occurs to me that even though the parties were using the names interchangeably, there was no dissensus between them. The parties laboured under the common mistake that</w:t>
      </w:r>
      <w:r>
        <w:rPr>
          <w:rFonts w:ascii="Times New Roman" w:hAnsi="Times New Roman" w:cs="Times New Roman"/>
          <w:sz w:val="24"/>
        </w:rPr>
        <w:t xml:space="preserve"> the names Eunigod Private School and Eunigod Primary School referred to the same entity, and the interchange of names was a non-issue.  From the submissions on record, the parties were in complete agreement as to the terms and conditions of their agreemen</w:t>
      </w:r>
      <w:r>
        <w:rPr>
          <w:rFonts w:ascii="Times New Roman" w:hAnsi="Times New Roman" w:cs="Times New Roman"/>
          <w:sz w:val="24"/>
        </w:rPr>
        <w:t>t, although their consensus was based on the incorrect assumption or supposition that by interchanging the names Eunigod Private School and Eunigod Primary School in their engagements, they were referring to the same entity.</w:t>
      </w:r>
    </w:p>
    <w:p w:rsidR="00D76F28" w:rsidRDefault="007A6FDB">
      <w:pPr>
        <w:pStyle w:val="ListParagraph"/>
        <w:numPr>
          <w:ilvl w:val="0"/>
          <w:numId w:val="1"/>
        </w:numPr>
        <w:spacing w:line="360" w:lineRule="auto"/>
        <w:ind w:left="709" w:hanging="425"/>
        <w:jc w:val="both"/>
        <w:rPr>
          <w:rFonts w:ascii="Times New Roman" w:hAnsi="Times New Roman" w:cs="Times New Roman"/>
          <w:sz w:val="24"/>
        </w:rPr>
      </w:pPr>
      <w:r>
        <w:rPr>
          <w:rFonts w:ascii="Times New Roman" w:hAnsi="Times New Roman" w:cs="Times New Roman"/>
          <w:sz w:val="24"/>
        </w:rPr>
        <w:t xml:space="preserve">Given the above background and </w:t>
      </w:r>
      <w:r>
        <w:rPr>
          <w:rFonts w:ascii="Times New Roman" w:hAnsi="Times New Roman" w:cs="Times New Roman"/>
          <w:sz w:val="24"/>
        </w:rPr>
        <w:t xml:space="preserve">accepting as I must that there was a common mistake between the parties, then I have no reason to doubt that the applicant has a real and substantial interest in the property under discussion. The applicant is seeking to enforce </w:t>
      </w:r>
      <w:r>
        <w:rPr>
          <w:rFonts w:ascii="Times New Roman" w:hAnsi="Times New Roman" w:cs="Times New Roman"/>
          <w:sz w:val="24"/>
        </w:rPr>
        <w:lastRenderedPageBreak/>
        <w:t xml:space="preserve">an agreement of sale which </w:t>
      </w:r>
      <w:r>
        <w:rPr>
          <w:rFonts w:ascii="Times New Roman" w:hAnsi="Times New Roman" w:cs="Times New Roman"/>
          <w:sz w:val="24"/>
        </w:rPr>
        <w:t>was entered into between it and the third respondent. It can therefore be hardly disputed that the applicant is an interested party. To the extent that it stands to be affected by any decision made over the property by the third respondent, the applicant h</w:t>
      </w:r>
      <w:r>
        <w:rPr>
          <w:rFonts w:ascii="Times New Roman" w:hAnsi="Times New Roman" w:cs="Times New Roman"/>
          <w:sz w:val="24"/>
        </w:rPr>
        <w:t xml:space="preserve">as an interest thereto.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The first respondent, in motivating the preliminary point that the applicant does not have </w:t>
      </w:r>
      <w:r>
        <w:rPr>
          <w:rFonts w:ascii="Times New Roman" w:hAnsi="Times New Roman" w:cs="Times New Roman"/>
          <w:i/>
          <w:sz w:val="24"/>
        </w:rPr>
        <w:t>locus standi</w:t>
      </w:r>
      <w:r>
        <w:rPr>
          <w:rFonts w:ascii="Times New Roman" w:hAnsi="Times New Roman" w:cs="Times New Roman"/>
          <w:sz w:val="24"/>
        </w:rPr>
        <w:t xml:space="preserve"> in this dispute, has argued at length on the exact nature and precise terms of the agreement between the applicant and the thir</w:t>
      </w:r>
      <w:r>
        <w:rPr>
          <w:rFonts w:ascii="Times New Roman" w:hAnsi="Times New Roman" w:cs="Times New Roman"/>
          <w:sz w:val="24"/>
        </w:rPr>
        <w:t>d respondent. However, I am inclined to reject, as I hereby do, the merit of the stance taken by the first respondent. The starting point is to observe that the first respondent was not party to the agreement between the applicant and the third respondent.</w:t>
      </w:r>
      <w:r>
        <w:rPr>
          <w:rFonts w:ascii="Times New Roman" w:hAnsi="Times New Roman" w:cs="Times New Roman"/>
          <w:sz w:val="24"/>
        </w:rPr>
        <w:t xml:space="preserve"> The stern challenge the first respondent faces is that the parties privy to the contract accept those same facts as true.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On this basis, I find that the applicant has been able to establish that it has a real and substantial interest in this matter, and </w:t>
      </w:r>
      <w:r>
        <w:rPr>
          <w:rFonts w:ascii="Times New Roman" w:hAnsi="Times New Roman" w:cs="Times New Roman"/>
          <w:sz w:val="24"/>
        </w:rPr>
        <w:t xml:space="preserve">I accordingly dismiss the preliminary point that the applicant has no </w:t>
      </w:r>
      <w:r>
        <w:rPr>
          <w:rFonts w:ascii="Times New Roman" w:hAnsi="Times New Roman" w:cs="Times New Roman"/>
          <w:i/>
          <w:sz w:val="24"/>
        </w:rPr>
        <w:t>locus standi</w:t>
      </w:r>
      <w:r>
        <w:rPr>
          <w:rFonts w:ascii="Times New Roman" w:hAnsi="Times New Roman" w:cs="Times New Roman"/>
          <w:sz w:val="24"/>
        </w:rPr>
        <w:t xml:space="preserve">. </w:t>
      </w:r>
    </w:p>
    <w:p w:rsidR="00D76F28" w:rsidRDefault="007A6FDB">
      <w:pPr>
        <w:spacing w:line="360" w:lineRule="auto"/>
        <w:jc w:val="both"/>
        <w:rPr>
          <w:rFonts w:ascii="Times New Roman" w:hAnsi="Times New Roman" w:cs="Times New Roman"/>
          <w:b/>
          <w:sz w:val="24"/>
          <w:u w:val="single"/>
        </w:rPr>
      </w:pPr>
      <w:r>
        <w:rPr>
          <w:rFonts w:ascii="Times New Roman" w:hAnsi="Times New Roman" w:cs="Times New Roman"/>
          <w:b/>
          <w:sz w:val="24"/>
          <w:u w:val="single"/>
        </w:rPr>
        <w:t>WHETHER OR NOT THE APPLICANT IS ENTITLED TO THE RELIEF SOUGHT?</w:t>
      </w:r>
    </w:p>
    <w:p w:rsidR="00D76F28" w:rsidRDefault="007A6FDB">
      <w:pPr>
        <w:pStyle w:val="ListParagraph"/>
        <w:numPr>
          <w:ilvl w:val="0"/>
          <w:numId w:val="1"/>
        </w:numPr>
        <w:tabs>
          <w:tab w:val="left" w:pos="450"/>
        </w:tabs>
        <w:spacing w:after="200" w:line="360" w:lineRule="auto"/>
        <w:ind w:left="426"/>
        <w:jc w:val="both"/>
        <w:rPr>
          <w:rFonts w:ascii="Times New Roman" w:hAnsi="Times New Roman" w:cs="Times New Roman"/>
          <w:sz w:val="24"/>
          <w:szCs w:val="24"/>
        </w:rPr>
      </w:pPr>
      <w:r>
        <w:rPr>
          <w:rFonts w:ascii="Times New Roman" w:hAnsi="Times New Roman" w:cs="Times New Roman"/>
          <w:sz w:val="24"/>
          <w:szCs w:val="24"/>
        </w:rPr>
        <w:t>It is trite that a party seeking a declaratory order approaches the High Court in terms of section 14 of the</w:t>
      </w:r>
      <w:r>
        <w:rPr>
          <w:rFonts w:ascii="Times New Roman" w:hAnsi="Times New Roman" w:cs="Times New Roman"/>
          <w:sz w:val="24"/>
          <w:szCs w:val="24"/>
        </w:rPr>
        <w:t xml:space="preserve"> High Court Act [</w:t>
      </w:r>
      <w:r>
        <w:rPr>
          <w:rFonts w:ascii="Times New Roman" w:hAnsi="Times New Roman" w:cs="Times New Roman"/>
          <w:i/>
          <w:sz w:val="24"/>
          <w:szCs w:val="24"/>
        </w:rPr>
        <w:t>Chapter 7:06</w:t>
      </w:r>
      <w:r>
        <w:rPr>
          <w:rFonts w:ascii="Times New Roman" w:hAnsi="Times New Roman" w:cs="Times New Roman"/>
          <w:sz w:val="24"/>
          <w:szCs w:val="24"/>
        </w:rPr>
        <w:t>]. The said section provides that:-</w:t>
      </w:r>
    </w:p>
    <w:p w:rsidR="00D76F28" w:rsidRDefault="007A6FDB">
      <w:pPr>
        <w:pStyle w:val="ListParagraph"/>
        <w:tabs>
          <w:tab w:val="left" w:pos="450"/>
        </w:tabs>
        <w:spacing w:line="240" w:lineRule="auto"/>
        <w:ind w:left="1440"/>
        <w:jc w:val="both"/>
        <w:rPr>
          <w:rFonts w:ascii="Times New Roman" w:hAnsi="Times New Roman" w:cs="Times New Roman"/>
          <w:szCs w:val="24"/>
        </w:rPr>
      </w:pPr>
      <w:r>
        <w:rPr>
          <w:rFonts w:ascii="Times New Roman" w:hAnsi="Times New Roman" w:cs="Times New Roman"/>
          <w:szCs w:val="24"/>
        </w:rPr>
        <w:t>“14 High Court may determine future or contingent rights</w:t>
      </w:r>
    </w:p>
    <w:p w:rsidR="00D76F28" w:rsidRDefault="007A6FDB">
      <w:pPr>
        <w:pStyle w:val="ListParagraph"/>
        <w:tabs>
          <w:tab w:val="left" w:pos="450"/>
        </w:tabs>
        <w:spacing w:line="240" w:lineRule="auto"/>
        <w:ind w:left="1440"/>
        <w:jc w:val="both"/>
        <w:rPr>
          <w:rFonts w:ascii="Times New Roman" w:hAnsi="Times New Roman" w:cs="Times New Roman"/>
          <w:szCs w:val="24"/>
        </w:rPr>
      </w:pPr>
      <w:r>
        <w:rPr>
          <w:rFonts w:ascii="Times New Roman" w:hAnsi="Times New Roman" w:cs="Times New Roman"/>
          <w:szCs w:val="24"/>
        </w:rPr>
        <w:t>The High Court may, in its discretion, at the instance of any interested person, inquire into and determine any existing, future or co</w:t>
      </w:r>
      <w:r>
        <w:rPr>
          <w:rFonts w:ascii="Times New Roman" w:hAnsi="Times New Roman" w:cs="Times New Roman"/>
          <w:szCs w:val="24"/>
        </w:rPr>
        <w:t>ntingent right or obligation, notwithstanding that such person cannot claim any relief consequential upon such determination.”</w:t>
      </w:r>
    </w:p>
    <w:p w:rsidR="00D76F28" w:rsidRDefault="00D76F28">
      <w:pPr>
        <w:pStyle w:val="ListParagraph"/>
        <w:tabs>
          <w:tab w:val="left" w:pos="450"/>
        </w:tabs>
        <w:spacing w:line="240" w:lineRule="auto"/>
        <w:ind w:left="567"/>
        <w:jc w:val="both"/>
        <w:rPr>
          <w:rFonts w:ascii="Times New Roman" w:hAnsi="Times New Roman" w:cs="Times New Roman"/>
          <w:szCs w:val="24"/>
        </w:rPr>
      </w:pP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There is a respectable body of authority enunciating the circumstances under which the High Court can issue declaratory orders. The court’s approach involves a two-stage inquiry. In the first stage, the court inquires into whether or not the applicant is a</w:t>
      </w:r>
      <w:r>
        <w:rPr>
          <w:rFonts w:ascii="Times New Roman" w:hAnsi="Times New Roman" w:cs="Times New Roman"/>
          <w:sz w:val="24"/>
          <w:szCs w:val="24"/>
        </w:rPr>
        <w:t>n interested person in the sense of having a direct and substantial interest in the subject matter of the suit, which could be prejudicially affected by the judgment of the court. The second stage involves an inquiry into whether, notwithstanding a finding</w:t>
      </w:r>
      <w:r>
        <w:rPr>
          <w:rFonts w:ascii="Times New Roman" w:hAnsi="Times New Roman" w:cs="Times New Roman"/>
          <w:sz w:val="24"/>
          <w:szCs w:val="24"/>
        </w:rPr>
        <w:t xml:space="preserve"> in the first stage that the applicant has a direct interest, the particular case is a proper case for the court to exercise its discretion under s14: See </w:t>
      </w:r>
      <w:r>
        <w:rPr>
          <w:rFonts w:ascii="Times New Roman" w:hAnsi="Times New Roman" w:cs="Times New Roman"/>
          <w:i/>
          <w:sz w:val="24"/>
          <w:szCs w:val="24"/>
        </w:rPr>
        <w:t xml:space="preserve">Munn Publishing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Zimbabwe Broadcasting Corporation </w:t>
      </w:r>
      <w:r>
        <w:rPr>
          <w:rFonts w:ascii="Times New Roman" w:hAnsi="Times New Roman" w:cs="Times New Roman"/>
          <w:sz w:val="24"/>
          <w:szCs w:val="24"/>
        </w:rPr>
        <w:t xml:space="preserve">1994 (1) ZLR 337 (S) at 343F-344A; and </w:t>
      </w:r>
      <w:r>
        <w:rPr>
          <w:rFonts w:ascii="Times New Roman" w:hAnsi="Times New Roman" w:cs="Times New Roman"/>
          <w:i/>
          <w:sz w:val="24"/>
          <w:szCs w:val="24"/>
        </w:rPr>
        <w:t xml:space="preserve">Johnsen </w:t>
      </w:r>
      <w:r>
        <w:rPr>
          <w:rFonts w:ascii="Times New Roman" w:hAnsi="Times New Roman" w:cs="Times New Roman"/>
          <w:sz w:val="24"/>
          <w:szCs w:val="24"/>
        </w:rPr>
        <w:t xml:space="preserve">v </w:t>
      </w:r>
      <w:r>
        <w:rPr>
          <w:rFonts w:ascii="Times New Roman" w:hAnsi="Times New Roman" w:cs="Times New Roman"/>
          <w:i/>
          <w:sz w:val="24"/>
          <w:szCs w:val="24"/>
        </w:rPr>
        <w:t xml:space="preserve">Agricultural Finance Corp </w:t>
      </w:r>
      <w:r>
        <w:rPr>
          <w:rFonts w:ascii="Times New Roman" w:hAnsi="Times New Roman" w:cs="Times New Roman"/>
          <w:sz w:val="24"/>
          <w:szCs w:val="24"/>
        </w:rPr>
        <w:t xml:space="preserve">1995 (1) ZLR 65 (H).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lastRenderedPageBreak/>
        <w:t xml:space="preserve">  It is also a settled position that some tangible and justifiable advantage in relation to the applicant’s position with reference to an existing, future or contingent legal right or obligation </w:t>
      </w:r>
      <w:r>
        <w:rPr>
          <w:rFonts w:ascii="Times New Roman" w:hAnsi="Times New Roman" w:cs="Times New Roman"/>
          <w:sz w:val="24"/>
          <w:szCs w:val="24"/>
        </w:rPr>
        <w:t xml:space="preserve">must appear to flow from the grant of the declaratory order sought: See </w:t>
      </w:r>
      <w:r>
        <w:rPr>
          <w:rFonts w:ascii="Times New Roman" w:hAnsi="Times New Roman" w:cs="Times New Roman"/>
          <w:i/>
          <w:sz w:val="24"/>
          <w:szCs w:val="24"/>
        </w:rPr>
        <w:t xml:space="preserve">Nyashanu </w:t>
      </w:r>
      <w:r>
        <w:rPr>
          <w:rFonts w:ascii="Times New Roman" w:hAnsi="Times New Roman" w:cs="Times New Roman"/>
          <w:sz w:val="24"/>
          <w:szCs w:val="24"/>
        </w:rPr>
        <w:t>v</w:t>
      </w:r>
      <w:r>
        <w:rPr>
          <w:rFonts w:ascii="Times New Roman" w:hAnsi="Times New Roman" w:cs="Times New Roman"/>
          <w:i/>
          <w:sz w:val="24"/>
          <w:szCs w:val="24"/>
        </w:rPr>
        <w:t xml:space="preserve"> Netone Cellular (Pvt) Ltd</w:t>
      </w:r>
      <w:r>
        <w:rPr>
          <w:rFonts w:ascii="Times New Roman" w:hAnsi="Times New Roman" w:cs="Times New Roman"/>
          <w:sz w:val="24"/>
          <w:szCs w:val="24"/>
        </w:rPr>
        <w:t xml:space="preserve"> 2019 (1) ZLR 248 (H) at 252G-H.</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Earlier on in this judgment, I already found that the applicant has a direct and substantial interest in the matter</w:t>
      </w:r>
      <w:r>
        <w:rPr>
          <w:rFonts w:ascii="Times New Roman" w:hAnsi="Times New Roman" w:cs="Times New Roman"/>
          <w:sz w:val="24"/>
          <w:szCs w:val="24"/>
        </w:rPr>
        <w:t>, and the reasons stated therein in relation to the applicant’s interest settle the first stage of the inquiry herein. Additionally, the applicant’s interest relates to a real and not an imagined interest. It cannot be said to be too remote to be capable o</w:t>
      </w:r>
      <w:r>
        <w:rPr>
          <w:rFonts w:ascii="Times New Roman" w:hAnsi="Times New Roman" w:cs="Times New Roman"/>
          <w:sz w:val="24"/>
          <w:szCs w:val="24"/>
        </w:rPr>
        <w:t xml:space="preserve">f being genuinely protected by the law (See </w:t>
      </w:r>
      <w:r>
        <w:rPr>
          <w:rFonts w:ascii="Times New Roman" w:hAnsi="Times New Roman" w:cs="Times New Roman"/>
          <w:i/>
          <w:sz w:val="24"/>
          <w:szCs w:val="24"/>
        </w:rPr>
        <w:t xml:space="preserve">Kaseplan Grand Industries (Pvt) Ltd </w:t>
      </w:r>
      <w:r>
        <w:rPr>
          <w:rFonts w:ascii="Times New Roman" w:hAnsi="Times New Roman" w:cs="Times New Roman"/>
          <w:sz w:val="24"/>
          <w:szCs w:val="24"/>
        </w:rPr>
        <w:t>v</w:t>
      </w:r>
      <w:r>
        <w:rPr>
          <w:rFonts w:ascii="Times New Roman" w:hAnsi="Times New Roman" w:cs="Times New Roman"/>
          <w:i/>
          <w:sz w:val="24"/>
          <w:szCs w:val="24"/>
        </w:rPr>
        <w:t xml:space="preserve"> Teviot Trust (Pvt) Ltd </w:t>
      </w:r>
      <w:r>
        <w:rPr>
          <w:rFonts w:ascii="Times New Roman" w:hAnsi="Times New Roman" w:cs="Times New Roman"/>
          <w:sz w:val="24"/>
          <w:szCs w:val="24"/>
        </w:rPr>
        <w:t xml:space="preserve">HH221-24 at p5 of the cyclostyled judgment). On this basis, I am satisfied that the first requirement has been adequately met.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This brings me to the s</w:t>
      </w:r>
      <w:r>
        <w:rPr>
          <w:rFonts w:ascii="Times New Roman" w:hAnsi="Times New Roman" w:cs="Times New Roman"/>
          <w:sz w:val="24"/>
          <w:szCs w:val="24"/>
        </w:rPr>
        <w:t xml:space="preserve">econd stage of the inquiry. The applicant is seeking to enforce an oral agreement of sale which it entered into with the third respondent. The second stage of the inquiry would therefore enjoin me to further examine the law of contract and its application </w:t>
      </w:r>
      <w:r>
        <w:rPr>
          <w:rFonts w:ascii="Times New Roman" w:hAnsi="Times New Roman" w:cs="Times New Roman"/>
          <w:sz w:val="24"/>
          <w:szCs w:val="24"/>
        </w:rPr>
        <w:t xml:space="preserve">to the facts of this case. According to the learned authors SWJ van der Merwe, LF van Huyssteen, MF B Reinecke and GF Lubbe in their book, </w:t>
      </w:r>
      <w:r>
        <w:rPr>
          <w:rFonts w:ascii="Times New Roman" w:hAnsi="Times New Roman" w:cs="Times New Roman"/>
          <w:i/>
          <w:iCs/>
          <w:sz w:val="24"/>
          <w:szCs w:val="24"/>
        </w:rPr>
        <w:t>Contract General Principles</w:t>
      </w:r>
      <w:r>
        <w:rPr>
          <w:rFonts w:ascii="Times New Roman" w:hAnsi="Times New Roman" w:cs="Times New Roman"/>
          <w:sz w:val="24"/>
          <w:szCs w:val="24"/>
        </w:rPr>
        <w:t xml:space="preserve">, 4 ed, Juta at p 46: </w:t>
      </w:r>
    </w:p>
    <w:p w:rsidR="00D76F28" w:rsidRDefault="007A6FDB">
      <w:pPr>
        <w:pStyle w:val="ListParagraph"/>
        <w:tabs>
          <w:tab w:val="left" w:pos="450"/>
        </w:tabs>
        <w:spacing w:after="200" w:line="240" w:lineRule="auto"/>
        <w:ind w:left="1440"/>
        <w:jc w:val="both"/>
        <w:rPr>
          <w:rFonts w:ascii="Times New Roman" w:hAnsi="Times New Roman" w:cs="Times New Roman"/>
          <w:szCs w:val="24"/>
        </w:rPr>
      </w:pPr>
      <w:r>
        <w:rPr>
          <w:rFonts w:ascii="Times New Roman" w:hAnsi="Times New Roman" w:cs="Times New Roman"/>
          <w:szCs w:val="24"/>
        </w:rPr>
        <w:t>“In its simplest form, a contract consists of an invitation to cons</w:t>
      </w:r>
      <w:r>
        <w:rPr>
          <w:rFonts w:ascii="Times New Roman" w:hAnsi="Times New Roman" w:cs="Times New Roman"/>
          <w:szCs w:val="24"/>
        </w:rPr>
        <w:t>ent to the creation of obligations between two or more parties (called an ‘offer’) and an affirmative response (called and ‘acceptance’). The rules regarding offer and acceptance must accordingly be understood in the light of the underlying premise, namely</w:t>
      </w:r>
      <w:r>
        <w:rPr>
          <w:rFonts w:ascii="Times New Roman" w:hAnsi="Times New Roman" w:cs="Times New Roman"/>
          <w:szCs w:val="24"/>
        </w:rPr>
        <w:t xml:space="preserve"> that a contract entails the formation of a common intention by the contractants through an exchange of declarations which express their respective intentions. Since a contract is a juridical act, the agreement of the parties must of course be declared out</w:t>
      </w:r>
      <w:r>
        <w:rPr>
          <w:rFonts w:ascii="Times New Roman" w:hAnsi="Times New Roman" w:cs="Times New Roman"/>
          <w:szCs w:val="24"/>
        </w:rPr>
        <w:t>wardly in order to be legally relevant.”</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we are dealing with an oral contract. In </w:t>
      </w:r>
      <w:r>
        <w:rPr>
          <w:rFonts w:ascii="Times New Roman" w:hAnsi="Times New Roman" w:cs="Times New Roman"/>
          <w:i/>
          <w:sz w:val="24"/>
          <w:szCs w:val="24"/>
        </w:rPr>
        <w:t xml:space="preserve">Delta Beverages (Pvt) Ltd </w:t>
      </w:r>
      <w:r>
        <w:rPr>
          <w:rFonts w:ascii="Times New Roman" w:hAnsi="Times New Roman" w:cs="Times New Roman"/>
          <w:sz w:val="24"/>
          <w:szCs w:val="24"/>
        </w:rPr>
        <w:t>v</w:t>
      </w:r>
      <w:r>
        <w:rPr>
          <w:rFonts w:ascii="Times New Roman" w:hAnsi="Times New Roman" w:cs="Times New Roman"/>
          <w:i/>
          <w:sz w:val="24"/>
          <w:szCs w:val="24"/>
        </w:rPr>
        <w:t xml:space="preserve"> Pyvate Investments (Pvt) Ltd and Anor</w:t>
      </w:r>
      <w:r>
        <w:rPr>
          <w:rFonts w:ascii="Times New Roman" w:hAnsi="Times New Roman" w:cs="Times New Roman"/>
          <w:sz w:val="24"/>
          <w:szCs w:val="24"/>
        </w:rPr>
        <w:t xml:space="preserve"> HH135-18, </w:t>
      </w:r>
      <w:r>
        <w:rPr>
          <w:rFonts w:ascii="Times New Roman" w:eastAsia="Calibri" w:hAnsi="Times New Roman" w:cs="Times New Roman"/>
          <w:bCs/>
          <w:smallCaps/>
          <w:sz w:val="24"/>
          <w:szCs w:val="24"/>
          <w:lang w:val="en-GB"/>
        </w:rPr>
        <w:t>Dube</w:t>
      </w:r>
      <w:r>
        <w:rPr>
          <w:rFonts w:ascii="Times New Roman" w:hAnsi="Times New Roman" w:cs="Times New Roman"/>
          <w:sz w:val="24"/>
          <w:szCs w:val="24"/>
        </w:rPr>
        <w:t xml:space="preserve"> J (as she then was) noted that:</w:t>
      </w:r>
    </w:p>
    <w:p w:rsidR="00D76F28" w:rsidRDefault="007A6FDB">
      <w:pPr>
        <w:autoSpaceDE w:val="0"/>
        <w:autoSpaceDN w:val="0"/>
        <w:adjustRightInd w:val="0"/>
        <w:spacing w:after="0" w:line="240" w:lineRule="auto"/>
        <w:ind w:left="1440"/>
        <w:jc w:val="both"/>
        <w:rPr>
          <w:rFonts w:ascii="Calibri" w:hAnsi="Calibri" w:cs="Calibri"/>
          <w:color w:val="000000"/>
          <w:sz w:val="20"/>
        </w:rPr>
      </w:pPr>
      <w:r>
        <w:rPr>
          <w:rFonts w:ascii="Times New Roman" w:hAnsi="Times New Roman" w:cs="Times New Roman"/>
          <w:color w:val="000000"/>
          <w:szCs w:val="23"/>
        </w:rPr>
        <w:t>“Generally, oral contracts are enforceable and do gi</w:t>
      </w:r>
      <w:r>
        <w:rPr>
          <w:rFonts w:ascii="Times New Roman" w:hAnsi="Times New Roman" w:cs="Times New Roman"/>
          <w:color w:val="000000"/>
          <w:szCs w:val="23"/>
        </w:rPr>
        <w:t>ve rise to valid contractual relationships. The oral contract, sometimes referred to as the invisible contract, is one of the most difficult to prove. What makes this so is the lack of hard evidence of the existence of the contract. The essentials of a ver</w:t>
      </w:r>
      <w:r>
        <w:rPr>
          <w:rFonts w:ascii="Times New Roman" w:hAnsi="Times New Roman" w:cs="Times New Roman"/>
          <w:color w:val="000000"/>
          <w:szCs w:val="23"/>
        </w:rPr>
        <w:t>bal contract are the same as those of a written contract. There must be offer and acceptance of the contract, existence of consideration, the parties must have the capacity to enter into the contract and the parties must intent to enter into the contract a</w:t>
      </w:r>
      <w:r>
        <w:rPr>
          <w:rFonts w:ascii="Times New Roman" w:hAnsi="Times New Roman" w:cs="Times New Roman"/>
          <w:color w:val="000000"/>
          <w:szCs w:val="23"/>
        </w:rPr>
        <w:t>nd create a binding legal relationship. The courts will not endorse an oral agreement were any of the essential elements of a valid contract have not been proved. The terms of the oral contract must be proved and there must be agreement and understanding o</w:t>
      </w:r>
      <w:r>
        <w:rPr>
          <w:rFonts w:ascii="Times New Roman" w:hAnsi="Times New Roman" w:cs="Times New Roman"/>
          <w:color w:val="000000"/>
          <w:szCs w:val="23"/>
        </w:rPr>
        <w:t xml:space="preserve">f the terms of the contract by the parties. An oral contract that meets all the requirements of a contract is binding on the </w:t>
      </w:r>
      <w:r>
        <w:rPr>
          <w:rFonts w:ascii="Times New Roman" w:hAnsi="Times New Roman" w:cs="Times New Roman"/>
          <w:szCs w:val="23"/>
        </w:rPr>
        <w:t>parties and gives rise to a legally enforceable relationship…..” (</w:t>
      </w:r>
      <w:r>
        <w:rPr>
          <w:rFonts w:ascii="Times New Roman" w:hAnsi="Times New Roman" w:cs="Times New Roman"/>
          <w:sz w:val="24"/>
          <w:szCs w:val="23"/>
        </w:rPr>
        <w:t>at p 4-5 of the cyclostyled judgment</w:t>
      </w:r>
      <w:r>
        <w:rPr>
          <w:rFonts w:ascii="Times New Roman" w:hAnsi="Times New Roman" w:cs="Times New Roman"/>
          <w:szCs w:val="23"/>
        </w:rPr>
        <w:t>)</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lastRenderedPageBreak/>
        <w:t>It is my view that in the present case, by dint of the third respondent’s acceptance of the facts on record, there can really be no debate that there was indeed a valid oral agreement between the applicant and the third respondent. Be that as it may, besid</w:t>
      </w:r>
      <w:r>
        <w:rPr>
          <w:rFonts w:ascii="Times New Roman" w:hAnsi="Times New Roman" w:cs="Times New Roman"/>
          <w:sz w:val="24"/>
          <w:szCs w:val="24"/>
        </w:rPr>
        <w:t xml:space="preserve">es stating the purchase price for the property, the full terms of that oral agreement have not been disclosed. Yet, on the authority of </w:t>
      </w:r>
      <w:r>
        <w:rPr>
          <w:rFonts w:ascii="Times New Roman" w:hAnsi="Times New Roman" w:cs="Times New Roman"/>
          <w:i/>
          <w:sz w:val="24"/>
          <w:szCs w:val="24"/>
        </w:rPr>
        <w:t>Delta Beverages supra</w:t>
      </w:r>
      <w:r>
        <w:rPr>
          <w:rFonts w:ascii="Times New Roman" w:hAnsi="Times New Roman" w:cs="Times New Roman"/>
          <w:sz w:val="24"/>
          <w:szCs w:val="24"/>
        </w:rPr>
        <w:t xml:space="preserve">, it is necessary for the terms of the oral agreement to be proved.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For instance, we are not told </w:t>
      </w:r>
      <w:r>
        <w:rPr>
          <w:rFonts w:ascii="Times New Roman" w:hAnsi="Times New Roman" w:cs="Times New Roman"/>
          <w:sz w:val="24"/>
          <w:szCs w:val="24"/>
        </w:rPr>
        <w:t>whether the contract had a duration. We are not told of the repayment period, or whether it was open ended or specific, more so in light of the fact that in fulfil</w:t>
      </w:r>
      <w:r>
        <w:rPr>
          <w:rFonts w:ascii="Times New Roman" w:hAnsi="Times New Roman" w:cs="Times New Roman"/>
          <w:sz w:val="24"/>
          <w:szCs w:val="24"/>
          <w:lang w:val="en-US"/>
        </w:rPr>
        <w:t>l</w:t>
      </w:r>
      <w:r>
        <w:rPr>
          <w:rFonts w:ascii="Times New Roman" w:hAnsi="Times New Roman" w:cs="Times New Roman"/>
          <w:sz w:val="24"/>
          <w:szCs w:val="24"/>
        </w:rPr>
        <w:t xml:space="preserve">ment of the purchase price, the applicant made part payments towards the property from 2010 </w:t>
      </w:r>
      <w:r>
        <w:rPr>
          <w:rFonts w:ascii="Times New Roman" w:hAnsi="Times New Roman" w:cs="Times New Roman"/>
          <w:sz w:val="24"/>
          <w:szCs w:val="24"/>
        </w:rPr>
        <w:t xml:space="preserve">to 2012. It then paid off the rest of the purchase price about eight years later in 2020. The facts on record are not clear as to whether or not the applicant performed its obligations in terms of the oral agreement. I make these observations alive to the </w:t>
      </w:r>
      <w:r>
        <w:rPr>
          <w:rFonts w:ascii="Times New Roman" w:hAnsi="Times New Roman" w:cs="Times New Roman"/>
          <w:sz w:val="24"/>
          <w:szCs w:val="24"/>
        </w:rPr>
        <w:t>fact that to support its application for a declaratory order, the applicant argues that its ownership was confirmed by a letter dated 19 November 2020 addressed to Lafarge and authored by the third respondent. It further argues that the said letter acknowl</w:t>
      </w:r>
      <w:r>
        <w:rPr>
          <w:rFonts w:ascii="Times New Roman" w:hAnsi="Times New Roman" w:cs="Times New Roman"/>
          <w:sz w:val="24"/>
          <w:szCs w:val="24"/>
        </w:rPr>
        <w:t xml:space="preserve">edges that the applicant had paid the full purchase price for the property and that the third respondent was now in the process of issuing the applicant with a title deed.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It is clear from the contents of the letter that it does not speak to any of the ap</w:t>
      </w:r>
      <w:r>
        <w:rPr>
          <w:rFonts w:ascii="Times New Roman" w:hAnsi="Times New Roman" w:cs="Times New Roman"/>
          <w:sz w:val="24"/>
          <w:szCs w:val="24"/>
        </w:rPr>
        <w:t>plicant’s averments. While it is titled ‘Confirmation of Ownership of Stand 2178 Mutare Township’, the letter does not in any way confirm that the applicant is the owner of the property. Neither does it speak to the payment of the full purchase price as th</w:t>
      </w:r>
      <w:r>
        <w:rPr>
          <w:rFonts w:ascii="Times New Roman" w:hAnsi="Times New Roman" w:cs="Times New Roman"/>
          <w:sz w:val="24"/>
          <w:szCs w:val="24"/>
        </w:rPr>
        <w:t xml:space="preserve">e applicant alleges, nor does it state that the Ministry is now in the process of issuing the applicant a title deed. The letter only goes as far as confirming that the third respondent’s Ministry is in the process of issuing a new lease agreement for the </w:t>
      </w:r>
      <w:r>
        <w:rPr>
          <w:rFonts w:ascii="Times New Roman" w:hAnsi="Times New Roman" w:cs="Times New Roman"/>
          <w:sz w:val="24"/>
          <w:szCs w:val="24"/>
        </w:rPr>
        <w:t xml:space="preserve">property in the name of the primary school. That letter cannot, by any stretch of imagination, be relied on to support the applicant’s ownership of the stand or the status of the agreement between the parties.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I note that no evidence has been placed befor</w:t>
      </w:r>
      <w:r>
        <w:rPr>
          <w:rFonts w:ascii="Times New Roman" w:hAnsi="Times New Roman" w:cs="Times New Roman"/>
          <w:sz w:val="24"/>
          <w:szCs w:val="24"/>
        </w:rPr>
        <w:t>e me to suggest that the agreement between the applicant and the third respondent was such that once the full purchase price was paid, the applicant would become the owner of the property. On the contrary, it appears to me from the correspondences on recor</w:t>
      </w:r>
      <w:r>
        <w:rPr>
          <w:rFonts w:ascii="Times New Roman" w:hAnsi="Times New Roman" w:cs="Times New Roman"/>
          <w:sz w:val="24"/>
          <w:szCs w:val="24"/>
        </w:rPr>
        <w:t xml:space="preserve">d that, in addition to paying the full purchase price, there were other conditions which had to be fulfilled in the performance of the contract. My conclusions are based on the following observations.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lastRenderedPageBreak/>
        <w:t>I have already alluded to the letter by the third resp</w:t>
      </w:r>
      <w:r>
        <w:rPr>
          <w:rFonts w:ascii="Times New Roman" w:hAnsi="Times New Roman" w:cs="Times New Roman"/>
          <w:sz w:val="24"/>
          <w:szCs w:val="24"/>
        </w:rPr>
        <w:t>ondent dated 18 December 2013 in response to the applicant’s request for early title. The applicant relies on this letter to prove the existence of the oral agreement of sale between itself and the third respondent.  The contents of this letter warrant com</w:t>
      </w:r>
      <w:r>
        <w:rPr>
          <w:rFonts w:ascii="Times New Roman" w:hAnsi="Times New Roman" w:cs="Times New Roman"/>
          <w:sz w:val="24"/>
          <w:szCs w:val="24"/>
        </w:rPr>
        <w:t>ment. The letter speaks to what I am of the view, were critical conditions to ‘perfect’ the applicant’s ownership of the property. Firstly, the applicant had to provide a letter from a financial institution. Secondly, the applicant had to pay the balance o</w:t>
      </w:r>
      <w:r>
        <w:rPr>
          <w:rFonts w:ascii="Times New Roman" w:hAnsi="Times New Roman" w:cs="Times New Roman"/>
          <w:sz w:val="24"/>
          <w:szCs w:val="24"/>
        </w:rPr>
        <w:t xml:space="preserve">f the purchase price, which stood at US$236 376.00, and thirdly, the property had to be title surveyed.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I find further support in my conclusions that there were other additional conditions aside from the payment of the purchase price in the letter by the </w:t>
      </w:r>
      <w:r>
        <w:rPr>
          <w:rFonts w:ascii="Times New Roman" w:hAnsi="Times New Roman" w:cs="Times New Roman"/>
          <w:sz w:val="24"/>
          <w:szCs w:val="24"/>
        </w:rPr>
        <w:t xml:space="preserve">applicant dated 15 April 2020. The letter is another request for an early title to be given to the applicant. The letter speaks to the </w:t>
      </w:r>
      <w:r>
        <w:rPr>
          <w:rFonts w:ascii="Times New Roman" w:hAnsi="Times New Roman" w:cs="Times New Roman"/>
          <w:sz w:val="24"/>
          <w:szCs w:val="24"/>
          <w:lang w:val="en-US"/>
        </w:rPr>
        <w:t>fulfillment</w:t>
      </w:r>
      <w:r>
        <w:rPr>
          <w:rFonts w:ascii="Times New Roman" w:hAnsi="Times New Roman" w:cs="Times New Roman"/>
          <w:sz w:val="24"/>
          <w:szCs w:val="24"/>
        </w:rPr>
        <w:t xml:space="preserve"> of the requirements stated in the 18 December 2013 letter, namely the payment of the full purchase price and </w:t>
      </w:r>
      <w:r>
        <w:rPr>
          <w:rFonts w:ascii="Times New Roman" w:hAnsi="Times New Roman" w:cs="Times New Roman"/>
          <w:sz w:val="24"/>
          <w:szCs w:val="24"/>
        </w:rPr>
        <w:t>identification of a local bank. It also speaks to the identification of an interested international investor to sponsor the applicant. On the basis of the payment, the applicant requests the third respondent to process an ‘early’ title.</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This leads me to co</w:t>
      </w:r>
      <w:r>
        <w:rPr>
          <w:rFonts w:ascii="Times New Roman" w:hAnsi="Times New Roman" w:cs="Times New Roman"/>
          <w:sz w:val="24"/>
          <w:szCs w:val="24"/>
        </w:rPr>
        <w:t>nclude that the payment of the full purchase price was not the ‘be all and end all’ in this transaction. There was more. It seems to me that despite the letters placed on record by the applicant pointing towards the need for the applicant to meet other obl</w:t>
      </w:r>
      <w:r>
        <w:rPr>
          <w:rFonts w:ascii="Times New Roman" w:hAnsi="Times New Roman" w:cs="Times New Roman"/>
          <w:sz w:val="24"/>
          <w:szCs w:val="24"/>
        </w:rPr>
        <w:t>igations in addition to paying the full purchase price for the title to pass from the third respondent to it, the applicant has not fully disclosed those conditions. It also occurs to me that the applicant has not provided evidence to support that it has f</w:t>
      </w:r>
      <w:r>
        <w:rPr>
          <w:rFonts w:ascii="Times New Roman" w:hAnsi="Times New Roman" w:cs="Times New Roman"/>
          <w:sz w:val="24"/>
          <w:szCs w:val="24"/>
        </w:rPr>
        <w:t xml:space="preserve">ully met the conditions agreed on with the third respondent.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In my view, to the extent that the applicant has not sufficiently shown this court that it has fully performed its obligations, the court cannot issue a declaratory order. Without being furnishe</w:t>
      </w:r>
      <w:r>
        <w:rPr>
          <w:rFonts w:ascii="Times New Roman" w:hAnsi="Times New Roman" w:cs="Times New Roman"/>
          <w:sz w:val="24"/>
          <w:szCs w:val="24"/>
        </w:rPr>
        <w:t>d with adequate information, the court cannot grope in the dark and blindly conclude that the applicant fulfilled its side of the bargain in accordance with the contract entitling it to the relief it seeks. There is the potential to assist the applicant to</w:t>
      </w:r>
      <w:r>
        <w:rPr>
          <w:rFonts w:ascii="Times New Roman" w:hAnsi="Times New Roman" w:cs="Times New Roman"/>
          <w:sz w:val="24"/>
          <w:szCs w:val="24"/>
        </w:rPr>
        <w:t xml:space="preserve"> sidestep the obligations of the contract that it concluded with the third respondent.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t>On the basis of the foregoing, I am constrained to issue the declaratory relief as prayed for by the applicant. I am not satisfied, on the circumstances of this case, t</w:t>
      </w:r>
      <w:r>
        <w:rPr>
          <w:rFonts w:ascii="Times New Roman" w:hAnsi="Times New Roman" w:cs="Times New Roman"/>
          <w:sz w:val="24"/>
          <w:szCs w:val="24"/>
        </w:rPr>
        <w:t>hat it is an appropriate case in which the court should exercise its discretion in terms of s14 of the High Court Act [</w:t>
      </w:r>
      <w:r>
        <w:rPr>
          <w:rFonts w:ascii="Times New Roman" w:hAnsi="Times New Roman" w:cs="Times New Roman"/>
          <w:i/>
          <w:sz w:val="24"/>
          <w:szCs w:val="24"/>
        </w:rPr>
        <w:t>Chapter 7:06</w:t>
      </w:r>
      <w:r>
        <w:rPr>
          <w:rFonts w:ascii="Times New Roman" w:hAnsi="Times New Roman" w:cs="Times New Roman"/>
          <w:sz w:val="24"/>
          <w:szCs w:val="24"/>
        </w:rPr>
        <w:t xml:space="preserve">]. </w:t>
      </w:r>
    </w:p>
    <w:p w:rsidR="00D76F28" w:rsidRDefault="007A6FDB">
      <w:pPr>
        <w:pStyle w:val="ListParagraph"/>
        <w:numPr>
          <w:ilvl w:val="0"/>
          <w:numId w:val="1"/>
        </w:numPr>
        <w:tabs>
          <w:tab w:val="left" w:pos="450"/>
        </w:tabs>
        <w:spacing w:after="200" w:line="360" w:lineRule="auto"/>
        <w:ind w:hanging="436"/>
        <w:jc w:val="both"/>
        <w:rPr>
          <w:rFonts w:ascii="Times New Roman" w:hAnsi="Times New Roman" w:cs="Times New Roman"/>
          <w:sz w:val="24"/>
          <w:szCs w:val="24"/>
        </w:rPr>
      </w:pPr>
      <w:r>
        <w:rPr>
          <w:rFonts w:ascii="Times New Roman" w:hAnsi="Times New Roman" w:cs="Times New Roman"/>
          <w:sz w:val="24"/>
          <w:szCs w:val="24"/>
        </w:rPr>
        <w:lastRenderedPageBreak/>
        <w:t xml:space="preserve">In relation to costs, it is trite that costs follow the outcome. </w:t>
      </w:r>
    </w:p>
    <w:p w:rsidR="00D76F28" w:rsidRDefault="00D76F28">
      <w:pPr>
        <w:pStyle w:val="ListParagraph"/>
        <w:tabs>
          <w:tab w:val="left" w:pos="450"/>
        </w:tabs>
        <w:spacing w:after="200" w:line="360" w:lineRule="auto"/>
        <w:jc w:val="both"/>
        <w:rPr>
          <w:rFonts w:ascii="Times New Roman" w:hAnsi="Times New Roman" w:cs="Times New Roman"/>
          <w:b/>
          <w:sz w:val="24"/>
          <w:szCs w:val="24"/>
          <w:u w:val="single"/>
        </w:rPr>
      </w:pPr>
    </w:p>
    <w:p w:rsidR="00D76F28" w:rsidRDefault="007A6FDB">
      <w:pPr>
        <w:pStyle w:val="ListParagraph"/>
        <w:tabs>
          <w:tab w:val="left" w:pos="450"/>
        </w:tabs>
        <w:spacing w:after="20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DISPOSITION </w:t>
      </w:r>
    </w:p>
    <w:p w:rsidR="00D76F28" w:rsidRDefault="007A6FDB">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Consequently, it is ordered that:</w:t>
      </w:r>
    </w:p>
    <w:p w:rsidR="00D76F28" w:rsidRDefault="007A6FDB">
      <w:pPr>
        <w:pStyle w:val="ListParagraph"/>
        <w:numPr>
          <w:ilvl w:val="0"/>
          <w:numId w:val="4"/>
        </w:numPr>
        <w:spacing w:line="360" w:lineRule="auto"/>
        <w:jc w:val="right"/>
        <w:rPr>
          <w:rFonts w:ascii="Times New Roman" w:hAnsi="Times New Roman" w:cs="Times New Roman"/>
          <w:sz w:val="24"/>
        </w:rPr>
      </w:pPr>
      <w:r>
        <w:rPr>
          <w:rFonts w:ascii="Times New Roman" w:hAnsi="Times New Roman" w:cs="Times New Roman"/>
          <w:sz w:val="24"/>
        </w:rPr>
        <w:t xml:space="preserve">The application for a declaratory order be and is hereby dismissed with costs. </w:t>
      </w:r>
    </w:p>
    <w:p w:rsidR="00D76F28" w:rsidRDefault="00D76F28">
      <w:pPr>
        <w:spacing w:after="0" w:line="240" w:lineRule="auto"/>
        <w:jc w:val="both"/>
        <w:rPr>
          <w:rFonts w:ascii="Times New Roman" w:hAnsi="Times New Roman" w:cs="Times New Roman"/>
          <w:b/>
          <w:bCs/>
          <w:smallCaps/>
          <w:sz w:val="24"/>
          <w:szCs w:val="24"/>
        </w:rPr>
      </w:pP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Mushure J</w:t>
      </w:r>
      <w:r>
        <w:rPr>
          <w:rFonts w:ascii="Times New Roman" w:hAnsi="Times New Roman" w:cs="Times New Roman"/>
          <w:sz w:val="24"/>
          <w:szCs w:val="24"/>
        </w:rPr>
        <w:t>: ..........................................................................</w:t>
      </w:r>
    </w:p>
    <w:p w:rsidR="00D76F28" w:rsidRDefault="00D76F28">
      <w:pPr>
        <w:spacing w:line="360" w:lineRule="auto"/>
        <w:jc w:val="both"/>
        <w:rPr>
          <w:rFonts w:ascii="Times New Roman" w:hAnsi="Times New Roman" w:cs="Times New Roman"/>
          <w:sz w:val="24"/>
        </w:rPr>
      </w:pP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Tendai Biti Law</w:t>
      </w:r>
      <w:r>
        <w:rPr>
          <w:rFonts w:ascii="Times New Roman" w:hAnsi="Times New Roman" w:cs="Times New Roman"/>
          <w:sz w:val="24"/>
          <w:szCs w:val="24"/>
        </w:rPr>
        <w:t xml:space="preserve">, applicant’s legal practitioners </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Tandiri Law Chambers</w:t>
      </w:r>
      <w:r>
        <w:rPr>
          <w:rFonts w:ascii="Times New Roman" w:hAnsi="Times New Roman" w:cs="Times New Roman"/>
          <w:sz w:val="24"/>
          <w:szCs w:val="24"/>
        </w:rPr>
        <w:t xml:space="preserve">, first and second respondents’ legal practitioners </w:t>
      </w:r>
    </w:p>
    <w:p w:rsidR="00D76F28" w:rsidRDefault="007A6F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w:t>
      </w:r>
      <w:r>
        <w:rPr>
          <w:rFonts w:ascii="Times New Roman" w:hAnsi="Times New Roman" w:cs="Times New Roman"/>
          <w:sz w:val="24"/>
          <w:szCs w:val="24"/>
        </w:rPr>
        <w:t xml:space="preserve">, third respondent’s legal practitioners </w:t>
      </w:r>
    </w:p>
    <w:sectPr w:rsidR="00D76F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FDB" w:rsidRDefault="007A6FDB">
      <w:pPr>
        <w:spacing w:line="240" w:lineRule="auto"/>
      </w:pPr>
      <w:r>
        <w:separator/>
      </w:r>
    </w:p>
  </w:endnote>
  <w:endnote w:type="continuationSeparator" w:id="0">
    <w:p w:rsidR="007A6FDB" w:rsidRDefault="007A6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FDB" w:rsidRDefault="007A6FDB">
      <w:pPr>
        <w:spacing w:after="0"/>
      </w:pPr>
      <w:r>
        <w:separator/>
      </w:r>
    </w:p>
  </w:footnote>
  <w:footnote w:type="continuationSeparator" w:id="0">
    <w:p w:rsidR="007A6FDB" w:rsidRDefault="007A6FD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432582"/>
    </w:sdtPr>
    <w:sdtEndPr/>
    <w:sdtContent>
      <w:p w:rsidR="00D76F28" w:rsidRDefault="007A6FDB">
        <w:pPr>
          <w:pStyle w:val="Header"/>
          <w:jc w:val="right"/>
        </w:pPr>
        <w:r>
          <w:fldChar w:fldCharType="begin"/>
        </w:r>
        <w:r>
          <w:instrText xml:space="preserve"> PAGE   \* MERGEFORMAT </w:instrText>
        </w:r>
        <w:r>
          <w:fldChar w:fldCharType="separate"/>
        </w:r>
        <w:r w:rsidR="009B1CBB">
          <w:rPr>
            <w:noProof/>
          </w:rPr>
          <w:t>1</w:t>
        </w:r>
        <w:r>
          <w:fldChar w:fldCharType="end"/>
        </w:r>
      </w:p>
      <w:p w:rsidR="00D76F28" w:rsidRDefault="007A6FDB">
        <w:pPr>
          <w:pStyle w:val="Header"/>
          <w:wordWrap w:val="0"/>
          <w:jc w:val="right"/>
          <w:rPr>
            <w:lang w:val="en-US"/>
          </w:rPr>
        </w:pPr>
        <w:r>
          <w:rPr>
            <w:lang w:val="en-US"/>
          </w:rPr>
          <w:t xml:space="preserve">HH 410/25 </w:t>
        </w:r>
      </w:p>
      <w:p w:rsidR="00D76F28" w:rsidRDefault="007A6FDB">
        <w:pPr>
          <w:pStyle w:val="Header"/>
          <w:jc w:val="right"/>
        </w:pPr>
        <w:r>
          <w:t>HCH</w:t>
        </w:r>
        <w:r>
          <w:rPr>
            <w:lang w:val="en-US"/>
          </w:rPr>
          <w:t xml:space="preserve"> </w:t>
        </w:r>
        <w:r>
          <w:t>5732/24</w:t>
        </w:r>
      </w:p>
    </w:sdtContent>
  </w:sdt>
  <w:p w:rsidR="00D76F28" w:rsidRDefault="00D76F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ACD"/>
    <w:multiLevelType w:val="multilevel"/>
    <w:tmpl w:val="03464A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B5C0BC5"/>
    <w:multiLevelType w:val="multilevel"/>
    <w:tmpl w:val="0B5C0B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E0310B"/>
    <w:multiLevelType w:val="multilevel"/>
    <w:tmpl w:val="68E0310B"/>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737B16C6"/>
    <w:multiLevelType w:val="multilevel"/>
    <w:tmpl w:val="737B16C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95"/>
    <w:rsid w:val="00033103"/>
    <w:rsid w:val="00045AAB"/>
    <w:rsid w:val="00056129"/>
    <w:rsid w:val="000763B3"/>
    <w:rsid w:val="000A2322"/>
    <w:rsid w:val="000A65B2"/>
    <w:rsid w:val="000D2309"/>
    <w:rsid w:val="000D60E7"/>
    <w:rsid w:val="000D6671"/>
    <w:rsid w:val="000E7739"/>
    <w:rsid w:val="000E7883"/>
    <w:rsid w:val="000F5D34"/>
    <w:rsid w:val="00121B50"/>
    <w:rsid w:val="00155F73"/>
    <w:rsid w:val="00167407"/>
    <w:rsid w:val="00173F83"/>
    <w:rsid w:val="001A60F1"/>
    <w:rsid w:val="001A6414"/>
    <w:rsid w:val="001E0246"/>
    <w:rsid w:val="001E13F4"/>
    <w:rsid w:val="001F11B3"/>
    <w:rsid w:val="001F30C4"/>
    <w:rsid w:val="00230C0F"/>
    <w:rsid w:val="0024495D"/>
    <w:rsid w:val="0028330F"/>
    <w:rsid w:val="002924FB"/>
    <w:rsid w:val="00293C27"/>
    <w:rsid w:val="002E05DE"/>
    <w:rsid w:val="002F0426"/>
    <w:rsid w:val="003100D6"/>
    <w:rsid w:val="00315DEC"/>
    <w:rsid w:val="00344BAB"/>
    <w:rsid w:val="003A628A"/>
    <w:rsid w:val="003B1E99"/>
    <w:rsid w:val="003B4278"/>
    <w:rsid w:val="00400AC4"/>
    <w:rsid w:val="00420714"/>
    <w:rsid w:val="00424158"/>
    <w:rsid w:val="00425B5B"/>
    <w:rsid w:val="00430D64"/>
    <w:rsid w:val="004424D3"/>
    <w:rsid w:val="00452B0E"/>
    <w:rsid w:val="004558CE"/>
    <w:rsid w:val="004A4242"/>
    <w:rsid w:val="004A44BF"/>
    <w:rsid w:val="004C578F"/>
    <w:rsid w:val="004D3ED0"/>
    <w:rsid w:val="00514F71"/>
    <w:rsid w:val="00517CCA"/>
    <w:rsid w:val="005227A0"/>
    <w:rsid w:val="005248D8"/>
    <w:rsid w:val="00543FD0"/>
    <w:rsid w:val="0057022D"/>
    <w:rsid w:val="005833AD"/>
    <w:rsid w:val="0058357C"/>
    <w:rsid w:val="005B62B8"/>
    <w:rsid w:val="005C2D46"/>
    <w:rsid w:val="005D686E"/>
    <w:rsid w:val="005E1EDA"/>
    <w:rsid w:val="006108ED"/>
    <w:rsid w:val="00617551"/>
    <w:rsid w:val="00617CD7"/>
    <w:rsid w:val="00635452"/>
    <w:rsid w:val="00641806"/>
    <w:rsid w:val="00644F3C"/>
    <w:rsid w:val="00657089"/>
    <w:rsid w:val="0066756B"/>
    <w:rsid w:val="00680424"/>
    <w:rsid w:val="006968F2"/>
    <w:rsid w:val="006C34A4"/>
    <w:rsid w:val="006E32D0"/>
    <w:rsid w:val="006F7BB3"/>
    <w:rsid w:val="00724EAA"/>
    <w:rsid w:val="00727DE6"/>
    <w:rsid w:val="00735FA2"/>
    <w:rsid w:val="00757C47"/>
    <w:rsid w:val="007778A6"/>
    <w:rsid w:val="007A6FDB"/>
    <w:rsid w:val="007F52B8"/>
    <w:rsid w:val="008012A3"/>
    <w:rsid w:val="008422ED"/>
    <w:rsid w:val="0084515A"/>
    <w:rsid w:val="008658CB"/>
    <w:rsid w:val="008F4D3F"/>
    <w:rsid w:val="008F6213"/>
    <w:rsid w:val="009350F9"/>
    <w:rsid w:val="009376BB"/>
    <w:rsid w:val="00952485"/>
    <w:rsid w:val="009538FD"/>
    <w:rsid w:val="009A2A6E"/>
    <w:rsid w:val="009B1CBB"/>
    <w:rsid w:val="009B2AF7"/>
    <w:rsid w:val="009D1631"/>
    <w:rsid w:val="009F78A3"/>
    <w:rsid w:val="00A31161"/>
    <w:rsid w:val="00A735BB"/>
    <w:rsid w:val="00A75921"/>
    <w:rsid w:val="00A75FC5"/>
    <w:rsid w:val="00AB4238"/>
    <w:rsid w:val="00AC0602"/>
    <w:rsid w:val="00AC4A19"/>
    <w:rsid w:val="00AD1B41"/>
    <w:rsid w:val="00AD532A"/>
    <w:rsid w:val="00AD7B8E"/>
    <w:rsid w:val="00AE361F"/>
    <w:rsid w:val="00B358BD"/>
    <w:rsid w:val="00B814E4"/>
    <w:rsid w:val="00B928E2"/>
    <w:rsid w:val="00BA117F"/>
    <w:rsid w:val="00BA2C42"/>
    <w:rsid w:val="00BA3819"/>
    <w:rsid w:val="00BB3B27"/>
    <w:rsid w:val="00BE0F78"/>
    <w:rsid w:val="00C04136"/>
    <w:rsid w:val="00C26160"/>
    <w:rsid w:val="00C92FA2"/>
    <w:rsid w:val="00C9357B"/>
    <w:rsid w:val="00CA1C04"/>
    <w:rsid w:val="00CA3E9A"/>
    <w:rsid w:val="00CA519C"/>
    <w:rsid w:val="00CB2494"/>
    <w:rsid w:val="00CB3837"/>
    <w:rsid w:val="00CF0A0F"/>
    <w:rsid w:val="00D06902"/>
    <w:rsid w:val="00D12A33"/>
    <w:rsid w:val="00D16CC5"/>
    <w:rsid w:val="00D2709A"/>
    <w:rsid w:val="00D32A9B"/>
    <w:rsid w:val="00D36EEA"/>
    <w:rsid w:val="00D4601B"/>
    <w:rsid w:val="00D51C45"/>
    <w:rsid w:val="00D76F28"/>
    <w:rsid w:val="00D80D95"/>
    <w:rsid w:val="00D81A33"/>
    <w:rsid w:val="00DA67E3"/>
    <w:rsid w:val="00DE6F00"/>
    <w:rsid w:val="00DF20D8"/>
    <w:rsid w:val="00E04A61"/>
    <w:rsid w:val="00E061B7"/>
    <w:rsid w:val="00E075E8"/>
    <w:rsid w:val="00E248FD"/>
    <w:rsid w:val="00E71D7A"/>
    <w:rsid w:val="00E73C42"/>
    <w:rsid w:val="00E75E7E"/>
    <w:rsid w:val="00E94995"/>
    <w:rsid w:val="00E9787D"/>
    <w:rsid w:val="00E97FE2"/>
    <w:rsid w:val="00EB1C7C"/>
    <w:rsid w:val="00EF1C76"/>
    <w:rsid w:val="00F209E3"/>
    <w:rsid w:val="00F71653"/>
    <w:rsid w:val="00F7391B"/>
    <w:rsid w:val="00F75D0E"/>
    <w:rsid w:val="00F83DF9"/>
    <w:rsid w:val="00F96909"/>
    <w:rsid w:val="00FA44A9"/>
    <w:rsid w:val="00FB6186"/>
    <w:rsid w:val="00FC6F94"/>
    <w:rsid w:val="00FE1609"/>
    <w:rsid w:val="00FE78A1"/>
    <w:rsid w:val="09504794"/>
    <w:rsid w:val="26B95B6C"/>
    <w:rsid w:val="43332EF2"/>
    <w:rsid w:val="51AA3EA9"/>
    <w:rsid w:val="587577E2"/>
    <w:rsid w:val="5F6E597E"/>
    <w:rsid w:val="68137CA4"/>
    <w:rsid w:val="77CF011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C99D031-4F7D-4077-93CB-DB5C7FEF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Arial" w:hAnsi="Arial" w:cs="Arial"/>
      <w:color w:val="000000"/>
      <w:sz w:val="24"/>
      <w:szCs w:val="24"/>
      <w:lang w:val="en-ZW"/>
    </w:rPr>
  </w:style>
  <w:style w:type="paragraph" w:customStyle="1" w:styleId="Revision1">
    <w:name w:val="Revision1"/>
    <w:hidden/>
    <w:uiPriority w:val="99"/>
    <w:semiHidden/>
    <w:rPr>
      <w:sz w:val="22"/>
      <w:szCs w:val="22"/>
      <w:lang w:val="en-ZW"/>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5992</Words>
  <Characters>34161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JSC</cp:lastModifiedBy>
  <cp:revision>2</cp:revision>
  <dcterms:created xsi:type="dcterms:W3CDTF">2025-07-18T12:10:00Z</dcterms:created>
  <dcterms:modified xsi:type="dcterms:W3CDTF">2025-07-18T12:10:00Z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f53f24ff-89c4-4ee4-ad74-5cafadb347c9</vt:lpwstr>
  </property>
  <property fmtid="{D5CDD505-2E9C-101B-9397-08002B2CF9AE}" pid="3" name="KSOProductBuildVer">
    <vt:lpwstr>1033-12.2.0.21931</vt:lpwstr>
  </property>
  <property fmtid="{D5CDD505-2E9C-101B-9397-08002B2CF9AE}" pid="4" name="ICV">
    <vt:lpwstr>EB4ECB399FAB4879BB2FA0D2F3ECDA4F_13</vt:lpwstr>
  </property>
</Properties>
</file>