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930" w:rsidRPr="004A227A" w:rsidRDefault="004A227A" w:rsidP="004A227A">
      <w:pPr>
        <w:spacing w:after="0" w:line="240" w:lineRule="auto"/>
        <w:jc w:val="both"/>
        <w:rPr>
          <w:rFonts w:ascii="Times New Roman" w:hAnsi="Times New Roman" w:cs="Times New Roman"/>
          <w:sz w:val="24"/>
          <w:szCs w:val="24"/>
        </w:rPr>
      </w:pPr>
      <w:bookmarkStart w:id="0" w:name="_GoBack"/>
      <w:bookmarkEnd w:id="0"/>
      <w:r w:rsidRPr="004A227A">
        <w:rPr>
          <w:rFonts w:ascii="Times New Roman" w:hAnsi="Times New Roman" w:cs="Times New Roman"/>
          <w:sz w:val="24"/>
          <w:szCs w:val="24"/>
        </w:rPr>
        <w:t>ESTHER NGARU</w:t>
      </w:r>
    </w:p>
    <w:p w:rsidR="004A227A" w:rsidRPr="004A227A" w:rsidRDefault="004A227A" w:rsidP="004A227A">
      <w:pPr>
        <w:spacing w:after="0" w:line="240" w:lineRule="auto"/>
        <w:jc w:val="both"/>
        <w:rPr>
          <w:rFonts w:ascii="Times New Roman" w:hAnsi="Times New Roman" w:cs="Times New Roman"/>
          <w:sz w:val="24"/>
          <w:szCs w:val="24"/>
        </w:rPr>
      </w:pPr>
      <w:r w:rsidRPr="004A227A">
        <w:rPr>
          <w:rFonts w:ascii="Times New Roman" w:hAnsi="Times New Roman" w:cs="Times New Roman"/>
          <w:sz w:val="24"/>
          <w:szCs w:val="24"/>
        </w:rPr>
        <w:t>versus</w:t>
      </w:r>
    </w:p>
    <w:p w:rsidR="004A227A" w:rsidRPr="004A227A" w:rsidRDefault="004A227A" w:rsidP="004A227A">
      <w:pPr>
        <w:spacing w:after="0" w:line="240" w:lineRule="auto"/>
        <w:jc w:val="both"/>
        <w:rPr>
          <w:rFonts w:ascii="Times New Roman" w:hAnsi="Times New Roman" w:cs="Times New Roman"/>
          <w:sz w:val="24"/>
          <w:szCs w:val="24"/>
        </w:rPr>
      </w:pPr>
      <w:r w:rsidRPr="004A227A">
        <w:rPr>
          <w:rFonts w:ascii="Times New Roman" w:hAnsi="Times New Roman" w:cs="Times New Roman"/>
          <w:sz w:val="24"/>
          <w:szCs w:val="24"/>
        </w:rPr>
        <w:t>LIVINGSTONE KUSANO</w:t>
      </w:r>
    </w:p>
    <w:p w:rsidR="004A227A" w:rsidRPr="004A227A" w:rsidRDefault="004A227A" w:rsidP="004A227A">
      <w:pPr>
        <w:spacing w:after="0" w:line="240" w:lineRule="auto"/>
        <w:jc w:val="both"/>
        <w:rPr>
          <w:rFonts w:ascii="Times New Roman" w:hAnsi="Times New Roman" w:cs="Times New Roman"/>
          <w:sz w:val="24"/>
          <w:szCs w:val="24"/>
        </w:rPr>
      </w:pPr>
    </w:p>
    <w:p w:rsidR="004A227A" w:rsidRPr="004A227A" w:rsidRDefault="004A227A" w:rsidP="004A227A">
      <w:pPr>
        <w:spacing w:after="0" w:line="360" w:lineRule="auto"/>
        <w:jc w:val="both"/>
        <w:rPr>
          <w:rFonts w:ascii="Times New Roman" w:hAnsi="Times New Roman" w:cs="Times New Roman"/>
          <w:sz w:val="24"/>
          <w:szCs w:val="24"/>
        </w:rPr>
      </w:pPr>
    </w:p>
    <w:p w:rsidR="004A227A" w:rsidRPr="004A227A" w:rsidRDefault="004A227A" w:rsidP="004A227A">
      <w:pPr>
        <w:spacing w:after="0" w:line="240" w:lineRule="auto"/>
        <w:jc w:val="both"/>
        <w:rPr>
          <w:rFonts w:ascii="Times New Roman" w:hAnsi="Times New Roman" w:cs="Times New Roman"/>
          <w:sz w:val="24"/>
          <w:szCs w:val="24"/>
        </w:rPr>
      </w:pPr>
      <w:r w:rsidRPr="004A227A">
        <w:rPr>
          <w:rFonts w:ascii="Times New Roman" w:hAnsi="Times New Roman" w:cs="Times New Roman"/>
          <w:sz w:val="24"/>
          <w:szCs w:val="24"/>
        </w:rPr>
        <w:t>HIGH COURT OF ZIMBABWE</w:t>
      </w:r>
    </w:p>
    <w:p w:rsidR="004A227A" w:rsidRPr="004A227A" w:rsidRDefault="004A227A" w:rsidP="004A227A">
      <w:pPr>
        <w:spacing w:after="0" w:line="240" w:lineRule="auto"/>
        <w:jc w:val="both"/>
        <w:rPr>
          <w:rFonts w:ascii="Times New Roman" w:hAnsi="Times New Roman" w:cs="Times New Roman"/>
          <w:sz w:val="24"/>
          <w:szCs w:val="24"/>
        </w:rPr>
      </w:pPr>
      <w:r w:rsidRPr="004A227A">
        <w:rPr>
          <w:rFonts w:ascii="Times New Roman" w:hAnsi="Times New Roman" w:cs="Times New Roman"/>
          <w:sz w:val="24"/>
          <w:szCs w:val="24"/>
        </w:rPr>
        <w:t>MUZOFA J</w:t>
      </w:r>
    </w:p>
    <w:p w:rsidR="004A227A" w:rsidRPr="004A227A" w:rsidRDefault="004A227A" w:rsidP="004A227A">
      <w:pPr>
        <w:spacing w:after="0" w:line="240" w:lineRule="auto"/>
        <w:jc w:val="both"/>
        <w:rPr>
          <w:rFonts w:ascii="Times New Roman" w:hAnsi="Times New Roman" w:cs="Times New Roman"/>
          <w:sz w:val="24"/>
          <w:szCs w:val="24"/>
        </w:rPr>
      </w:pPr>
      <w:r w:rsidRPr="004A227A">
        <w:rPr>
          <w:rFonts w:ascii="Times New Roman" w:hAnsi="Times New Roman" w:cs="Times New Roman"/>
          <w:sz w:val="24"/>
          <w:szCs w:val="24"/>
        </w:rPr>
        <w:t>HARARE</w:t>
      </w:r>
      <w:r w:rsidR="007C3C55" w:rsidRPr="004A227A">
        <w:rPr>
          <w:rFonts w:ascii="Times New Roman" w:hAnsi="Times New Roman" w:cs="Times New Roman"/>
          <w:sz w:val="24"/>
          <w:szCs w:val="24"/>
        </w:rPr>
        <w:t>,</w:t>
      </w:r>
      <w:r w:rsidR="007C3C55">
        <w:rPr>
          <w:rFonts w:ascii="Times New Roman" w:hAnsi="Times New Roman" w:cs="Times New Roman"/>
          <w:sz w:val="24"/>
          <w:szCs w:val="24"/>
        </w:rPr>
        <w:t xml:space="preserve"> 12&amp;</w:t>
      </w:r>
      <w:r w:rsidR="00A56A1D">
        <w:rPr>
          <w:rFonts w:ascii="Times New Roman" w:hAnsi="Times New Roman" w:cs="Times New Roman"/>
          <w:sz w:val="24"/>
          <w:szCs w:val="24"/>
        </w:rPr>
        <w:t xml:space="preserve"> </w:t>
      </w:r>
      <w:r w:rsidR="007C3C55">
        <w:rPr>
          <w:rFonts w:ascii="Times New Roman" w:hAnsi="Times New Roman" w:cs="Times New Roman"/>
          <w:sz w:val="24"/>
          <w:szCs w:val="24"/>
        </w:rPr>
        <w:t>28 May 2021</w:t>
      </w:r>
    </w:p>
    <w:p w:rsidR="004A227A" w:rsidRPr="004A227A" w:rsidRDefault="004A227A" w:rsidP="004A227A">
      <w:pPr>
        <w:spacing w:after="0" w:line="240" w:lineRule="auto"/>
        <w:jc w:val="both"/>
        <w:rPr>
          <w:rFonts w:ascii="Times New Roman" w:hAnsi="Times New Roman" w:cs="Times New Roman"/>
          <w:sz w:val="24"/>
          <w:szCs w:val="24"/>
        </w:rPr>
      </w:pPr>
    </w:p>
    <w:p w:rsidR="004A227A" w:rsidRPr="004A227A" w:rsidRDefault="004A227A" w:rsidP="004A227A">
      <w:pPr>
        <w:spacing w:after="0" w:line="360" w:lineRule="auto"/>
        <w:jc w:val="both"/>
        <w:rPr>
          <w:rFonts w:ascii="Times New Roman" w:hAnsi="Times New Roman" w:cs="Times New Roman"/>
          <w:sz w:val="24"/>
          <w:szCs w:val="24"/>
        </w:rPr>
      </w:pPr>
    </w:p>
    <w:p w:rsidR="004A227A" w:rsidRPr="004A227A" w:rsidRDefault="007C3C55" w:rsidP="004A227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 Special P</w:t>
      </w:r>
      <w:r w:rsidR="004A227A" w:rsidRPr="004A227A">
        <w:rPr>
          <w:rFonts w:ascii="Times New Roman" w:hAnsi="Times New Roman" w:cs="Times New Roman"/>
          <w:b/>
          <w:sz w:val="24"/>
          <w:szCs w:val="24"/>
        </w:rPr>
        <w:t>lea</w:t>
      </w:r>
    </w:p>
    <w:p w:rsidR="004A227A" w:rsidRPr="004A227A" w:rsidRDefault="004A227A" w:rsidP="004A227A">
      <w:pPr>
        <w:spacing w:after="0" w:line="360" w:lineRule="auto"/>
        <w:jc w:val="both"/>
        <w:rPr>
          <w:rFonts w:ascii="Times New Roman" w:hAnsi="Times New Roman" w:cs="Times New Roman"/>
          <w:sz w:val="24"/>
          <w:szCs w:val="24"/>
        </w:rPr>
      </w:pPr>
    </w:p>
    <w:p w:rsidR="004A227A" w:rsidRPr="004A227A" w:rsidRDefault="00742363" w:rsidP="004A227A">
      <w:pPr>
        <w:spacing w:after="0" w:line="240" w:lineRule="auto"/>
        <w:jc w:val="both"/>
        <w:rPr>
          <w:rFonts w:ascii="Times New Roman" w:hAnsi="Times New Roman" w:cs="Times New Roman"/>
          <w:sz w:val="24"/>
          <w:szCs w:val="24"/>
        </w:rPr>
      </w:pPr>
      <w:r w:rsidRPr="007C3C55">
        <w:rPr>
          <w:rFonts w:ascii="Times New Roman" w:hAnsi="Times New Roman" w:cs="Times New Roman"/>
          <w:i/>
          <w:sz w:val="24"/>
          <w:szCs w:val="24"/>
        </w:rPr>
        <w:t>E.T Muhlekiwa</w:t>
      </w:r>
      <w:r>
        <w:rPr>
          <w:rFonts w:ascii="Times New Roman" w:hAnsi="Times New Roman" w:cs="Times New Roman"/>
          <w:sz w:val="24"/>
          <w:szCs w:val="24"/>
        </w:rPr>
        <w:t>, for the plaintiff</w:t>
      </w:r>
    </w:p>
    <w:p w:rsidR="004A227A" w:rsidRPr="004A227A" w:rsidRDefault="00742363" w:rsidP="004A227A">
      <w:pPr>
        <w:spacing w:after="0" w:line="240" w:lineRule="auto"/>
        <w:jc w:val="both"/>
        <w:rPr>
          <w:rFonts w:ascii="Times New Roman" w:hAnsi="Times New Roman" w:cs="Times New Roman"/>
          <w:sz w:val="24"/>
          <w:szCs w:val="24"/>
        </w:rPr>
      </w:pPr>
      <w:r w:rsidRPr="007C3C55">
        <w:rPr>
          <w:rFonts w:ascii="Times New Roman" w:hAnsi="Times New Roman" w:cs="Times New Roman"/>
          <w:i/>
          <w:sz w:val="24"/>
          <w:szCs w:val="24"/>
        </w:rPr>
        <w:t>R. Gasa</w:t>
      </w:r>
      <w:r>
        <w:rPr>
          <w:rFonts w:ascii="Times New Roman" w:hAnsi="Times New Roman" w:cs="Times New Roman"/>
          <w:sz w:val="24"/>
          <w:szCs w:val="24"/>
        </w:rPr>
        <w:t>,</w:t>
      </w:r>
      <w:r w:rsidR="004A227A" w:rsidRPr="004A227A">
        <w:rPr>
          <w:rFonts w:ascii="Times New Roman" w:hAnsi="Times New Roman" w:cs="Times New Roman"/>
          <w:sz w:val="24"/>
          <w:szCs w:val="24"/>
        </w:rPr>
        <w:t xml:space="preserve"> for the defendant</w:t>
      </w:r>
    </w:p>
    <w:p w:rsidR="004A227A" w:rsidRPr="004A227A" w:rsidRDefault="004A227A" w:rsidP="004A227A">
      <w:pPr>
        <w:spacing w:after="0" w:line="360" w:lineRule="auto"/>
        <w:jc w:val="both"/>
        <w:rPr>
          <w:rFonts w:ascii="Times New Roman" w:hAnsi="Times New Roman" w:cs="Times New Roman"/>
          <w:sz w:val="24"/>
          <w:szCs w:val="24"/>
        </w:rPr>
      </w:pPr>
    </w:p>
    <w:p w:rsidR="00B525E5" w:rsidRDefault="004A227A" w:rsidP="004A227A">
      <w:pPr>
        <w:spacing w:after="0" w:line="360" w:lineRule="auto"/>
        <w:jc w:val="both"/>
        <w:rPr>
          <w:rFonts w:ascii="Times New Roman" w:hAnsi="Times New Roman" w:cs="Times New Roman"/>
          <w:sz w:val="24"/>
          <w:szCs w:val="24"/>
        </w:rPr>
      </w:pPr>
      <w:r w:rsidRPr="004A227A">
        <w:rPr>
          <w:rFonts w:ascii="Times New Roman" w:hAnsi="Times New Roman" w:cs="Times New Roman"/>
          <w:sz w:val="24"/>
          <w:szCs w:val="24"/>
        </w:rPr>
        <w:tab/>
        <w:t>MUZOFA J:</w:t>
      </w:r>
      <w:r>
        <w:rPr>
          <w:rFonts w:ascii="Times New Roman" w:hAnsi="Times New Roman" w:cs="Times New Roman"/>
          <w:sz w:val="24"/>
          <w:szCs w:val="24"/>
        </w:rPr>
        <w:t xml:space="preserve"> The </w:t>
      </w:r>
      <w:r w:rsidR="00742363">
        <w:rPr>
          <w:rFonts w:ascii="Times New Roman" w:hAnsi="Times New Roman" w:cs="Times New Roman"/>
          <w:sz w:val="24"/>
          <w:szCs w:val="24"/>
        </w:rPr>
        <w:t xml:space="preserve">plaintiff sued out summons for the division </w:t>
      </w:r>
      <w:r w:rsidR="00B525E5">
        <w:rPr>
          <w:rFonts w:ascii="Times New Roman" w:hAnsi="Times New Roman" w:cs="Times New Roman"/>
          <w:sz w:val="24"/>
          <w:szCs w:val="24"/>
        </w:rPr>
        <w:t xml:space="preserve">of immovable </w:t>
      </w:r>
      <w:r w:rsidR="00742363">
        <w:rPr>
          <w:rFonts w:ascii="Times New Roman" w:hAnsi="Times New Roman" w:cs="Times New Roman"/>
          <w:sz w:val="24"/>
          <w:szCs w:val="24"/>
        </w:rPr>
        <w:t xml:space="preserve">property acquired by the parties </w:t>
      </w:r>
      <w:r w:rsidR="00B525E5">
        <w:rPr>
          <w:rFonts w:ascii="Times New Roman" w:hAnsi="Times New Roman" w:cs="Times New Roman"/>
          <w:sz w:val="24"/>
          <w:szCs w:val="24"/>
        </w:rPr>
        <w:t xml:space="preserve">during the subsistence of their tacit universal partnership. Alternatively, the division of the immovable property acquired during the subsistence of the parties’ unregistered customary law union based on unjust enrichment. In opposition to the claim the defendant filed a </w:t>
      </w:r>
      <w:r w:rsidR="007C3C55">
        <w:rPr>
          <w:rFonts w:ascii="Times New Roman" w:hAnsi="Times New Roman" w:cs="Times New Roman"/>
          <w:sz w:val="24"/>
          <w:szCs w:val="24"/>
        </w:rPr>
        <w:t xml:space="preserve">special </w:t>
      </w:r>
      <w:r w:rsidR="00B525E5">
        <w:rPr>
          <w:rFonts w:ascii="Times New Roman" w:hAnsi="Times New Roman" w:cs="Times New Roman"/>
          <w:sz w:val="24"/>
          <w:szCs w:val="24"/>
        </w:rPr>
        <w:t>plea, that the claim is prescribed.</w:t>
      </w:r>
    </w:p>
    <w:p w:rsidR="004A227A" w:rsidRDefault="00B525E5" w:rsidP="00B525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and the defendant </w:t>
      </w:r>
      <w:r w:rsidR="004A227A">
        <w:rPr>
          <w:rFonts w:ascii="Times New Roman" w:hAnsi="Times New Roman" w:cs="Times New Roman"/>
          <w:sz w:val="24"/>
          <w:szCs w:val="24"/>
        </w:rPr>
        <w:t>were living together</w:t>
      </w:r>
      <w:r>
        <w:rPr>
          <w:rFonts w:ascii="Times New Roman" w:hAnsi="Times New Roman" w:cs="Times New Roman"/>
          <w:sz w:val="24"/>
          <w:szCs w:val="24"/>
        </w:rPr>
        <w:t xml:space="preserve"> as husband and wife in</w:t>
      </w:r>
      <w:r w:rsidR="004A227A">
        <w:rPr>
          <w:rFonts w:ascii="Times New Roman" w:hAnsi="Times New Roman" w:cs="Times New Roman"/>
          <w:sz w:val="24"/>
          <w:szCs w:val="24"/>
        </w:rPr>
        <w:t xml:space="preserve"> terms of an unregistered customary law union from December 1982 when lobola was paid. Three children were born of the union</w:t>
      </w:r>
      <w:r w:rsidR="007C3C55">
        <w:rPr>
          <w:rFonts w:ascii="Times New Roman" w:hAnsi="Times New Roman" w:cs="Times New Roman"/>
          <w:sz w:val="24"/>
          <w:szCs w:val="24"/>
        </w:rPr>
        <w:t xml:space="preserve">. </w:t>
      </w:r>
      <w:r>
        <w:rPr>
          <w:rFonts w:ascii="Times New Roman" w:hAnsi="Times New Roman" w:cs="Times New Roman"/>
          <w:sz w:val="24"/>
          <w:szCs w:val="24"/>
        </w:rPr>
        <w:t xml:space="preserve"> In</w:t>
      </w:r>
      <w:r w:rsidR="004A227A">
        <w:rPr>
          <w:rFonts w:ascii="Times New Roman" w:hAnsi="Times New Roman" w:cs="Times New Roman"/>
          <w:sz w:val="24"/>
          <w:szCs w:val="24"/>
        </w:rPr>
        <w:t xml:space="preserve"> 2010 the </w:t>
      </w:r>
      <w:r>
        <w:rPr>
          <w:rFonts w:ascii="Times New Roman" w:hAnsi="Times New Roman" w:cs="Times New Roman"/>
          <w:sz w:val="24"/>
          <w:szCs w:val="24"/>
        </w:rPr>
        <w:t>defendant</w:t>
      </w:r>
      <w:r w:rsidR="004A227A">
        <w:rPr>
          <w:rFonts w:ascii="Times New Roman" w:hAnsi="Times New Roman" w:cs="Times New Roman"/>
          <w:sz w:val="24"/>
          <w:szCs w:val="24"/>
        </w:rPr>
        <w:t xml:space="preserve"> gave the </w:t>
      </w:r>
      <w:r w:rsidR="00976072">
        <w:rPr>
          <w:rFonts w:ascii="Times New Roman" w:hAnsi="Times New Roman" w:cs="Times New Roman"/>
          <w:sz w:val="24"/>
          <w:szCs w:val="24"/>
        </w:rPr>
        <w:t>plaintiff</w:t>
      </w:r>
      <w:r w:rsidR="004A227A">
        <w:rPr>
          <w:rFonts w:ascii="Times New Roman" w:hAnsi="Times New Roman" w:cs="Times New Roman"/>
          <w:sz w:val="24"/>
          <w:szCs w:val="24"/>
        </w:rPr>
        <w:t xml:space="preserve"> “gupuro” a </w:t>
      </w:r>
      <w:r w:rsidR="00C91A97">
        <w:rPr>
          <w:rFonts w:ascii="Times New Roman" w:hAnsi="Times New Roman" w:cs="Times New Roman"/>
          <w:sz w:val="24"/>
          <w:szCs w:val="24"/>
        </w:rPr>
        <w:t>token</w:t>
      </w:r>
      <w:r w:rsidR="004A227A">
        <w:rPr>
          <w:rFonts w:ascii="Times New Roman" w:hAnsi="Times New Roman" w:cs="Times New Roman"/>
          <w:sz w:val="24"/>
          <w:szCs w:val="24"/>
        </w:rPr>
        <w:t xml:space="preserve"> of rejection thereby </w:t>
      </w:r>
      <w:r w:rsidR="00C91A97">
        <w:rPr>
          <w:rFonts w:ascii="Times New Roman" w:hAnsi="Times New Roman" w:cs="Times New Roman"/>
          <w:sz w:val="24"/>
          <w:szCs w:val="24"/>
        </w:rPr>
        <w:t>terminating</w:t>
      </w:r>
      <w:r w:rsidR="004A227A">
        <w:rPr>
          <w:rFonts w:ascii="Times New Roman" w:hAnsi="Times New Roman" w:cs="Times New Roman"/>
          <w:sz w:val="24"/>
          <w:szCs w:val="24"/>
        </w:rPr>
        <w:t xml:space="preserve"> the </w:t>
      </w:r>
      <w:r>
        <w:rPr>
          <w:rFonts w:ascii="Times New Roman" w:hAnsi="Times New Roman" w:cs="Times New Roman"/>
          <w:sz w:val="24"/>
          <w:szCs w:val="24"/>
        </w:rPr>
        <w:t>union. There is no dispute that this is when the plaintiff’s cause of action arose.</w:t>
      </w:r>
    </w:p>
    <w:p w:rsidR="00A27C6B" w:rsidRPr="00EC1FDE" w:rsidRDefault="004A227A" w:rsidP="00A2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During the subsistence of the union the parties </w:t>
      </w:r>
      <w:r w:rsidR="00B525E5">
        <w:rPr>
          <w:rFonts w:ascii="Times New Roman" w:hAnsi="Times New Roman" w:cs="Times New Roman"/>
          <w:sz w:val="24"/>
          <w:szCs w:val="24"/>
        </w:rPr>
        <w:t>acquired both</w:t>
      </w:r>
      <w:r>
        <w:rPr>
          <w:rFonts w:ascii="Times New Roman" w:hAnsi="Times New Roman" w:cs="Times New Roman"/>
          <w:sz w:val="24"/>
          <w:szCs w:val="24"/>
        </w:rPr>
        <w:t xml:space="preserve"> movable and immovable property. In order to obtain her share of the property, the </w:t>
      </w:r>
      <w:r w:rsidR="00B525E5">
        <w:rPr>
          <w:rFonts w:ascii="Times New Roman" w:hAnsi="Times New Roman" w:cs="Times New Roman"/>
          <w:sz w:val="24"/>
          <w:szCs w:val="24"/>
        </w:rPr>
        <w:t>plaintiff</w:t>
      </w:r>
      <w:r>
        <w:rPr>
          <w:rFonts w:ascii="Times New Roman" w:hAnsi="Times New Roman" w:cs="Times New Roman"/>
          <w:sz w:val="24"/>
          <w:szCs w:val="24"/>
        </w:rPr>
        <w:t xml:space="preserve"> approached the community court in Bulawayo for division of property. She was awarded by consent an immovable property known as </w:t>
      </w:r>
      <w:r w:rsidR="003F0F5A">
        <w:rPr>
          <w:rFonts w:ascii="Times New Roman" w:hAnsi="Times New Roman" w:cs="Times New Roman"/>
          <w:sz w:val="24"/>
          <w:szCs w:val="24"/>
        </w:rPr>
        <w:t>No</w:t>
      </w:r>
      <w:r>
        <w:rPr>
          <w:rFonts w:ascii="Times New Roman" w:hAnsi="Times New Roman" w:cs="Times New Roman"/>
          <w:sz w:val="24"/>
          <w:szCs w:val="24"/>
        </w:rPr>
        <w:t xml:space="preserve"> 6 Birkley Street North End “the property”. The </w:t>
      </w:r>
      <w:r w:rsidR="00463003">
        <w:rPr>
          <w:rFonts w:ascii="Times New Roman" w:hAnsi="Times New Roman" w:cs="Times New Roman"/>
          <w:sz w:val="24"/>
          <w:szCs w:val="24"/>
        </w:rPr>
        <w:t>defendant</w:t>
      </w:r>
      <w:r>
        <w:rPr>
          <w:rFonts w:ascii="Times New Roman" w:hAnsi="Times New Roman" w:cs="Times New Roman"/>
          <w:sz w:val="24"/>
          <w:szCs w:val="24"/>
        </w:rPr>
        <w:t xml:space="preserve"> was awarded No 32 Wigton Road, Avondale</w:t>
      </w:r>
      <w:r w:rsidR="00463003">
        <w:rPr>
          <w:rFonts w:ascii="Times New Roman" w:hAnsi="Times New Roman" w:cs="Times New Roman"/>
          <w:sz w:val="24"/>
          <w:szCs w:val="24"/>
        </w:rPr>
        <w:t xml:space="preserve"> in Harare. Both properties were registered in the defendant’s name. When the defendant delayed in causing the transfer of the property, the plaintiff</w:t>
      </w:r>
      <w:r>
        <w:rPr>
          <w:rFonts w:ascii="Times New Roman" w:hAnsi="Times New Roman" w:cs="Times New Roman"/>
          <w:sz w:val="24"/>
          <w:szCs w:val="24"/>
        </w:rPr>
        <w:t xml:space="preserve"> approached this court</w:t>
      </w:r>
      <w:r w:rsidR="00463003">
        <w:rPr>
          <w:rFonts w:ascii="Times New Roman" w:hAnsi="Times New Roman" w:cs="Times New Roman"/>
          <w:sz w:val="24"/>
          <w:szCs w:val="24"/>
        </w:rPr>
        <w:t xml:space="preserve"> to compel transfer. The matter was heard and</w:t>
      </w:r>
      <w:r w:rsidR="0057465F">
        <w:rPr>
          <w:rFonts w:ascii="Times New Roman" w:hAnsi="Times New Roman" w:cs="Times New Roman"/>
          <w:sz w:val="24"/>
          <w:szCs w:val="24"/>
        </w:rPr>
        <w:t xml:space="preserve"> the</w:t>
      </w:r>
      <w:r w:rsidR="00463003">
        <w:rPr>
          <w:rFonts w:ascii="Times New Roman" w:hAnsi="Times New Roman" w:cs="Times New Roman"/>
          <w:sz w:val="24"/>
          <w:szCs w:val="24"/>
        </w:rPr>
        <w:t xml:space="preserve"> court dismissed the application and set as</w:t>
      </w:r>
      <w:r w:rsidR="000865D6">
        <w:rPr>
          <w:rFonts w:ascii="Times New Roman" w:hAnsi="Times New Roman" w:cs="Times New Roman"/>
          <w:sz w:val="24"/>
          <w:szCs w:val="24"/>
        </w:rPr>
        <w:t xml:space="preserve">ide the community </w:t>
      </w:r>
      <w:r w:rsidR="000865D6">
        <w:rPr>
          <w:rFonts w:ascii="Times New Roman" w:hAnsi="Times New Roman" w:cs="Times New Roman"/>
          <w:sz w:val="24"/>
          <w:szCs w:val="24"/>
        </w:rPr>
        <w:lastRenderedPageBreak/>
        <w:t>court order</w:t>
      </w:r>
      <w:r w:rsidR="000865D6">
        <w:rPr>
          <w:rStyle w:val="FootnoteReference"/>
          <w:rFonts w:ascii="Times New Roman" w:hAnsi="Times New Roman" w:cs="Times New Roman"/>
          <w:sz w:val="24"/>
          <w:szCs w:val="24"/>
        </w:rPr>
        <w:footnoteReference w:id="1"/>
      </w:r>
      <w:r w:rsidR="00463003">
        <w:rPr>
          <w:rFonts w:ascii="Times New Roman" w:hAnsi="Times New Roman" w:cs="Times New Roman"/>
          <w:sz w:val="24"/>
          <w:szCs w:val="24"/>
        </w:rPr>
        <w:t>.</w:t>
      </w:r>
      <w:r w:rsidR="00A27C6B" w:rsidRPr="00EC1FDE">
        <w:rPr>
          <w:rFonts w:ascii="Times New Roman" w:hAnsi="Times New Roman" w:cs="Times New Roman"/>
          <w:sz w:val="24"/>
          <w:szCs w:val="24"/>
        </w:rPr>
        <w:t xml:space="preserve"> The court found that the community court had no jurisdiction to dissolve a customary law union neither could it share the “matrimonial” property because there was no marriage recognized at law</w:t>
      </w:r>
      <w:r w:rsidR="00463003">
        <w:rPr>
          <w:rFonts w:ascii="Times New Roman" w:hAnsi="Times New Roman" w:cs="Times New Roman"/>
          <w:sz w:val="24"/>
          <w:szCs w:val="24"/>
        </w:rPr>
        <w:t xml:space="preserve"> between the parties. This was on 15 October 2020, some</w:t>
      </w:r>
      <w:r w:rsidR="00A27C6B" w:rsidRPr="00EC1FDE">
        <w:rPr>
          <w:rFonts w:ascii="Times New Roman" w:hAnsi="Times New Roman" w:cs="Times New Roman"/>
          <w:sz w:val="24"/>
          <w:szCs w:val="24"/>
        </w:rPr>
        <w:t xml:space="preserve"> 7 years after the order</w:t>
      </w:r>
      <w:r w:rsidR="00463003">
        <w:rPr>
          <w:rFonts w:ascii="Times New Roman" w:hAnsi="Times New Roman" w:cs="Times New Roman"/>
          <w:sz w:val="24"/>
          <w:szCs w:val="24"/>
        </w:rPr>
        <w:t xml:space="preserve"> of the community court. The plaintiff was undeterred, faced with this new hurdle,</w:t>
      </w:r>
      <w:r w:rsidR="00A27C6B" w:rsidRPr="00EC1FDE">
        <w:rPr>
          <w:rFonts w:ascii="Times New Roman" w:hAnsi="Times New Roman" w:cs="Times New Roman"/>
          <w:sz w:val="24"/>
          <w:szCs w:val="24"/>
        </w:rPr>
        <w:t xml:space="preserve"> </w:t>
      </w:r>
      <w:r w:rsidR="00463003">
        <w:rPr>
          <w:rFonts w:ascii="Times New Roman" w:hAnsi="Times New Roman" w:cs="Times New Roman"/>
          <w:sz w:val="24"/>
          <w:szCs w:val="24"/>
        </w:rPr>
        <w:t xml:space="preserve">she did not </w:t>
      </w:r>
      <w:r w:rsidR="00A27C6B" w:rsidRPr="00EC1FDE">
        <w:rPr>
          <w:rFonts w:ascii="Times New Roman" w:hAnsi="Times New Roman" w:cs="Times New Roman"/>
          <w:sz w:val="24"/>
          <w:szCs w:val="24"/>
        </w:rPr>
        <w:t xml:space="preserve">throw in the towel. The </w:t>
      </w:r>
      <w:r w:rsidR="00C55F05">
        <w:rPr>
          <w:rFonts w:ascii="Times New Roman" w:hAnsi="Times New Roman" w:cs="Times New Roman"/>
          <w:sz w:val="24"/>
          <w:szCs w:val="24"/>
        </w:rPr>
        <w:t>plaintiff issued out summons as already set out.</w:t>
      </w:r>
    </w:p>
    <w:p w:rsidR="00A27C6B" w:rsidRPr="00EC1FDE" w:rsidRDefault="00A27C6B" w:rsidP="00A27C6B">
      <w:pPr>
        <w:spacing w:after="0" w:line="360" w:lineRule="auto"/>
        <w:jc w:val="both"/>
        <w:rPr>
          <w:rFonts w:ascii="Times New Roman" w:hAnsi="Times New Roman" w:cs="Times New Roman"/>
          <w:sz w:val="24"/>
          <w:szCs w:val="24"/>
        </w:rPr>
      </w:pPr>
      <w:r w:rsidRPr="00EC1FDE">
        <w:rPr>
          <w:rFonts w:ascii="Times New Roman" w:hAnsi="Times New Roman" w:cs="Times New Roman"/>
          <w:sz w:val="24"/>
          <w:szCs w:val="24"/>
        </w:rPr>
        <w:tab/>
      </w:r>
      <w:r w:rsidR="00C55F05">
        <w:rPr>
          <w:rFonts w:ascii="Times New Roman" w:hAnsi="Times New Roman" w:cs="Times New Roman"/>
          <w:sz w:val="24"/>
          <w:szCs w:val="24"/>
        </w:rPr>
        <w:t>In opposing the claim , the</w:t>
      </w:r>
      <w:r w:rsidRPr="00EC1FDE">
        <w:rPr>
          <w:rFonts w:ascii="Times New Roman" w:hAnsi="Times New Roman" w:cs="Times New Roman"/>
          <w:sz w:val="24"/>
          <w:szCs w:val="24"/>
        </w:rPr>
        <w:t xml:space="preserve"> defendant filed a plea in bar that the claim is prescribed in te</w:t>
      </w:r>
      <w:r w:rsidR="00C55F05">
        <w:rPr>
          <w:rFonts w:ascii="Times New Roman" w:hAnsi="Times New Roman" w:cs="Times New Roman"/>
          <w:sz w:val="24"/>
          <w:szCs w:val="24"/>
        </w:rPr>
        <w:t>rms of s 14 and s 15(d) of the P</w:t>
      </w:r>
      <w:r w:rsidRPr="00EC1FDE">
        <w:rPr>
          <w:rFonts w:ascii="Times New Roman" w:hAnsi="Times New Roman" w:cs="Times New Roman"/>
          <w:sz w:val="24"/>
          <w:szCs w:val="24"/>
        </w:rPr>
        <w:t xml:space="preserve">rescription Act </w:t>
      </w:r>
      <w:r>
        <w:rPr>
          <w:rFonts w:ascii="Times New Roman" w:hAnsi="Times New Roman" w:cs="Times New Roman"/>
          <w:sz w:val="24"/>
          <w:szCs w:val="24"/>
        </w:rPr>
        <w:t>[</w:t>
      </w:r>
      <w:r w:rsidRPr="00EC1FDE">
        <w:rPr>
          <w:rFonts w:ascii="Times New Roman" w:hAnsi="Times New Roman" w:cs="Times New Roman"/>
          <w:i/>
          <w:sz w:val="24"/>
          <w:szCs w:val="24"/>
        </w:rPr>
        <w:t>Chapter 8:11</w:t>
      </w:r>
      <w:r w:rsidRPr="00EC1FDE">
        <w:rPr>
          <w:rFonts w:ascii="Times New Roman" w:hAnsi="Times New Roman" w:cs="Times New Roman"/>
          <w:sz w:val="24"/>
          <w:szCs w:val="24"/>
        </w:rPr>
        <w:t>]</w:t>
      </w:r>
      <w:r w:rsidR="00C55F05">
        <w:rPr>
          <w:rFonts w:ascii="Times New Roman" w:hAnsi="Times New Roman" w:cs="Times New Roman"/>
          <w:sz w:val="24"/>
          <w:szCs w:val="24"/>
        </w:rPr>
        <w:t xml:space="preserve"> (hereinafter referred to as the Act)</w:t>
      </w:r>
      <w:r w:rsidRPr="00EC1FDE">
        <w:rPr>
          <w:rFonts w:ascii="Times New Roman" w:hAnsi="Times New Roman" w:cs="Times New Roman"/>
          <w:sz w:val="24"/>
          <w:szCs w:val="24"/>
        </w:rPr>
        <w:t>. The submission is that, the claim is founded in general law. Tacit universal partnership and unjust enrichment are general law concepts. As such prescription is applicable. The declaration is clear that the unregistered customary law union between the parties was terminated in 20</w:t>
      </w:r>
      <w:r w:rsidR="00C55F05">
        <w:rPr>
          <w:rFonts w:ascii="Times New Roman" w:hAnsi="Times New Roman" w:cs="Times New Roman"/>
          <w:sz w:val="24"/>
          <w:szCs w:val="24"/>
        </w:rPr>
        <w:t>10</w:t>
      </w:r>
      <w:r w:rsidRPr="00EC1FDE">
        <w:rPr>
          <w:rFonts w:ascii="Times New Roman" w:hAnsi="Times New Roman" w:cs="Times New Roman"/>
          <w:sz w:val="24"/>
          <w:szCs w:val="24"/>
        </w:rPr>
        <w:t>. The court process in the community court did not interrupt the running of prescription since the judgment was subsequently set aside. The summons in the main matter w</w:t>
      </w:r>
      <w:r w:rsidR="00C55F05">
        <w:rPr>
          <w:rFonts w:ascii="Times New Roman" w:hAnsi="Times New Roman" w:cs="Times New Roman"/>
          <w:sz w:val="24"/>
          <w:szCs w:val="24"/>
        </w:rPr>
        <w:t>as</w:t>
      </w:r>
      <w:r w:rsidRPr="00EC1FDE">
        <w:rPr>
          <w:rFonts w:ascii="Times New Roman" w:hAnsi="Times New Roman" w:cs="Times New Roman"/>
          <w:sz w:val="24"/>
          <w:szCs w:val="24"/>
        </w:rPr>
        <w:t xml:space="preserve"> issued in </w:t>
      </w:r>
      <w:r>
        <w:rPr>
          <w:rFonts w:ascii="Times New Roman" w:hAnsi="Times New Roman" w:cs="Times New Roman"/>
          <w:sz w:val="24"/>
          <w:szCs w:val="24"/>
        </w:rPr>
        <w:t>O</w:t>
      </w:r>
      <w:r w:rsidRPr="00EC1FDE">
        <w:rPr>
          <w:rFonts w:ascii="Times New Roman" w:hAnsi="Times New Roman" w:cs="Times New Roman"/>
          <w:sz w:val="24"/>
          <w:szCs w:val="24"/>
        </w:rPr>
        <w:t xml:space="preserve">ctober 2020 </w:t>
      </w:r>
      <w:r w:rsidR="00C55F05">
        <w:rPr>
          <w:rFonts w:ascii="Times New Roman" w:hAnsi="Times New Roman" w:cs="Times New Roman"/>
          <w:sz w:val="24"/>
          <w:szCs w:val="24"/>
        </w:rPr>
        <w:t>almost 10 years after the cause of action arose.</w:t>
      </w:r>
    </w:p>
    <w:p w:rsidR="00A27C6B" w:rsidRDefault="00A27C6B" w:rsidP="00A27C6B">
      <w:pPr>
        <w:spacing w:after="0" w:line="360" w:lineRule="auto"/>
        <w:jc w:val="both"/>
        <w:rPr>
          <w:rFonts w:ascii="Times New Roman" w:hAnsi="Times New Roman" w:cs="Times New Roman"/>
          <w:sz w:val="24"/>
          <w:szCs w:val="24"/>
        </w:rPr>
      </w:pPr>
      <w:r w:rsidRPr="00EC1FDE">
        <w:rPr>
          <w:rFonts w:ascii="Times New Roman" w:hAnsi="Times New Roman" w:cs="Times New Roman"/>
          <w:sz w:val="24"/>
          <w:szCs w:val="24"/>
        </w:rPr>
        <w:tab/>
        <w:t>In response, the plaintiff insisted on the claim. It was ar</w:t>
      </w:r>
      <w:r>
        <w:rPr>
          <w:rFonts w:ascii="Times New Roman" w:hAnsi="Times New Roman" w:cs="Times New Roman"/>
          <w:sz w:val="24"/>
          <w:szCs w:val="24"/>
        </w:rPr>
        <w:t>g</w:t>
      </w:r>
      <w:r w:rsidRPr="00EC1FDE">
        <w:rPr>
          <w:rFonts w:ascii="Times New Roman" w:hAnsi="Times New Roman" w:cs="Times New Roman"/>
          <w:sz w:val="24"/>
          <w:szCs w:val="24"/>
        </w:rPr>
        <w:t>ued that the cause of action is based on the unregistered</w:t>
      </w:r>
      <w:r w:rsidR="00B96D14">
        <w:rPr>
          <w:rFonts w:ascii="Times New Roman" w:hAnsi="Times New Roman" w:cs="Times New Roman"/>
          <w:sz w:val="24"/>
          <w:szCs w:val="24"/>
        </w:rPr>
        <w:t xml:space="preserve"> customary</w:t>
      </w:r>
      <w:r w:rsidRPr="00EC1FDE">
        <w:rPr>
          <w:rFonts w:ascii="Times New Roman" w:hAnsi="Times New Roman" w:cs="Times New Roman"/>
          <w:sz w:val="24"/>
          <w:szCs w:val="24"/>
        </w:rPr>
        <w:t xml:space="preserve"> law union</w:t>
      </w:r>
      <w:r>
        <w:rPr>
          <w:rFonts w:ascii="Times New Roman" w:hAnsi="Times New Roman" w:cs="Times New Roman"/>
          <w:sz w:val="24"/>
          <w:szCs w:val="24"/>
        </w:rPr>
        <w:t>,</w:t>
      </w:r>
      <w:r w:rsidRPr="00EC1FDE">
        <w:rPr>
          <w:rFonts w:ascii="Times New Roman" w:hAnsi="Times New Roman" w:cs="Times New Roman"/>
          <w:sz w:val="24"/>
          <w:szCs w:val="24"/>
        </w:rPr>
        <w:t xml:space="preserve"> pleading t</w:t>
      </w:r>
      <w:r>
        <w:rPr>
          <w:rFonts w:ascii="Times New Roman" w:hAnsi="Times New Roman" w:cs="Times New Roman"/>
          <w:sz w:val="24"/>
          <w:szCs w:val="24"/>
        </w:rPr>
        <w:t>acit</w:t>
      </w:r>
      <w:r w:rsidRPr="00EC1FDE">
        <w:rPr>
          <w:rFonts w:ascii="Times New Roman" w:hAnsi="Times New Roman" w:cs="Times New Roman"/>
          <w:sz w:val="24"/>
          <w:szCs w:val="24"/>
        </w:rPr>
        <w:t xml:space="preserve"> universal partnership or unjust enrichment is for purposes of division of property only. In reality the claim is founded on customary law and in terms</w:t>
      </w:r>
      <w:r w:rsidR="00B96D14">
        <w:rPr>
          <w:rFonts w:ascii="Times New Roman" w:hAnsi="Times New Roman" w:cs="Times New Roman"/>
          <w:sz w:val="24"/>
          <w:szCs w:val="24"/>
        </w:rPr>
        <w:t xml:space="preserve"> of s 3(2) of the Act p</w:t>
      </w:r>
      <w:r w:rsidRPr="00EC1FDE">
        <w:rPr>
          <w:rFonts w:ascii="Times New Roman" w:hAnsi="Times New Roman" w:cs="Times New Roman"/>
          <w:sz w:val="24"/>
          <w:szCs w:val="24"/>
        </w:rPr>
        <w:t>rescription does not apply</w:t>
      </w:r>
      <w:r w:rsidR="00D3331A">
        <w:rPr>
          <w:rFonts w:ascii="Times New Roman" w:hAnsi="Times New Roman" w:cs="Times New Roman"/>
          <w:sz w:val="24"/>
          <w:szCs w:val="24"/>
        </w:rPr>
        <w:t xml:space="preserve"> and referred to case authority for that proposition </w:t>
      </w:r>
      <w:r w:rsidR="00D3331A">
        <w:rPr>
          <w:rStyle w:val="FootnoteReference"/>
          <w:rFonts w:ascii="Times New Roman" w:hAnsi="Times New Roman" w:cs="Times New Roman"/>
          <w:sz w:val="24"/>
          <w:szCs w:val="24"/>
        </w:rPr>
        <w:footnoteReference w:id="2"/>
      </w:r>
      <w:r w:rsidR="00D3331A">
        <w:rPr>
          <w:rFonts w:ascii="Times New Roman" w:hAnsi="Times New Roman" w:cs="Times New Roman"/>
          <w:sz w:val="24"/>
          <w:szCs w:val="24"/>
        </w:rPr>
        <w:t xml:space="preserve"> w</w:t>
      </w:r>
      <w:r w:rsidRPr="00EC1FDE">
        <w:rPr>
          <w:rFonts w:ascii="Times New Roman" w:hAnsi="Times New Roman" w:cs="Times New Roman"/>
          <w:sz w:val="24"/>
          <w:szCs w:val="24"/>
        </w:rPr>
        <w:t>here the court confirmed the position of the law</w:t>
      </w:r>
      <w:r w:rsidR="00B96D14">
        <w:rPr>
          <w:rFonts w:ascii="Times New Roman" w:hAnsi="Times New Roman" w:cs="Times New Roman"/>
          <w:sz w:val="24"/>
          <w:szCs w:val="24"/>
        </w:rPr>
        <w:t xml:space="preserve"> that prescription does not apply where the rights and obligations of </w:t>
      </w:r>
      <w:r w:rsidR="0057465F">
        <w:rPr>
          <w:rFonts w:ascii="Times New Roman" w:hAnsi="Times New Roman" w:cs="Times New Roman"/>
          <w:sz w:val="24"/>
          <w:szCs w:val="24"/>
        </w:rPr>
        <w:t xml:space="preserve">the </w:t>
      </w:r>
      <w:r w:rsidR="00B96D14">
        <w:rPr>
          <w:rFonts w:ascii="Times New Roman" w:hAnsi="Times New Roman" w:cs="Times New Roman"/>
          <w:sz w:val="24"/>
          <w:szCs w:val="24"/>
        </w:rPr>
        <w:t>parties are determined in terms of customary law.</w:t>
      </w:r>
    </w:p>
    <w:p w:rsidR="000865D6" w:rsidRDefault="000865D6" w:rsidP="000865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w:t>
      </w:r>
      <w:r w:rsidR="00B96D14">
        <w:rPr>
          <w:rFonts w:ascii="Times New Roman" w:hAnsi="Times New Roman" w:cs="Times New Roman"/>
          <w:sz w:val="24"/>
          <w:szCs w:val="24"/>
        </w:rPr>
        <w:t xml:space="preserve"> for determination is whether prescription applies in the circumstances of this case. This is a matter of interpretation of </w:t>
      </w:r>
      <w:r w:rsidR="00D3331A">
        <w:rPr>
          <w:rFonts w:ascii="Times New Roman" w:hAnsi="Times New Roman" w:cs="Times New Roman"/>
          <w:sz w:val="24"/>
          <w:szCs w:val="24"/>
        </w:rPr>
        <w:t>statutes. The</w:t>
      </w:r>
      <w:r w:rsidR="00B96D14">
        <w:rPr>
          <w:rFonts w:ascii="Times New Roman" w:hAnsi="Times New Roman" w:cs="Times New Roman"/>
          <w:sz w:val="24"/>
          <w:szCs w:val="24"/>
        </w:rPr>
        <w:t xml:space="preserve"> golden rule of interpretation is that where</w:t>
      </w:r>
      <w:r w:rsidR="00D3331A">
        <w:rPr>
          <w:rFonts w:ascii="Times New Roman" w:hAnsi="Times New Roman" w:cs="Times New Roman"/>
          <w:sz w:val="24"/>
          <w:szCs w:val="24"/>
        </w:rPr>
        <w:t xml:space="preserve"> the language of the statute is clear and unambiguous, the words used ought to be given their ordinary grammatical meaning. However where the language used is ambiguous and lacks clarity or may result in an absurdity, the court will interpret it and give it meaning. In the event of an absurdity the court is required to give a meaning that does not result in an absurdity because </w:t>
      </w:r>
      <w:r w:rsidR="0057465F">
        <w:rPr>
          <w:rFonts w:ascii="Times New Roman" w:hAnsi="Times New Roman" w:cs="Times New Roman"/>
          <w:sz w:val="24"/>
          <w:szCs w:val="24"/>
        </w:rPr>
        <w:t xml:space="preserve">it is presumed </w:t>
      </w:r>
      <w:r w:rsidR="00D3331A">
        <w:rPr>
          <w:rFonts w:ascii="Times New Roman" w:hAnsi="Times New Roman" w:cs="Times New Roman"/>
          <w:sz w:val="24"/>
          <w:szCs w:val="24"/>
        </w:rPr>
        <w:t>that the legislature in enacting any statute does not intend an absurdity</w:t>
      </w:r>
      <w:r>
        <w:rPr>
          <w:rStyle w:val="FootnoteReference"/>
          <w:rFonts w:ascii="Times New Roman" w:hAnsi="Times New Roman" w:cs="Times New Roman"/>
          <w:sz w:val="24"/>
          <w:szCs w:val="24"/>
        </w:rPr>
        <w:footnoteReference w:id="3"/>
      </w:r>
      <w:r w:rsidR="00D3331A">
        <w:rPr>
          <w:rFonts w:ascii="Times New Roman" w:hAnsi="Times New Roman" w:cs="Times New Roman"/>
          <w:sz w:val="24"/>
          <w:szCs w:val="24"/>
        </w:rPr>
        <w:t>.</w:t>
      </w:r>
    </w:p>
    <w:p w:rsidR="000865D6" w:rsidRDefault="000865D6" w:rsidP="000865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0865D6">
        <w:rPr>
          <w:rFonts w:ascii="Times New Roman" w:hAnsi="Times New Roman" w:cs="Times New Roman"/>
          <w:i/>
          <w:sz w:val="24"/>
          <w:szCs w:val="24"/>
        </w:rPr>
        <w:t>Coopers and Lybrand and Others v Bryant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the court noted,</w:t>
      </w:r>
    </w:p>
    <w:p w:rsidR="00AC5220" w:rsidRDefault="000865D6" w:rsidP="0057465F">
      <w:pPr>
        <w:spacing w:after="0" w:line="276" w:lineRule="auto"/>
        <w:ind w:left="720"/>
        <w:jc w:val="both"/>
        <w:rPr>
          <w:rFonts w:ascii="Times New Roman" w:hAnsi="Times New Roman" w:cs="Times New Roman"/>
        </w:rPr>
      </w:pPr>
      <w:r>
        <w:rPr>
          <w:rFonts w:ascii="Times New Roman" w:hAnsi="Times New Roman" w:cs="Times New Roman"/>
          <w:sz w:val="24"/>
          <w:szCs w:val="24"/>
        </w:rPr>
        <w:t>‘</w:t>
      </w:r>
      <w:r w:rsidRPr="00AC5220">
        <w:rPr>
          <w:rFonts w:ascii="Times New Roman" w:hAnsi="Times New Roman" w:cs="Times New Roman"/>
        </w:rPr>
        <w:t xml:space="preserve">According to the ‘golden rule’ of interpretation, the language in the document is to be given its grammatical and ordinary </w:t>
      </w:r>
      <w:r w:rsidR="00AC5220" w:rsidRPr="00AC5220">
        <w:rPr>
          <w:rFonts w:ascii="Times New Roman" w:hAnsi="Times New Roman" w:cs="Times New Roman"/>
        </w:rPr>
        <w:t>meaning,</w:t>
      </w:r>
      <w:r w:rsidRPr="00AC5220">
        <w:rPr>
          <w:rFonts w:ascii="Times New Roman" w:hAnsi="Times New Roman" w:cs="Times New Roman"/>
        </w:rPr>
        <w:t xml:space="preserve"> unless this would result in some absurdity, or some repugnancy or inconsistency with the rest of the instrument”</w:t>
      </w:r>
    </w:p>
    <w:p w:rsidR="0057465F" w:rsidRDefault="0057465F" w:rsidP="0057465F">
      <w:pPr>
        <w:spacing w:after="0" w:line="276" w:lineRule="auto"/>
        <w:ind w:left="720"/>
        <w:jc w:val="both"/>
        <w:rPr>
          <w:rFonts w:ascii="Times New Roman" w:hAnsi="Times New Roman" w:cs="Times New Roman"/>
        </w:rPr>
      </w:pPr>
    </w:p>
    <w:p w:rsidR="00AC5220" w:rsidRDefault="00AC5220" w:rsidP="000865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ambiguity in the language used in s3 (2) of the Act. The intention of the legislature can easily be ascertained from the ordinary and grammatical meaning of the language used.</w:t>
      </w:r>
    </w:p>
    <w:p w:rsidR="00B96D14" w:rsidRPr="00B96D14" w:rsidRDefault="000865D6" w:rsidP="000865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3331A">
        <w:rPr>
          <w:rFonts w:ascii="Times New Roman" w:hAnsi="Times New Roman" w:cs="Times New Roman"/>
          <w:sz w:val="24"/>
          <w:szCs w:val="24"/>
        </w:rPr>
        <w:t>Section</w:t>
      </w:r>
      <w:r w:rsidR="00AC5220">
        <w:rPr>
          <w:rFonts w:ascii="Times New Roman" w:hAnsi="Times New Roman" w:cs="Times New Roman"/>
          <w:sz w:val="24"/>
          <w:szCs w:val="24"/>
        </w:rPr>
        <w:t xml:space="preserve"> 3(2) of the Act</w:t>
      </w:r>
      <w:r w:rsidR="00B96D14">
        <w:rPr>
          <w:rFonts w:ascii="Times New Roman" w:hAnsi="Times New Roman" w:cs="Times New Roman"/>
          <w:sz w:val="24"/>
          <w:szCs w:val="24"/>
        </w:rPr>
        <w:t xml:space="preserve"> </w:t>
      </w:r>
      <w:r w:rsidR="00B96D14" w:rsidRPr="00B96D14">
        <w:rPr>
          <w:rFonts w:ascii="Times New Roman" w:hAnsi="Times New Roman" w:cs="Times New Roman"/>
          <w:sz w:val="24"/>
          <w:szCs w:val="24"/>
        </w:rPr>
        <w:t>reads:</w:t>
      </w:r>
    </w:p>
    <w:p w:rsidR="00B96D14" w:rsidRDefault="00B96D14" w:rsidP="0057465F">
      <w:pPr>
        <w:spacing w:after="0" w:line="240" w:lineRule="auto"/>
        <w:ind w:left="720"/>
        <w:jc w:val="both"/>
        <w:rPr>
          <w:rFonts w:ascii="Times New Roman" w:hAnsi="Times New Roman" w:cs="Times New Roman"/>
        </w:rPr>
      </w:pPr>
      <w:r w:rsidRPr="00AC5220">
        <w:rPr>
          <w:rFonts w:ascii="Times New Roman" w:hAnsi="Times New Roman" w:cs="Times New Roman"/>
        </w:rPr>
        <w:t>"In so far as any right or obligation of any person in relation to any other person is governed by customary law this Act shall   not apply."</w:t>
      </w:r>
    </w:p>
    <w:p w:rsidR="0057465F" w:rsidRPr="00EC1FDE" w:rsidRDefault="0057465F" w:rsidP="0057465F">
      <w:pPr>
        <w:spacing w:after="0" w:line="240" w:lineRule="auto"/>
        <w:ind w:left="720"/>
        <w:jc w:val="both"/>
        <w:rPr>
          <w:rFonts w:ascii="Times New Roman" w:hAnsi="Times New Roman" w:cs="Times New Roman"/>
          <w:sz w:val="24"/>
          <w:szCs w:val="24"/>
        </w:rPr>
      </w:pPr>
    </w:p>
    <w:p w:rsidR="00AC5220" w:rsidRDefault="00A27C6B" w:rsidP="00A2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5220">
        <w:rPr>
          <w:rFonts w:ascii="Times New Roman" w:hAnsi="Times New Roman" w:cs="Times New Roman"/>
          <w:sz w:val="24"/>
          <w:szCs w:val="24"/>
        </w:rPr>
        <w:t>The section deals with the applicable law in the determination of the parties’ rights and obliga</w:t>
      </w:r>
      <w:r w:rsidR="001F1094">
        <w:rPr>
          <w:rFonts w:ascii="Times New Roman" w:hAnsi="Times New Roman" w:cs="Times New Roman"/>
          <w:sz w:val="24"/>
          <w:szCs w:val="24"/>
        </w:rPr>
        <w:t>tions.</w:t>
      </w:r>
      <w:r w:rsidR="00AC5220">
        <w:rPr>
          <w:rFonts w:ascii="Times New Roman" w:hAnsi="Times New Roman" w:cs="Times New Roman"/>
          <w:sz w:val="24"/>
          <w:szCs w:val="24"/>
        </w:rPr>
        <w:t xml:space="preserve"> It is the applicable law therefore that determines whether the provisions of the </w:t>
      </w:r>
      <w:r w:rsidR="0057465F">
        <w:rPr>
          <w:rFonts w:ascii="Times New Roman" w:hAnsi="Times New Roman" w:cs="Times New Roman"/>
          <w:sz w:val="24"/>
          <w:szCs w:val="24"/>
        </w:rPr>
        <w:t>Act</w:t>
      </w:r>
      <w:r w:rsidR="00AC5220">
        <w:rPr>
          <w:rFonts w:ascii="Times New Roman" w:hAnsi="Times New Roman" w:cs="Times New Roman"/>
          <w:sz w:val="24"/>
          <w:szCs w:val="24"/>
        </w:rPr>
        <w:t xml:space="preserve"> are applicable or </w:t>
      </w:r>
      <w:r w:rsidR="001F1094">
        <w:rPr>
          <w:rFonts w:ascii="Times New Roman" w:hAnsi="Times New Roman" w:cs="Times New Roman"/>
          <w:sz w:val="24"/>
          <w:szCs w:val="24"/>
        </w:rPr>
        <w:t>not. The applicable law is determined by the nature of the pleadings through the cause of action.</w:t>
      </w:r>
    </w:p>
    <w:p w:rsidR="00557487" w:rsidRDefault="00AC5220" w:rsidP="005574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was urged to consider the genesis of the right and conclude that the cause of action is based on customary law therefore the provisions of the Act </w:t>
      </w:r>
      <w:r w:rsidR="00557487">
        <w:rPr>
          <w:rFonts w:ascii="Times New Roman" w:hAnsi="Times New Roman" w:cs="Times New Roman"/>
          <w:sz w:val="24"/>
          <w:szCs w:val="24"/>
        </w:rPr>
        <w:t>do not</w:t>
      </w:r>
      <w:r>
        <w:rPr>
          <w:rFonts w:ascii="Times New Roman" w:hAnsi="Times New Roman" w:cs="Times New Roman"/>
          <w:sz w:val="24"/>
          <w:szCs w:val="24"/>
        </w:rPr>
        <w:t xml:space="preserve"> </w:t>
      </w:r>
      <w:r w:rsidR="001F1094">
        <w:rPr>
          <w:rFonts w:ascii="Times New Roman" w:hAnsi="Times New Roman" w:cs="Times New Roman"/>
          <w:sz w:val="24"/>
          <w:szCs w:val="24"/>
        </w:rPr>
        <w:t>apply. There is a difficulty in the submission. The plaintiff’s cause of action is based on tacit universal partnership and unjust enrichment. The plaintiff cannot rely on the customary law union since the cause of action is not based on</w:t>
      </w:r>
      <w:r w:rsidR="005768C2">
        <w:rPr>
          <w:rFonts w:ascii="Times New Roman" w:hAnsi="Times New Roman" w:cs="Times New Roman"/>
          <w:sz w:val="24"/>
          <w:szCs w:val="24"/>
        </w:rPr>
        <w:t xml:space="preserve"> the</w:t>
      </w:r>
      <w:r w:rsidR="001F1094">
        <w:rPr>
          <w:rFonts w:ascii="Times New Roman" w:hAnsi="Times New Roman" w:cs="Times New Roman"/>
          <w:sz w:val="24"/>
          <w:szCs w:val="24"/>
        </w:rPr>
        <w:t xml:space="preserve"> customary law </w:t>
      </w:r>
      <w:r w:rsidR="00896A0A">
        <w:rPr>
          <w:rFonts w:ascii="Times New Roman" w:hAnsi="Times New Roman" w:cs="Times New Roman"/>
          <w:sz w:val="24"/>
          <w:szCs w:val="24"/>
        </w:rPr>
        <w:t>union. Section 3 (2) of the Act</w:t>
      </w:r>
      <w:r w:rsidR="00557487">
        <w:rPr>
          <w:rFonts w:ascii="Times New Roman" w:hAnsi="Times New Roman" w:cs="Times New Roman"/>
          <w:sz w:val="24"/>
          <w:szCs w:val="24"/>
        </w:rPr>
        <w:t xml:space="preserve"> is very clear and allows of no </w:t>
      </w:r>
      <w:r w:rsidR="005768C2">
        <w:rPr>
          <w:rFonts w:ascii="Times New Roman" w:hAnsi="Times New Roman" w:cs="Times New Roman"/>
          <w:sz w:val="24"/>
          <w:szCs w:val="24"/>
        </w:rPr>
        <w:t xml:space="preserve">other </w:t>
      </w:r>
      <w:r w:rsidR="00557487">
        <w:rPr>
          <w:rFonts w:ascii="Times New Roman" w:hAnsi="Times New Roman" w:cs="Times New Roman"/>
          <w:sz w:val="24"/>
          <w:szCs w:val="24"/>
        </w:rPr>
        <w:t>interpretation.</w:t>
      </w:r>
      <w:r w:rsidR="00896A0A">
        <w:rPr>
          <w:rFonts w:ascii="Times New Roman" w:hAnsi="Times New Roman" w:cs="Times New Roman"/>
          <w:sz w:val="24"/>
          <w:szCs w:val="24"/>
        </w:rPr>
        <w:t xml:space="preserve"> In other words where customary law is applied in the resolution of a dispute, the provisions of the Act will not </w:t>
      </w:r>
      <w:r w:rsidR="005768C2">
        <w:rPr>
          <w:rFonts w:ascii="Times New Roman" w:hAnsi="Times New Roman" w:cs="Times New Roman"/>
          <w:sz w:val="24"/>
          <w:szCs w:val="24"/>
        </w:rPr>
        <w:t>apply. The opposite is equally true, where general law is applicable in the determination of the parties’ rights the provisions of the Act will apply. This interpretation resonates</w:t>
      </w:r>
      <w:r w:rsidR="00557487">
        <w:rPr>
          <w:rFonts w:ascii="Times New Roman" w:hAnsi="Times New Roman" w:cs="Times New Roman"/>
          <w:sz w:val="24"/>
          <w:szCs w:val="24"/>
        </w:rPr>
        <w:t xml:space="preserve"> with reason since the concept of prescription is unknown under customary law.</w:t>
      </w:r>
    </w:p>
    <w:p w:rsidR="00AC5220" w:rsidRDefault="00557487" w:rsidP="00487ED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and the defendant were married in terms of an unregistered law union and therefore customary law would apply</w:t>
      </w:r>
      <w:r w:rsidR="000E4595">
        <w:rPr>
          <w:rFonts w:ascii="Times New Roman" w:hAnsi="Times New Roman" w:cs="Times New Roman"/>
          <w:sz w:val="24"/>
          <w:szCs w:val="24"/>
        </w:rPr>
        <w:t xml:space="preserve"> in the division of the property they acquired </w:t>
      </w:r>
      <w:r w:rsidR="00487ED3">
        <w:rPr>
          <w:rFonts w:ascii="Times New Roman" w:hAnsi="Times New Roman" w:cs="Times New Roman"/>
          <w:sz w:val="24"/>
          <w:szCs w:val="24"/>
        </w:rPr>
        <w:t>together. However</w:t>
      </w:r>
      <w:r w:rsidR="000E4595">
        <w:rPr>
          <w:rFonts w:ascii="Times New Roman" w:hAnsi="Times New Roman" w:cs="Times New Roman"/>
          <w:sz w:val="24"/>
          <w:szCs w:val="24"/>
        </w:rPr>
        <w:t xml:space="preserve"> in light of s3 of the Customary Law </w:t>
      </w:r>
      <w:r w:rsidR="00487ED3">
        <w:rPr>
          <w:rFonts w:ascii="Times New Roman" w:hAnsi="Times New Roman" w:cs="Times New Roman"/>
          <w:sz w:val="24"/>
          <w:szCs w:val="24"/>
        </w:rPr>
        <w:t xml:space="preserve">and </w:t>
      </w:r>
      <w:r w:rsidR="000E4595">
        <w:rPr>
          <w:rFonts w:ascii="Times New Roman" w:hAnsi="Times New Roman" w:cs="Times New Roman"/>
          <w:sz w:val="24"/>
          <w:szCs w:val="24"/>
        </w:rPr>
        <w:t>Local Courts Act</w:t>
      </w:r>
      <w:r w:rsidR="00487ED3">
        <w:rPr>
          <w:rFonts w:ascii="Times New Roman" w:hAnsi="Times New Roman" w:cs="Times New Roman"/>
          <w:sz w:val="24"/>
          <w:szCs w:val="24"/>
        </w:rPr>
        <w:t xml:space="preserve"> (Chapter 7:05),</w:t>
      </w:r>
      <w:r w:rsidR="000E4595">
        <w:rPr>
          <w:rFonts w:ascii="Times New Roman" w:hAnsi="Times New Roman" w:cs="Times New Roman"/>
          <w:sz w:val="24"/>
          <w:szCs w:val="24"/>
        </w:rPr>
        <w:t xml:space="preserve"> a claim on a proper cause of action </w:t>
      </w:r>
      <w:r w:rsidR="00487ED3">
        <w:rPr>
          <w:rFonts w:ascii="Times New Roman" w:hAnsi="Times New Roman" w:cs="Times New Roman"/>
          <w:sz w:val="24"/>
          <w:szCs w:val="24"/>
        </w:rPr>
        <w:t xml:space="preserve">under general law </w:t>
      </w:r>
      <w:r w:rsidR="000E4595">
        <w:rPr>
          <w:rFonts w:ascii="Times New Roman" w:hAnsi="Times New Roman" w:cs="Times New Roman"/>
          <w:sz w:val="24"/>
          <w:szCs w:val="24"/>
        </w:rPr>
        <w:t>can be made. C</w:t>
      </w:r>
      <w:r w:rsidR="000E4595" w:rsidRPr="000E4595">
        <w:rPr>
          <w:rFonts w:ascii="Times New Roman" w:hAnsi="Times New Roman" w:cs="Times New Roman"/>
          <w:sz w:val="24"/>
          <w:szCs w:val="24"/>
        </w:rPr>
        <w:t xml:space="preserve">ustomary law applies in civil cases where, regard being had to the nature of the case and the surrounding circumstances, it appears just and proper that it should apply. It does not apply if the justice of the case otherwise requires. Where </w:t>
      </w:r>
      <w:r w:rsidR="000E4595" w:rsidRPr="000E4595">
        <w:rPr>
          <w:rFonts w:ascii="Times New Roman" w:hAnsi="Times New Roman" w:cs="Times New Roman"/>
          <w:sz w:val="24"/>
          <w:szCs w:val="24"/>
        </w:rPr>
        <w:lastRenderedPageBreak/>
        <w:t xml:space="preserve">the application of customary law would bring injustice, the general law will </w:t>
      </w:r>
      <w:r w:rsidR="00487ED3" w:rsidRPr="000E4595">
        <w:rPr>
          <w:rFonts w:ascii="Times New Roman" w:hAnsi="Times New Roman" w:cs="Times New Roman"/>
          <w:sz w:val="24"/>
          <w:szCs w:val="24"/>
        </w:rPr>
        <w:t>apply.</w:t>
      </w:r>
      <w:r w:rsidR="00487ED3">
        <w:rPr>
          <w:rFonts w:ascii="Times New Roman" w:hAnsi="Times New Roman" w:cs="Times New Roman"/>
          <w:sz w:val="24"/>
          <w:szCs w:val="24"/>
        </w:rPr>
        <w:t xml:space="preserve"> Indeed our</w:t>
      </w:r>
      <w:r w:rsidR="000E4595">
        <w:rPr>
          <w:rFonts w:ascii="Times New Roman" w:hAnsi="Times New Roman" w:cs="Times New Roman"/>
          <w:sz w:val="24"/>
          <w:szCs w:val="24"/>
        </w:rPr>
        <w:t xml:space="preserve"> courts have applied general law in many cases where the plaintiff has properly set out her cause</w:t>
      </w:r>
      <w:r w:rsidR="000E4595">
        <w:rPr>
          <w:rStyle w:val="FootnoteReference"/>
          <w:rFonts w:ascii="Times New Roman" w:hAnsi="Times New Roman" w:cs="Times New Roman"/>
          <w:sz w:val="24"/>
          <w:szCs w:val="24"/>
        </w:rPr>
        <w:footnoteReference w:id="5"/>
      </w:r>
      <w:r w:rsidR="000E4595">
        <w:rPr>
          <w:rFonts w:ascii="Times New Roman" w:hAnsi="Times New Roman" w:cs="Times New Roman"/>
          <w:sz w:val="24"/>
          <w:szCs w:val="24"/>
        </w:rPr>
        <w:t>.</w:t>
      </w:r>
      <w:r w:rsidR="00487ED3">
        <w:rPr>
          <w:rFonts w:ascii="Times New Roman" w:hAnsi="Times New Roman" w:cs="Times New Roman"/>
          <w:sz w:val="24"/>
          <w:szCs w:val="24"/>
        </w:rPr>
        <w:t xml:space="preserve"> </w:t>
      </w:r>
      <w:r w:rsidR="00896A0A">
        <w:rPr>
          <w:rFonts w:ascii="Times New Roman" w:hAnsi="Times New Roman" w:cs="Times New Roman"/>
          <w:sz w:val="24"/>
          <w:szCs w:val="24"/>
        </w:rPr>
        <w:t xml:space="preserve">Thus </w:t>
      </w:r>
      <w:r w:rsidR="00487ED3">
        <w:rPr>
          <w:rFonts w:ascii="Times New Roman" w:hAnsi="Times New Roman" w:cs="Times New Roman"/>
          <w:sz w:val="24"/>
          <w:szCs w:val="24"/>
        </w:rPr>
        <w:t xml:space="preserve">even if parties are married in terms of an unregistered customary law union, their rights and obligations can be determined applying general law provided the cause of action is properly pleaded. </w:t>
      </w:r>
      <w:r w:rsidR="000E4595">
        <w:rPr>
          <w:rFonts w:ascii="Times New Roman" w:hAnsi="Times New Roman" w:cs="Times New Roman"/>
          <w:sz w:val="24"/>
          <w:szCs w:val="24"/>
        </w:rPr>
        <w:t xml:space="preserve"> </w:t>
      </w:r>
    </w:p>
    <w:p w:rsidR="00A27C6B" w:rsidRDefault="00A27C6B" w:rsidP="00A2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cause of action as set out in the summons is </w:t>
      </w:r>
    </w:p>
    <w:p w:rsidR="00A27C6B" w:rsidRDefault="00A27C6B" w:rsidP="00A27C6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Sharing of immovable property that was acquired by the parties during the subsistence of their universal partnership alternatively</w:t>
      </w:r>
    </w:p>
    <w:p w:rsidR="00487ED3" w:rsidRDefault="00A27C6B" w:rsidP="00487ED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claims against the defendant sharing of immovable property acquired during the subsistence of an unregistered customary law union between the parties based on the principle of unjust enrichment. </w:t>
      </w:r>
    </w:p>
    <w:p w:rsidR="00A27C6B" w:rsidRDefault="00A27C6B" w:rsidP="00A27C6B">
      <w:pPr>
        <w:spacing w:after="0" w:line="360" w:lineRule="auto"/>
        <w:ind w:firstLine="360"/>
        <w:jc w:val="both"/>
        <w:rPr>
          <w:rFonts w:ascii="Times New Roman" w:hAnsi="Times New Roman" w:cs="Times New Roman"/>
          <w:sz w:val="24"/>
          <w:szCs w:val="24"/>
        </w:rPr>
      </w:pPr>
      <w:r w:rsidRPr="00487ED3">
        <w:rPr>
          <w:rFonts w:ascii="Times New Roman" w:hAnsi="Times New Roman" w:cs="Times New Roman"/>
          <w:sz w:val="24"/>
          <w:szCs w:val="24"/>
        </w:rPr>
        <w:t xml:space="preserve">The pleaded causes of action are tacit universal partnership and unjust enrichment. </w:t>
      </w:r>
      <w:r w:rsidR="00357585">
        <w:rPr>
          <w:rFonts w:ascii="Times New Roman" w:hAnsi="Times New Roman" w:cs="Times New Roman"/>
          <w:sz w:val="24"/>
          <w:szCs w:val="24"/>
        </w:rPr>
        <w:t>T</w:t>
      </w:r>
      <w:r w:rsidRPr="00487ED3">
        <w:rPr>
          <w:rFonts w:ascii="Times New Roman" w:hAnsi="Times New Roman" w:cs="Times New Roman"/>
          <w:sz w:val="24"/>
          <w:szCs w:val="24"/>
        </w:rPr>
        <w:t>hese two concepts are unknown under</w:t>
      </w:r>
      <w:r w:rsidR="00357585">
        <w:rPr>
          <w:rFonts w:ascii="Times New Roman" w:hAnsi="Times New Roman" w:cs="Times New Roman"/>
          <w:sz w:val="24"/>
          <w:szCs w:val="24"/>
        </w:rPr>
        <w:t xml:space="preserve"> customary </w:t>
      </w:r>
      <w:r w:rsidRPr="00487ED3">
        <w:rPr>
          <w:rFonts w:ascii="Times New Roman" w:hAnsi="Times New Roman" w:cs="Times New Roman"/>
          <w:sz w:val="24"/>
          <w:szCs w:val="24"/>
        </w:rPr>
        <w:t xml:space="preserve">law. They are </w:t>
      </w:r>
      <w:r w:rsidR="00357585">
        <w:rPr>
          <w:rFonts w:ascii="Times New Roman" w:hAnsi="Times New Roman" w:cs="Times New Roman"/>
          <w:sz w:val="24"/>
          <w:szCs w:val="24"/>
        </w:rPr>
        <w:t xml:space="preserve">common </w:t>
      </w:r>
      <w:r w:rsidR="00357585" w:rsidRPr="00487ED3">
        <w:rPr>
          <w:rFonts w:ascii="Times New Roman" w:hAnsi="Times New Roman" w:cs="Times New Roman"/>
          <w:sz w:val="24"/>
          <w:szCs w:val="24"/>
        </w:rPr>
        <w:t>law</w:t>
      </w:r>
      <w:r w:rsidRPr="00487ED3">
        <w:rPr>
          <w:rFonts w:ascii="Times New Roman" w:hAnsi="Times New Roman" w:cs="Times New Roman"/>
          <w:sz w:val="24"/>
          <w:szCs w:val="24"/>
        </w:rPr>
        <w:t xml:space="preserve"> </w:t>
      </w:r>
      <w:r w:rsidR="00541023" w:rsidRPr="00487ED3">
        <w:rPr>
          <w:rFonts w:ascii="Times New Roman" w:hAnsi="Times New Roman" w:cs="Times New Roman"/>
          <w:sz w:val="24"/>
          <w:szCs w:val="24"/>
        </w:rPr>
        <w:t>concepts.</w:t>
      </w:r>
      <w:r w:rsidR="00541023">
        <w:rPr>
          <w:rFonts w:ascii="Times New Roman" w:hAnsi="Times New Roman" w:cs="Times New Roman"/>
          <w:sz w:val="24"/>
          <w:szCs w:val="24"/>
        </w:rPr>
        <w:t xml:space="preserve"> The</w:t>
      </w:r>
      <w:r w:rsidR="00487ED3">
        <w:rPr>
          <w:rFonts w:ascii="Times New Roman" w:hAnsi="Times New Roman" w:cs="Times New Roman"/>
          <w:sz w:val="24"/>
          <w:szCs w:val="24"/>
        </w:rPr>
        <w:t xml:space="preserve"> </w:t>
      </w:r>
      <w:r w:rsidR="00487ED3" w:rsidRPr="00487ED3">
        <w:rPr>
          <w:rFonts w:ascii="Times New Roman" w:hAnsi="Times New Roman" w:cs="Times New Roman"/>
          <w:i/>
          <w:sz w:val="24"/>
          <w:szCs w:val="24"/>
        </w:rPr>
        <w:t>Pasipanodya</w:t>
      </w:r>
      <w:r w:rsidR="00487ED3">
        <w:rPr>
          <w:rFonts w:ascii="Times New Roman" w:hAnsi="Times New Roman" w:cs="Times New Roman"/>
          <w:sz w:val="24"/>
          <w:szCs w:val="24"/>
        </w:rPr>
        <w:t xml:space="preserve"> case (supra)</w:t>
      </w:r>
      <w:r w:rsidR="00541023">
        <w:rPr>
          <w:rFonts w:ascii="Times New Roman" w:hAnsi="Times New Roman" w:cs="Times New Roman"/>
          <w:sz w:val="24"/>
          <w:szCs w:val="24"/>
        </w:rPr>
        <w:t xml:space="preserve"> does not assist the </w:t>
      </w:r>
      <w:r w:rsidR="00357585">
        <w:rPr>
          <w:rFonts w:ascii="Times New Roman" w:hAnsi="Times New Roman" w:cs="Times New Roman"/>
          <w:sz w:val="24"/>
          <w:szCs w:val="24"/>
        </w:rPr>
        <w:t>applicant. In that case, the cause of action was based on the unregistered</w:t>
      </w:r>
      <w:r w:rsidR="00541023">
        <w:rPr>
          <w:rFonts w:ascii="Times New Roman" w:hAnsi="Times New Roman" w:cs="Times New Roman"/>
          <w:sz w:val="24"/>
          <w:szCs w:val="24"/>
        </w:rPr>
        <w:t xml:space="preserve"> customary law union. The cause of action was not</w:t>
      </w:r>
      <w:r w:rsidR="005768C2">
        <w:rPr>
          <w:rFonts w:ascii="Times New Roman" w:hAnsi="Times New Roman" w:cs="Times New Roman"/>
          <w:sz w:val="24"/>
          <w:szCs w:val="24"/>
        </w:rPr>
        <w:t xml:space="preserve"> based on general law as</w:t>
      </w:r>
      <w:r w:rsidR="00541023">
        <w:rPr>
          <w:rFonts w:ascii="Times New Roman" w:hAnsi="Times New Roman" w:cs="Times New Roman"/>
          <w:sz w:val="24"/>
          <w:szCs w:val="24"/>
        </w:rPr>
        <w:t xml:space="preserve"> set out in the plaintiff’s summons.</w:t>
      </w:r>
      <w:r>
        <w:rPr>
          <w:rFonts w:ascii="Times New Roman" w:hAnsi="Times New Roman" w:cs="Times New Roman"/>
          <w:sz w:val="24"/>
          <w:szCs w:val="24"/>
        </w:rPr>
        <w:t xml:space="preserve"> </w:t>
      </w:r>
    </w:p>
    <w:p w:rsidR="00551470" w:rsidRDefault="00541023" w:rsidP="00A27C6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submitting that the provisions of the Act do not apply in this case,</w:t>
      </w:r>
      <w:r w:rsidR="00A27C6B">
        <w:rPr>
          <w:rFonts w:ascii="Times New Roman" w:hAnsi="Times New Roman" w:cs="Times New Roman"/>
          <w:sz w:val="24"/>
          <w:szCs w:val="24"/>
        </w:rPr>
        <w:t xml:space="preserve"> the plaintiff is blowing hot and cold. In pleading general law concepts as causes of action, she wants general law to apply </w:t>
      </w:r>
      <w:r w:rsidR="00357585">
        <w:rPr>
          <w:rFonts w:ascii="Times New Roman" w:hAnsi="Times New Roman" w:cs="Times New Roman"/>
          <w:sz w:val="24"/>
          <w:szCs w:val="24"/>
        </w:rPr>
        <w:t>in</w:t>
      </w:r>
      <w:r w:rsidR="00A27C6B">
        <w:rPr>
          <w:rFonts w:ascii="Times New Roman" w:hAnsi="Times New Roman" w:cs="Times New Roman"/>
          <w:sz w:val="24"/>
          <w:szCs w:val="24"/>
        </w:rPr>
        <w:t xml:space="preserve"> her </w:t>
      </w:r>
      <w:r>
        <w:rPr>
          <w:rFonts w:ascii="Times New Roman" w:hAnsi="Times New Roman" w:cs="Times New Roman"/>
          <w:sz w:val="24"/>
          <w:szCs w:val="24"/>
        </w:rPr>
        <w:t xml:space="preserve">circumstances. The plaintiff dedicated some paragraphs in her founding affidavit narrating how they lived a life that </w:t>
      </w:r>
      <w:r w:rsidR="00357585">
        <w:rPr>
          <w:rFonts w:ascii="Times New Roman" w:hAnsi="Times New Roman" w:cs="Times New Roman"/>
          <w:sz w:val="24"/>
          <w:szCs w:val="24"/>
        </w:rPr>
        <w:t>deserves</w:t>
      </w:r>
      <w:r>
        <w:rPr>
          <w:rFonts w:ascii="Times New Roman" w:hAnsi="Times New Roman" w:cs="Times New Roman"/>
          <w:sz w:val="24"/>
          <w:szCs w:val="24"/>
        </w:rPr>
        <w:t xml:space="preserve"> the application of general law. It would seem that the plaintiff wants a restricted application of general law. If general law applies in the sharing of the parties’ property, therefore all the general law principles must apply. It would be</w:t>
      </w:r>
      <w:r w:rsidR="00551470">
        <w:rPr>
          <w:rFonts w:ascii="Times New Roman" w:hAnsi="Times New Roman" w:cs="Times New Roman"/>
          <w:sz w:val="24"/>
          <w:szCs w:val="24"/>
        </w:rPr>
        <w:t xml:space="preserve"> an</w:t>
      </w:r>
      <w:r>
        <w:rPr>
          <w:rFonts w:ascii="Times New Roman" w:hAnsi="Times New Roman" w:cs="Times New Roman"/>
          <w:sz w:val="24"/>
          <w:szCs w:val="24"/>
        </w:rPr>
        <w:t xml:space="preserve"> absurdity and an affront to the proper administration of justice to selectively apply the principles of general law</w:t>
      </w:r>
      <w:r w:rsidR="00551470">
        <w:rPr>
          <w:rFonts w:ascii="Times New Roman" w:hAnsi="Times New Roman" w:cs="Times New Roman"/>
          <w:sz w:val="24"/>
          <w:szCs w:val="24"/>
        </w:rPr>
        <w:t xml:space="preserve"> by</w:t>
      </w:r>
      <w:r>
        <w:rPr>
          <w:rFonts w:ascii="Times New Roman" w:hAnsi="Times New Roman" w:cs="Times New Roman"/>
          <w:sz w:val="24"/>
          <w:szCs w:val="24"/>
        </w:rPr>
        <w:t xml:space="preserve"> apply</w:t>
      </w:r>
      <w:r w:rsidR="00551470">
        <w:rPr>
          <w:rFonts w:ascii="Times New Roman" w:hAnsi="Times New Roman" w:cs="Times New Roman"/>
          <w:sz w:val="24"/>
          <w:szCs w:val="24"/>
        </w:rPr>
        <w:t>ing</w:t>
      </w:r>
      <w:r>
        <w:rPr>
          <w:rFonts w:ascii="Times New Roman" w:hAnsi="Times New Roman" w:cs="Times New Roman"/>
          <w:sz w:val="24"/>
          <w:szCs w:val="24"/>
        </w:rPr>
        <w:t xml:space="preserve"> only the two concepts of general law as pleaded by the applicant and turn a blind eye to other general law principles. I was not given any authority for such a </w:t>
      </w:r>
      <w:r w:rsidR="00551470">
        <w:rPr>
          <w:rFonts w:ascii="Times New Roman" w:hAnsi="Times New Roman" w:cs="Times New Roman"/>
          <w:sz w:val="24"/>
          <w:szCs w:val="24"/>
        </w:rPr>
        <w:t>proposition</w:t>
      </w:r>
      <w:r>
        <w:rPr>
          <w:rFonts w:ascii="Times New Roman" w:hAnsi="Times New Roman" w:cs="Times New Roman"/>
          <w:sz w:val="24"/>
          <w:szCs w:val="24"/>
        </w:rPr>
        <w:t xml:space="preserve"> which l believe maybe problematic.</w:t>
      </w:r>
      <w:r w:rsidR="00A27C6B">
        <w:rPr>
          <w:rFonts w:ascii="Times New Roman" w:hAnsi="Times New Roman" w:cs="Times New Roman"/>
          <w:sz w:val="24"/>
          <w:szCs w:val="24"/>
        </w:rPr>
        <w:t xml:space="preserve"> </w:t>
      </w:r>
    </w:p>
    <w:p w:rsidR="00A27C6B" w:rsidRDefault="00551470" w:rsidP="00551470">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court fully appreciates the plaintiff’s unfortunate </w:t>
      </w:r>
      <w:r w:rsidR="00357585">
        <w:rPr>
          <w:rFonts w:ascii="Times New Roman" w:hAnsi="Times New Roman" w:cs="Times New Roman"/>
          <w:sz w:val="24"/>
          <w:szCs w:val="24"/>
        </w:rPr>
        <w:t>circumstances. The</w:t>
      </w:r>
      <w:r>
        <w:rPr>
          <w:rFonts w:ascii="Times New Roman" w:hAnsi="Times New Roman" w:cs="Times New Roman"/>
          <w:sz w:val="24"/>
          <w:szCs w:val="24"/>
        </w:rPr>
        <w:t xml:space="preserve"> status of a customary law union </w:t>
      </w:r>
      <w:r w:rsidR="00357585">
        <w:rPr>
          <w:rFonts w:ascii="Times New Roman" w:hAnsi="Times New Roman" w:cs="Times New Roman"/>
          <w:sz w:val="24"/>
          <w:szCs w:val="24"/>
        </w:rPr>
        <w:t xml:space="preserve">has not </w:t>
      </w:r>
      <w:r w:rsidR="005768C2">
        <w:rPr>
          <w:rFonts w:ascii="Times New Roman" w:hAnsi="Times New Roman" w:cs="Times New Roman"/>
          <w:sz w:val="24"/>
          <w:szCs w:val="24"/>
        </w:rPr>
        <w:t>developed in light of</w:t>
      </w:r>
      <w:r>
        <w:rPr>
          <w:rFonts w:ascii="Times New Roman" w:hAnsi="Times New Roman" w:cs="Times New Roman"/>
          <w:sz w:val="24"/>
          <w:szCs w:val="24"/>
        </w:rPr>
        <w:t xml:space="preserve"> modern trends .The legislature has not intervened to </w:t>
      </w:r>
      <w:r>
        <w:rPr>
          <w:rFonts w:ascii="Times New Roman" w:hAnsi="Times New Roman" w:cs="Times New Roman"/>
          <w:sz w:val="24"/>
          <w:szCs w:val="24"/>
        </w:rPr>
        <w:lastRenderedPageBreak/>
        <w:t>properly guide the parties on how to proceed in the event of termination of the union despite numerous calls from different sections of society</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.As a result parties grope in the dark in pursuit of a share in their hard earned </w:t>
      </w:r>
      <w:r w:rsidR="00AF01FD">
        <w:rPr>
          <w:rFonts w:ascii="Times New Roman" w:hAnsi="Times New Roman" w:cs="Times New Roman"/>
          <w:sz w:val="24"/>
          <w:szCs w:val="24"/>
        </w:rPr>
        <w:t>properties. While</w:t>
      </w:r>
      <w:r>
        <w:rPr>
          <w:rFonts w:ascii="Times New Roman" w:hAnsi="Times New Roman" w:cs="Times New Roman"/>
          <w:sz w:val="24"/>
          <w:szCs w:val="24"/>
        </w:rPr>
        <w:t xml:space="preserve"> they knock different doors time lapses as in this </w:t>
      </w:r>
      <w:r w:rsidR="00AF01FD">
        <w:rPr>
          <w:rFonts w:ascii="Times New Roman" w:hAnsi="Times New Roman" w:cs="Times New Roman"/>
          <w:sz w:val="24"/>
          <w:szCs w:val="24"/>
        </w:rPr>
        <w:t>case. The plai</w:t>
      </w:r>
      <w:r w:rsidR="00357585">
        <w:rPr>
          <w:rFonts w:ascii="Times New Roman" w:hAnsi="Times New Roman" w:cs="Times New Roman"/>
          <w:sz w:val="24"/>
          <w:szCs w:val="24"/>
        </w:rPr>
        <w:t>ntiff held on to a nullity from</w:t>
      </w:r>
      <w:r w:rsidR="00AF01FD">
        <w:rPr>
          <w:rFonts w:ascii="Times New Roman" w:hAnsi="Times New Roman" w:cs="Times New Roman"/>
          <w:sz w:val="24"/>
          <w:szCs w:val="24"/>
        </w:rPr>
        <w:t xml:space="preserve"> 2012 until 2020. Surprisingly</w:t>
      </w:r>
      <w:r w:rsidR="00A27C6B">
        <w:rPr>
          <w:rFonts w:ascii="Times New Roman" w:hAnsi="Times New Roman" w:cs="Times New Roman"/>
          <w:sz w:val="24"/>
          <w:szCs w:val="24"/>
        </w:rPr>
        <w:t xml:space="preserve"> the defendant </w:t>
      </w:r>
      <w:r w:rsidR="00357585">
        <w:rPr>
          <w:rFonts w:ascii="Times New Roman" w:hAnsi="Times New Roman" w:cs="Times New Roman"/>
          <w:sz w:val="24"/>
          <w:szCs w:val="24"/>
        </w:rPr>
        <w:t>who initially</w:t>
      </w:r>
      <w:r w:rsidR="00A27C6B">
        <w:rPr>
          <w:rFonts w:ascii="Times New Roman" w:hAnsi="Times New Roman" w:cs="Times New Roman"/>
          <w:sz w:val="24"/>
          <w:szCs w:val="24"/>
        </w:rPr>
        <w:t xml:space="preserve"> consented to the division of property now raised a sword to destroy the plaintiff’s claim. </w:t>
      </w:r>
      <w:r w:rsidR="00A27C6B">
        <w:rPr>
          <w:rFonts w:ascii="Times New Roman" w:hAnsi="Times New Roman" w:cs="Times New Roman"/>
          <w:sz w:val="24"/>
          <w:szCs w:val="24"/>
        </w:rPr>
        <w:tab/>
      </w:r>
    </w:p>
    <w:p w:rsidR="00AF01FD" w:rsidRDefault="00A27C6B" w:rsidP="00A2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observed in</w:t>
      </w:r>
      <w:r w:rsidR="00357585">
        <w:rPr>
          <w:rFonts w:ascii="Times New Roman" w:hAnsi="Times New Roman" w:cs="Times New Roman"/>
          <w:sz w:val="24"/>
          <w:szCs w:val="24"/>
        </w:rPr>
        <w:t xml:space="preserve"> the</w:t>
      </w:r>
      <w:r>
        <w:rPr>
          <w:rFonts w:ascii="Times New Roman" w:hAnsi="Times New Roman" w:cs="Times New Roman"/>
          <w:sz w:val="24"/>
          <w:szCs w:val="24"/>
        </w:rPr>
        <w:t xml:space="preserve"> </w:t>
      </w:r>
      <w:r>
        <w:rPr>
          <w:rFonts w:ascii="Times New Roman" w:hAnsi="Times New Roman" w:cs="Times New Roman"/>
          <w:i/>
          <w:sz w:val="24"/>
          <w:szCs w:val="24"/>
        </w:rPr>
        <w:t>Zembe</w:t>
      </w:r>
      <w:r>
        <w:rPr>
          <w:rFonts w:ascii="Times New Roman" w:hAnsi="Times New Roman" w:cs="Times New Roman"/>
          <w:sz w:val="24"/>
          <w:szCs w:val="24"/>
        </w:rPr>
        <w:t xml:space="preserve"> case</w:t>
      </w:r>
      <w:r w:rsidR="00357585">
        <w:rPr>
          <w:rFonts w:ascii="Times New Roman" w:hAnsi="Times New Roman" w:cs="Times New Roman"/>
          <w:sz w:val="24"/>
          <w:szCs w:val="24"/>
        </w:rPr>
        <w:t xml:space="preserve"> (supra)</w:t>
      </w:r>
      <w:r>
        <w:rPr>
          <w:rFonts w:ascii="Times New Roman" w:hAnsi="Times New Roman" w:cs="Times New Roman"/>
          <w:sz w:val="24"/>
          <w:szCs w:val="24"/>
        </w:rPr>
        <w:t xml:space="preserve">, it is for the litigant through their legal practitioners to approach the court and properly plead their cases. In this case even if the plaintiff properly pleaded her </w:t>
      </w:r>
      <w:r w:rsidR="00357585">
        <w:rPr>
          <w:rFonts w:ascii="Times New Roman" w:hAnsi="Times New Roman" w:cs="Times New Roman"/>
          <w:sz w:val="24"/>
          <w:szCs w:val="24"/>
        </w:rPr>
        <w:t>case, the claim had prescribed. This is so because in the determination of the parties’</w:t>
      </w:r>
      <w:r w:rsidR="00AF01FD">
        <w:rPr>
          <w:rFonts w:ascii="Times New Roman" w:hAnsi="Times New Roman" w:cs="Times New Roman"/>
          <w:sz w:val="24"/>
          <w:szCs w:val="24"/>
        </w:rPr>
        <w:t xml:space="preserve"> rights and </w:t>
      </w:r>
      <w:r w:rsidR="005768C2">
        <w:rPr>
          <w:rFonts w:ascii="Times New Roman" w:hAnsi="Times New Roman" w:cs="Times New Roman"/>
          <w:sz w:val="24"/>
          <w:szCs w:val="24"/>
        </w:rPr>
        <w:t xml:space="preserve">obligations general law shall </w:t>
      </w:r>
      <w:r w:rsidR="00AF01FD">
        <w:rPr>
          <w:rFonts w:ascii="Times New Roman" w:hAnsi="Times New Roman" w:cs="Times New Roman"/>
          <w:sz w:val="24"/>
          <w:szCs w:val="24"/>
        </w:rPr>
        <w:t xml:space="preserve"> appl</w:t>
      </w:r>
      <w:r w:rsidR="00357585">
        <w:rPr>
          <w:rFonts w:ascii="Times New Roman" w:hAnsi="Times New Roman" w:cs="Times New Roman"/>
          <w:sz w:val="24"/>
          <w:szCs w:val="24"/>
        </w:rPr>
        <w:t>y</w:t>
      </w:r>
      <w:r w:rsidR="00AF01FD">
        <w:rPr>
          <w:rFonts w:ascii="Times New Roman" w:hAnsi="Times New Roman" w:cs="Times New Roman"/>
          <w:sz w:val="24"/>
          <w:szCs w:val="24"/>
        </w:rPr>
        <w:t>. As such the provisions of s3 (2) of the Prescription Act do not apply.</w:t>
      </w:r>
    </w:p>
    <w:p w:rsidR="00A27C6B" w:rsidRDefault="00A27C6B" w:rsidP="00A2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F01FD">
        <w:rPr>
          <w:rFonts w:ascii="Times New Roman" w:hAnsi="Times New Roman" w:cs="Times New Roman"/>
          <w:sz w:val="24"/>
          <w:szCs w:val="24"/>
        </w:rPr>
        <w:t xml:space="preserve">It </w:t>
      </w:r>
      <w:r w:rsidR="00357585">
        <w:rPr>
          <w:rFonts w:ascii="Times New Roman" w:hAnsi="Times New Roman" w:cs="Times New Roman"/>
          <w:sz w:val="24"/>
          <w:szCs w:val="24"/>
        </w:rPr>
        <w:t xml:space="preserve">is common cause </w:t>
      </w:r>
      <w:r w:rsidR="00AF01FD">
        <w:rPr>
          <w:rFonts w:ascii="Times New Roman" w:hAnsi="Times New Roman" w:cs="Times New Roman"/>
          <w:sz w:val="24"/>
          <w:szCs w:val="24"/>
        </w:rPr>
        <w:t>that the summons was issued after the prescriptive period. It was also conceded</w:t>
      </w:r>
      <w:r>
        <w:rPr>
          <w:rFonts w:ascii="Times New Roman" w:hAnsi="Times New Roman" w:cs="Times New Roman"/>
          <w:sz w:val="24"/>
          <w:szCs w:val="24"/>
        </w:rPr>
        <w:t xml:space="preserve"> that the litigation</w:t>
      </w:r>
      <w:r w:rsidR="00AF01FD">
        <w:rPr>
          <w:rFonts w:ascii="Times New Roman" w:hAnsi="Times New Roman" w:cs="Times New Roman"/>
          <w:sz w:val="24"/>
          <w:szCs w:val="24"/>
        </w:rPr>
        <w:t xml:space="preserve"> in the community court</w:t>
      </w:r>
      <w:r>
        <w:rPr>
          <w:rFonts w:ascii="Times New Roman" w:hAnsi="Times New Roman" w:cs="Times New Roman"/>
          <w:sz w:val="24"/>
          <w:szCs w:val="24"/>
        </w:rPr>
        <w:t xml:space="preserve"> did not interrupt the running of </w:t>
      </w:r>
      <w:r w:rsidR="00AF01FD">
        <w:rPr>
          <w:rFonts w:ascii="Times New Roman" w:hAnsi="Times New Roman" w:cs="Times New Roman"/>
          <w:sz w:val="24"/>
          <w:szCs w:val="24"/>
        </w:rPr>
        <w:t>prescription. On that basis the special plea must succeed.</w:t>
      </w:r>
    </w:p>
    <w:p w:rsidR="00A27C6B" w:rsidRDefault="00A27C6B" w:rsidP="00A2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defendant seeks costs on a higher scale. I do not find any justification for costs on a higher scale. The plaintiff’s claim</w:t>
      </w:r>
      <w:r w:rsidR="00AF01FD">
        <w:rPr>
          <w:rFonts w:ascii="Times New Roman" w:hAnsi="Times New Roman" w:cs="Times New Roman"/>
          <w:sz w:val="24"/>
          <w:szCs w:val="24"/>
        </w:rPr>
        <w:t xml:space="preserve"> was</w:t>
      </w:r>
      <w:r>
        <w:rPr>
          <w:rFonts w:ascii="Times New Roman" w:hAnsi="Times New Roman" w:cs="Times New Roman"/>
          <w:sz w:val="24"/>
          <w:szCs w:val="24"/>
        </w:rPr>
        <w:t xml:space="preserve"> justified considering that the matrimonial proper</w:t>
      </w:r>
      <w:r w:rsidR="00AF01FD">
        <w:rPr>
          <w:rFonts w:ascii="Times New Roman" w:hAnsi="Times New Roman" w:cs="Times New Roman"/>
          <w:sz w:val="24"/>
          <w:szCs w:val="24"/>
        </w:rPr>
        <w:t>ty</w:t>
      </w:r>
      <w:r>
        <w:rPr>
          <w:rFonts w:ascii="Times New Roman" w:hAnsi="Times New Roman" w:cs="Times New Roman"/>
          <w:sz w:val="24"/>
          <w:szCs w:val="24"/>
        </w:rPr>
        <w:t xml:space="preserve"> was not shared except for the technica</w:t>
      </w:r>
      <w:r w:rsidR="00AF01FD">
        <w:rPr>
          <w:rFonts w:ascii="Times New Roman" w:hAnsi="Times New Roman" w:cs="Times New Roman"/>
          <w:sz w:val="24"/>
          <w:szCs w:val="24"/>
        </w:rPr>
        <w:t>lity</w:t>
      </w:r>
      <w:r>
        <w:rPr>
          <w:rFonts w:ascii="Times New Roman" w:hAnsi="Times New Roman" w:cs="Times New Roman"/>
          <w:sz w:val="24"/>
          <w:szCs w:val="24"/>
        </w:rPr>
        <w:t xml:space="preserve"> of prescription.</w:t>
      </w:r>
    </w:p>
    <w:p w:rsidR="00357585" w:rsidRDefault="00A27C6B" w:rsidP="00A2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57585" w:rsidRDefault="00A27C6B" w:rsidP="003575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w:t>
      </w:r>
      <w:r w:rsidR="00AF01FD">
        <w:rPr>
          <w:rFonts w:ascii="Times New Roman" w:hAnsi="Times New Roman" w:cs="Times New Roman"/>
          <w:sz w:val="24"/>
          <w:szCs w:val="24"/>
        </w:rPr>
        <w:t>ly</w:t>
      </w:r>
      <w:r>
        <w:rPr>
          <w:rFonts w:ascii="Times New Roman" w:hAnsi="Times New Roman" w:cs="Times New Roman"/>
          <w:sz w:val="24"/>
          <w:szCs w:val="24"/>
        </w:rPr>
        <w:t xml:space="preserve"> the special plea is upheld</w:t>
      </w:r>
    </w:p>
    <w:p w:rsidR="00A27C6B" w:rsidRDefault="00A27C6B" w:rsidP="00A27C6B">
      <w:pPr>
        <w:spacing w:after="0" w:line="360" w:lineRule="auto"/>
        <w:jc w:val="both"/>
        <w:rPr>
          <w:rFonts w:ascii="Times New Roman" w:hAnsi="Times New Roman" w:cs="Times New Roman"/>
          <w:sz w:val="24"/>
          <w:szCs w:val="24"/>
        </w:rPr>
      </w:pPr>
    </w:p>
    <w:p w:rsidR="00A27C6B" w:rsidRDefault="00A27C6B" w:rsidP="00A27C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claim dismissed with costs.</w:t>
      </w:r>
    </w:p>
    <w:p w:rsidR="00A27C6B" w:rsidRDefault="00A27C6B" w:rsidP="00A27C6B">
      <w:pPr>
        <w:spacing w:after="0" w:line="360" w:lineRule="auto"/>
        <w:jc w:val="both"/>
        <w:rPr>
          <w:rFonts w:ascii="Times New Roman" w:hAnsi="Times New Roman" w:cs="Times New Roman"/>
          <w:sz w:val="24"/>
          <w:szCs w:val="24"/>
        </w:rPr>
      </w:pPr>
    </w:p>
    <w:p w:rsidR="00A27C6B" w:rsidRDefault="00A27C6B" w:rsidP="00A27C6B">
      <w:pPr>
        <w:spacing w:after="0" w:line="360" w:lineRule="auto"/>
        <w:jc w:val="both"/>
        <w:rPr>
          <w:rFonts w:ascii="Times New Roman" w:hAnsi="Times New Roman" w:cs="Times New Roman"/>
          <w:sz w:val="24"/>
          <w:szCs w:val="24"/>
        </w:rPr>
      </w:pPr>
    </w:p>
    <w:p w:rsidR="00A27C6B" w:rsidRDefault="00B25AFE" w:rsidP="00A27C6B">
      <w:pPr>
        <w:spacing w:after="0" w:line="240" w:lineRule="auto"/>
        <w:jc w:val="both"/>
        <w:rPr>
          <w:rFonts w:ascii="Times New Roman" w:hAnsi="Times New Roman" w:cs="Times New Roman"/>
          <w:sz w:val="24"/>
          <w:szCs w:val="24"/>
        </w:rPr>
      </w:pPr>
      <w:r w:rsidRPr="00522A08">
        <w:rPr>
          <w:rFonts w:ascii="Times New Roman" w:hAnsi="Times New Roman" w:cs="Times New Roman"/>
          <w:i/>
          <w:sz w:val="24"/>
          <w:szCs w:val="24"/>
        </w:rPr>
        <w:t>Gasa-Nyamadzawo &amp; Associates</w:t>
      </w:r>
      <w:r>
        <w:rPr>
          <w:rFonts w:ascii="Times New Roman" w:hAnsi="Times New Roman" w:cs="Times New Roman"/>
          <w:sz w:val="24"/>
          <w:szCs w:val="24"/>
        </w:rPr>
        <w:t>,</w:t>
      </w:r>
      <w:r w:rsidR="00EA77A8">
        <w:rPr>
          <w:rFonts w:ascii="Times New Roman" w:hAnsi="Times New Roman" w:cs="Times New Roman"/>
          <w:sz w:val="24"/>
          <w:szCs w:val="24"/>
        </w:rPr>
        <w:t xml:space="preserve"> Plaintiff’s Legal P</w:t>
      </w:r>
      <w:r w:rsidR="00A27C6B">
        <w:rPr>
          <w:rFonts w:ascii="Times New Roman" w:hAnsi="Times New Roman" w:cs="Times New Roman"/>
          <w:sz w:val="24"/>
          <w:szCs w:val="24"/>
        </w:rPr>
        <w:t>ractitioners</w:t>
      </w:r>
    </w:p>
    <w:p w:rsidR="00A27C6B" w:rsidRDefault="00EA77A8" w:rsidP="00A27C6B">
      <w:pPr>
        <w:spacing w:after="0" w:line="240" w:lineRule="auto"/>
        <w:jc w:val="both"/>
        <w:rPr>
          <w:rFonts w:ascii="Times New Roman" w:hAnsi="Times New Roman" w:cs="Times New Roman"/>
          <w:sz w:val="24"/>
          <w:szCs w:val="24"/>
        </w:rPr>
      </w:pPr>
      <w:r w:rsidRPr="00AB79EF">
        <w:rPr>
          <w:rFonts w:ascii="Times New Roman" w:hAnsi="Times New Roman" w:cs="Times New Roman"/>
          <w:i/>
          <w:sz w:val="24"/>
          <w:szCs w:val="24"/>
        </w:rPr>
        <w:t>Muhlekiwa Legal Practice</w:t>
      </w:r>
      <w:r>
        <w:rPr>
          <w:rFonts w:ascii="Times New Roman" w:hAnsi="Times New Roman" w:cs="Times New Roman"/>
          <w:sz w:val="24"/>
          <w:szCs w:val="24"/>
        </w:rPr>
        <w:t>, Defendant’s Legal P</w:t>
      </w:r>
      <w:r w:rsidR="00A27C6B">
        <w:rPr>
          <w:rFonts w:ascii="Times New Roman" w:hAnsi="Times New Roman" w:cs="Times New Roman"/>
          <w:sz w:val="24"/>
          <w:szCs w:val="24"/>
        </w:rPr>
        <w:t>ractitioners</w:t>
      </w:r>
    </w:p>
    <w:p w:rsidR="00A27C6B" w:rsidRDefault="00A27C6B" w:rsidP="00A27C6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27C6B" w:rsidRPr="00575430" w:rsidRDefault="00A27C6B" w:rsidP="00A27C6B">
      <w:pPr>
        <w:spacing w:after="0" w:line="360" w:lineRule="auto"/>
        <w:ind w:firstLine="360"/>
        <w:jc w:val="both"/>
        <w:rPr>
          <w:rFonts w:ascii="Times New Roman" w:hAnsi="Times New Roman" w:cs="Times New Roman"/>
          <w:sz w:val="24"/>
          <w:szCs w:val="24"/>
        </w:rPr>
      </w:pPr>
    </w:p>
    <w:p w:rsidR="004A227A" w:rsidRPr="004A227A" w:rsidRDefault="004A227A" w:rsidP="004A227A">
      <w:pPr>
        <w:spacing w:after="0" w:line="360" w:lineRule="auto"/>
        <w:jc w:val="both"/>
        <w:rPr>
          <w:rFonts w:ascii="Times New Roman" w:hAnsi="Times New Roman" w:cs="Times New Roman"/>
          <w:sz w:val="24"/>
          <w:szCs w:val="24"/>
        </w:rPr>
      </w:pPr>
    </w:p>
    <w:sectPr w:rsidR="004A227A" w:rsidRPr="004A22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E63" w:rsidRDefault="00753E63" w:rsidP="004A227A">
      <w:pPr>
        <w:spacing w:after="0" w:line="240" w:lineRule="auto"/>
      </w:pPr>
      <w:r>
        <w:separator/>
      </w:r>
    </w:p>
  </w:endnote>
  <w:endnote w:type="continuationSeparator" w:id="0">
    <w:p w:rsidR="00753E63" w:rsidRDefault="00753E63" w:rsidP="004A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E63" w:rsidRDefault="00753E63" w:rsidP="004A227A">
      <w:pPr>
        <w:spacing w:after="0" w:line="240" w:lineRule="auto"/>
      </w:pPr>
      <w:r>
        <w:separator/>
      </w:r>
    </w:p>
  </w:footnote>
  <w:footnote w:type="continuationSeparator" w:id="0">
    <w:p w:rsidR="00753E63" w:rsidRDefault="00753E63" w:rsidP="004A227A">
      <w:pPr>
        <w:spacing w:after="0" w:line="240" w:lineRule="auto"/>
      </w:pPr>
      <w:r>
        <w:continuationSeparator/>
      </w:r>
    </w:p>
  </w:footnote>
  <w:footnote w:id="1">
    <w:p w:rsidR="00551470" w:rsidRPr="000865D6" w:rsidRDefault="00551470">
      <w:pPr>
        <w:pStyle w:val="FootnoteText"/>
        <w:rPr>
          <w:sz w:val="22"/>
          <w:szCs w:val="22"/>
        </w:rPr>
      </w:pPr>
      <w:r>
        <w:rPr>
          <w:rStyle w:val="FootnoteReference"/>
        </w:rPr>
        <w:footnoteRef/>
      </w:r>
      <w:r>
        <w:t xml:space="preserve"> </w:t>
      </w:r>
      <w:r w:rsidRPr="000865D6">
        <w:rPr>
          <w:rFonts w:ascii="Times New Roman" w:hAnsi="Times New Roman" w:cs="Times New Roman"/>
          <w:i/>
          <w:sz w:val="22"/>
          <w:szCs w:val="22"/>
        </w:rPr>
        <w:t>Esther Kusano (nee Ngaru)</w:t>
      </w:r>
      <w:r w:rsidRPr="000865D6">
        <w:rPr>
          <w:rFonts w:ascii="Times New Roman" w:hAnsi="Times New Roman" w:cs="Times New Roman"/>
          <w:sz w:val="22"/>
          <w:szCs w:val="22"/>
        </w:rPr>
        <w:t xml:space="preserve"> v </w:t>
      </w:r>
      <w:r w:rsidRPr="000865D6">
        <w:rPr>
          <w:rFonts w:ascii="Times New Roman" w:hAnsi="Times New Roman" w:cs="Times New Roman"/>
          <w:i/>
          <w:sz w:val="22"/>
          <w:szCs w:val="22"/>
        </w:rPr>
        <w:t>Livingstone Kusano and Another</w:t>
      </w:r>
      <w:r w:rsidRPr="000865D6">
        <w:rPr>
          <w:rFonts w:ascii="Times New Roman" w:hAnsi="Times New Roman" w:cs="Times New Roman"/>
          <w:sz w:val="22"/>
          <w:szCs w:val="22"/>
        </w:rPr>
        <w:t xml:space="preserve"> HH 647/2</w:t>
      </w:r>
    </w:p>
  </w:footnote>
  <w:footnote w:id="2">
    <w:p w:rsidR="00551470" w:rsidRPr="00D3331A" w:rsidRDefault="00551470">
      <w:pPr>
        <w:pStyle w:val="FootnoteText"/>
        <w:rPr>
          <w:sz w:val="22"/>
          <w:szCs w:val="22"/>
        </w:rPr>
      </w:pPr>
      <w:r>
        <w:rPr>
          <w:rStyle w:val="FootnoteReference"/>
        </w:rPr>
        <w:footnoteRef/>
      </w:r>
      <w:r>
        <w:t xml:space="preserve"> </w:t>
      </w:r>
      <w:r w:rsidRPr="00D3331A">
        <w:rPr>
          <w:rFonts w:ascii="Times New Roman" w:hAnsi="Times New Roman" w:cs="Times New Roman"/>
          <w:i/>
          <w:sz w:val="22"/>
          <w:szCs w:val="22"/>
        </w:rPr>
        <w:t xml:space="preserve">Pasipanodya </w:t>
      </w:r>
      <w:r w:rsidRPr="00D3331A">
        <w:rPr>
          <w:rFonts w:ascii="Times New Roman" w:hAnsi="Times New Roman" w:cs="Times New Roman"/>
          <w:sz w:val="22"/>
          <w:szCs w:val="22"/>
        </w:rPr>
        <w:t xml:space="preserve">v </w:t>
      </w:r>
      <w:r w:rsidRPr="00D3331A">
        <w:rPr>
          <w:rFonts w:ascii="Times New Roman" w:hAnsi="Times New Roman" w:cs="Times New Roman"/>
          <w:i/>
          <w:sz w:val="22"/>
          <w:szCs w:val="22"/>
        </w:rPr>
        <w:t>Muchoriwa</w:t>
      </w:r>
      <w:r w:rsidRPr="00D3331A">
        <w:rPr>
          <w:rFonts w:ascii="Times New Roman" w:hAnsi="Times New Roman" w:cs="Times New Roman"/>
          <w:sz w:val="22"/>
          <w:szCs w:val="22"/>
        </w:rPr>
        <w:t xml:space="preserve"> 1997 (2) ZLR 182 (SC)</w:t>
      </w:r>
    </w:p>
  </w:footnote>
  <w:footnote w:id="3">
    <w:p w:rsidR="00551470" w:rsidRDefault="00551470">
      <w:pPr>
        <w:pStyle w:val="FootnoteText"/>
      </w:pPr>
      <w:r>
        <w:rPr>
          <w:rStyle w:val="FootnoteReference"/>
        </w:rPr>
        <w:footnoteRef/>
      </w:r>
      <w:r>
        <w:t xml:space="preserve"> Endeavour Foundation and Anor v Commissioner of Taxes 1995 (1) ZLR 339 (S) AT P356F-G</w:t>
      </w:r>
    </w:p>
  </w:footnote>
  <w:footnote w:id="4">
    <w:p w:rsidR="00551470" w:rsidRDefault="00551470">
      <w:pPr>
        <w:pStyle w:val="FootnoteText"/>
      </w:pPr>
      <w:r>
        <w:rPr>
          <w:rStyle w:val="FootnoteReference"/>
        </w:rPr>
        <w:footnoteRef/>
      </w:r>
      <w:r>
        <w:t xml:space="preserve"> 1995 (3) SA 761 (A) at p 767</w:t>
      </w:r>
    </w:p>
  </w:footnote>
  <w:footnote w:id="5">
    <w:p w:rsidR="00551470" w:rsidRDefault="00551470">
      <w:pPr>
        <w:pStyle w:val="FootnoteText"/>
      </w:pPr>
      <w:r>
        <w:rPr>
          <w:rStyle w:val="FootnoteReference"/>
        </w:rPr>
        <w:footnoteRef/>
      </w:r>
      <w:r>
        <w:t xml:space="preserve"> Jengwa v Jengwa 1999 (2)ZLR 121 (H),</w:t>
      </w:r>
      <w:r w:rsidRPr="00487ED3">
        <w:t>Mtuda v Ndudzo</w:t>
      </w:r>
      <w:r>
        <w:t xml:space="preserve"> 2000 (1) ZLRr 710 (H)</w:t>
      </w:r>
    </w:p>
  </w:footnote>
  <w:footnote w:id="6">
    <w:p w:rsidR="00551470" w:rsidRDefault="00551470">
      <w:pPr>
        <w:pStyle w:val="FootnoteText"/>
      </w:pPr>
      <w:r>
        <w:rPr>
          <w:rStyle w:val="FootnoteReference"/>
        </w:rPr>
        <w:footnoteRef/>
      </w:r>
      <w:r>
        <w:t xml:space="preserve"> Jenke v Zembe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046082"/>
      <w:docPartObj>
        <w:docPartGallery w:val="Page Numbers (Top of Page)"/>
        <w:docPartUnique/>
      </w:docPartObj>
    </w:sdtPr>
    <w:sdtEndPr>
      <w:rPr>
        <w:noProof/>
      </w:rPr>
    </w:sdtEndPr>
    <w:sdtContent>
      <w:p w:rsidR="00551470" w:rsidRDefault="00551470">
        <w:pPr>
          <w:pStyle w:val="Header"/>
          <w:jc w:val="right"/>
          <w:rPr>
            <w:noProof/>
          </w:rPr>
        </w:pPr>
        <w:r>
          <w:fldChar w:fldCharType="begin"/>
        </w:r>
        <w:r>
          <w:instrText xml:space="preserve"> PAGE   \* MERGEFORMAT </w:instrText>
        </w:r>
        <w:r>
          <w:fldChar w:fldCharType="separate"/>
        </w:r>
        <w:r w:rsidR="00B250EE">
          <w:rPr>
            <w:noProof/>
          </w:rPr>
          <w:t>2</w:t>
        </w:r>
        <w:r>
          <w:rPr>
            <w:noProof/>
          </w:rPr>
          <w:fldChar w:fldCharType="end"/>
        </w:r>
      </w:p>
      <w:p w:rsidR="00551470" w:rsidRDefault="00551470">
        <w:pPr>
          <w:pStyle w:val="Header"/>
          <w:jc w:val="right"/>
          <w:rPr>
            <w:noProof/>
          </w:rPr>
        </w:pPr>
        <w:r>
          <w:rPr>
            <w:noProof/>
          </w:rPr>
          <w:t>HH</w:t>
        </w:r>
        <w:r w:rsidR="00A56A1D">
          <w:rPr>
            <w:noProof/>
          </w:rPr>
          <w:t xml:space="preserve"> 265-21</w:t>
        </w:r>
      </w:p>
      <w:p w:rsidR="00551470" w:rsidRDefault="00551470">
        <w:pPr>
          <w:pStyle w:val="Header"/>
          <w:jc w:val="right"/>
          <w:rPr>
            <w:noProof/>
          </w:rPr>
        </w:pPr>
        <w:r>
          <w:rPr>
            <w:noProof/>
          </w:rPr>
          <w:t>HC 6160/20</w:t>
        </w:r>
      </w:p>
      <w:p w:rsidR="00551470" w:rsidRDefault="00551470">
        <w:pPr>
          <w:pStyle w:val="Header"/>
          <w:jc w:val="right"/>
        </w:pPr>
        <w:r>
          <w:rPr>
            <w:noProof/>
          </w:rPr>
          <w:t>Ref Case No. HC 2760/20</w:t>
        </w:r>
      </w:p>
    </w:sdtContent>
  </w:sdt>
  <w:p w:rsidR="00551470" w:rsidRDefault="0055147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4B54BC"/>
    <w:multiLevelType w:val="hybridMultilevel"/>
    <w:tmpl w:val="7D78DDDC"/>
    <w:lvl w:ilvl="0" w:tplc="EA9AAA8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7A"/>
    <w:rsid w:val="000167AF"/>
    <w:rsid w:val="000865D6"/>
    <w:rsid w:val="000C6D26"/>
    <w:rsid w:val="000E4595"/>
    <w:rsid w:val="00122164"/>
    <w:rsid w:val="00157CC9"/>
    <w:rsid w:val="001F1094"/>
    <w:rsid w:val="00357585"/>
    <w:rsid w:val="003F0F5A"/>
    <w:rsid w:val="00463003"/>
    <w:rsid w:val="00487ED3"/>
    <w:rsid w:val="004A227A"/>
    <w:rsid w:val="005054EB"/>
    <w:rsid w:val="00522A08"/>
    <w:rsid w:val="00526E06"/>
    <w:rsid w:val="00541023"/>
    <w:rsid w:val="00551470"/>
    <w:rsid w:val="00557487"/>
    <w:rsid w:val="0057465F"/>
    <w:rsid w:val="005768C2"/>
    <w:rsid w:val="00714B5E"/>
    <w:rsid w:val="00742363"/>
    <w:rsid w:val="00753E63"/>
    <w:rsid w:val="007711F2"/>
    <w:rsid w:val="007C3C55"/>
    <w:rsid w:val="00834930"/>
    <w:rsid w:val="00896A0A"/>
    <w:rsid w:val="00976072"/>
    <w:rsid w:val="00A27C6B"/>
    <w:rsid w:val="00A56A1D"/>
    <w:rsid w:val="00AB79EF"/>
    <w:rsid w:val="00AC5220"/>
    <w:rsid w:val="00AF01FD"/>
    <w:rsid w:val="00B2292A"/>
    <w:rsid w:val="00B250EE"/>
    <w:rsid w:val="00B25AFE"/>
    <w:rsid w:val="00B525E5"/>
    <w:rsid w:val="00B62DF0"/>
    <w:rsid w:val="00B96D14"/>
    <w:rsid w:val="00BA6B61"/>
    <w:rsid w:val="00C55F05"/>
    <w:rsid w:val="00C91A97"/>
    <w:rsid w:val="00CD4B5C"/>
    <w:rsid w:val="00D3331A"/>
    <w:rsid w:val="00E245A8"/>
    <w:rsid w:val="00E762DA"/>
    <w:rsid w:val="00EA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9E823-649A-4B8C-A7FF-79E4852B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27A"/>
  </w:style>
  <w:style w:type="paragraph" w:styleId="Footer">
    <w:name w:val="footer"/>
    <w:basedOn w:val="Normal"/>
    <w:link w:val="FooterChar"/>
    <w:uiPriority w:val="99"/>
    <w:unhideWhenUsed/>
    <w:rsid w:val="004A2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27A"/>
  </w:style>
  <w:style w:type="paragraph" w:styleId="ListParagraph">
    <w:name w:val="List Paragraph"/>
    <w:basedOn w:val="Normal"/>
    <w:uiPriority w:val="34"/>
    <w:qFormat/>
    <w:rsid w:val="00A27C6B"/>
    <w:pPr>
      <w:spacing w:after="200" w:line="276" w:lineRule="auto"/>
      <w:ind w:left="720"/>
      <w:contextualSpacing/>
    </w:pPr>
  </w:style>
  <w:style w:type="paragraph" w:styleId="BalloonText">
    <w:name w:val="Balloon Text"/>
    <w:basedOn w:val="Normal"/>
    <w:link w:val="BalloonTextChar"/>
    <w:uiPriority w:val="99"/>
    <w:semiHidden/>
    <w:unhideWhenUsed/>
    <w:rsid w:val="003F0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F5A"/>
    <w:rPr>
      <w:rFonts w:ascii="Segoe UI" w:hAnsi="Segoe UI" w:cs="Segoe UI"/>
      <w:sz w:val="18"/>
      <w:szCs w:val="18"/>
    </w:rPr>
  </w:style>
  <w:style w:type="paragraph" w:styleId="FootnoteText">
    <w:name w:val="footnote text"/>
    <w:basedOn w:val="Normal"/>
    <w:link w:val="FootnoteTextChar"/>
    <w:uiPriority w:val="99"/>
    <w:semiHidden/>
    <w:unhideWhenUsed/>
    <w:rsid w:val="00D3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331A"/>
    <w:rPr>
      <w:sz w:val="20"/>
      <w:szCs w:val="20"/>
    </w:rPr>
  </w:style>
  <w:style w:type="character" w:styleId="FootnoteReference">
    <w:name w:val="footnote reference"/>
    <w:basedOn w:val="DefaultParagraphFont"/>
    <w:uiPriority w:val="99"/>
    <w:semiHidden/>
    <w:unhideWhenUsed/>
    <w:rsid w:val="00D33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0FF6B-8906-4286-973C-5C38680FE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2021-05-27T08:29:00Z</cp:lastPrinted>
  <dcterms:created xsi:type="dcterms:W3CDTF">2021-05-28T09:23:00Z</dcterms:created>
  <dcterms:modified xsi:type="dcterms:W3CDTF">2021-05-28T09:23:00Z</dcterms:modified>
</cp:coreProperties>
</file>