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732" w:rsidRPr="00C34732" w:rsidRDefault="00C145E5" w:rsidP="0034535E">
      <w:pPr>
        <w:jc w:val="both"/>
        <w:rPr>
          <w:b/>
        </w:rPr>
      </w:pPr>
      <w:r>
        <w:rPr>
          <w:b/>
        </w:rPr>
        <w:t xml:space="preserve"> </w:t>
      </w:r>
      <w:r w:rsidR="00C53694" w:rsidRPr="00C34732">
        <w:rPr>
          <w:b/>
        </w:rPr>
        <w:t xml:space="preserve"> </w:t>
      </w:r>
      <w:r w:rsidR="00955586">
        <w:rPr>
          <w:b/>
        </w:rPr>
        <w:t xml:space="preserve"> </w:t>
      </w:r>
    </w:p>
    <w:p w:rsidR="006C5A54" w:rsidRDefault="006C5A54" w:rsidP="0034535E">
      <w:pPr>
        <w:jc w:val="both"/>
      </w:pPr>
      <w:r>
        <w:t>ESTATE LATE CHARLES MAPUNGWANA MHLANGA DR1678/98</w:t>
      </w:r>
    </w:p>
    <w:p w:rsidR="00923264" w:rsidRDefault="006C5A54" w:rsidP="0034535E">
      <w:pPr>
        <w:jc w:val="both"/>
      </w:pPr>
      <w:r>
        <w:t>(Duly represented by Constance Felicity Mhlanga in her capacity</w:t>
      </w:r>
    </w:p>
    <w:p w:rsidR="006C5A54" w:rsidRPr="00A2563D" w:rsidRDefault="006C5A54" w:rsidP="0034535E">
      <w:pPr>
        <w:jc w:val="both"/>
      </w:pPr>
      <w:r>
        <w:t xml:space="preserve">as the </w:t>
      </w:r>
      <w:r w:rsidR="00923264">
        <w:t>E</w:t>
      </w:r>
      <w:r>
        <w:t xml:space="preserve">xecutrix </w:t>
      </w:r>
      <w:r w:rsidR="00923264">
        <w:t>D</w:t>
      </w:r>
      <w:r>
        <w:t>ative)</w:t>
      </w:r>
    </w:p>
    <w:p w:rsidR="00E11990" w:rsidRDefault="00923264" w:rsidP="0034535E">
      <w:pPr>
        <w:jc w:val="both"/>
      </w:pPr>
      <w:r>
        <w:t>v</w:t>
      </w:r>
      <w:r w:rsidR="00E11990" w:rsidRPr="00A2563D">
        <w:t>ersus</w:t>
      </w:r>
    </w:p>
    <w:p w:rsidR="008835A3" w:rsidRDefault="006C5A54" w:rsidP="0034535E">
      <w:pPr>
        <w:jc w:val="both"/>
      </w:pPr>
      <w:r>
        <w:t>SARAH MAPUNGWANA</w:t>
      </w:r>
    </w:p>
    <w:p w:rsidR="006C5A54" w:rsidRDefault="00923264" w:rsidP="0034535E">
      <w:pPr>
        <w:jc w:val="both"/>
      </w:pPr>
      <w:r>
        <w:t>a</w:t>
      </w:r>
      <w:r w:rsidR="006C5A54">
        <w:t xml:space="preserve">nd </w:t>
      </w:r>
    </w:p>
    <w:p w:rsidR="006C5A54" w:rsidRPr="00A2563D" w:rsidRDefault="006C5A54" w:rsidP="0034535E">
      <w:pPr>
        <w:jc w:val="both"/>
      </w:pPr>
      <w:r>
        <w:t>MASTER OF HIGH COURT</w:t>
      </w:r>
    </w:p>
    <w:p w:rsidR="00E11990" w:rsidRPr="00A2563D" w:rsidRDefault="00E11990" w:rsidP="0034535E">
      <w:pPr>
        <w:jc w:val="both"/>
      </w:pPr>
    </w:p>
    <w:p w:rsidR="00E11990" w:rsidRPr="00C34732" w:rsidRDefault="00E11990" w:rsidP="0034535E">
      <w:pPr>
        <w:jc w:val="both"/>
        <w:rPr>
          <w:b/>
        </w:rPr>
      </w:pPr>
    </w:p>
    <w:p w:rsidR="008D4467" w:rsidRPr="00DF0E9D" w:rsidRDefault="008D4467" w:rsidP="0034535E">
      <w:pPr>
        <w:jc w:val="both"/>
      </w:pPr>
      <w:r w:rsidRPr="00DF0E9D">
        <w:t>HIGH COURT OF ZIMBABWE</w:t>
      </w:r>
    </w:p>
    <w:p w:rsidR="008D4467" w:rsidRPr="00DF0E9D" w:rsidRDefault="005121FA" w:rsidP="0034535E">
      <w:pPr>
        <w:jc w:val="both"/>
      </w:pPr>
      <w:r w:rsidRPr="00DF0E9D">
        <w:t>SIZIBA</w:t>
      </w:r>
      <w:r w:rsidR="008C32B6" w:rsidRPr="00DF0E9D">
        <w:t xml:space="preserve"> J </w:t>
      </w:r>
    </w:p>
    <w:p w:rsidR="00C34732" w:rsidRPr="00DF0E9D" w:rsidRDefault="0042250A" w:rsidP="00C34732">
      <w:pPr>
        <w:jc w:val="both"/>
      </w:pPr>
      <w:r>
        <w:t>MUTARE</w:t>
      </w:r>
      <w:r w:rsidR="00A2563D">
        <w:t>,</w:t>
      </w:r>
      <w:r w:rsidR="00C34732" w:rsidRPr="00DF0E9D">
        <w:t xml:space="preserve"> </w:t>
      </w:r>
      <w:r w:rsidR="008F3583">
        <w:t>7</w:t>
      </w:r>
      <w:r>
        <w:t xml:space="preserve"> </w:t>
      </w:r>
      <w:r w:rsidR="008F3583">
        <w:t>November</w:t>
      </w:r>
      <w:r w:rsidR="000622CC" w:rsidRPr="00DF0E9D">
        <w:t xml:space="preserve"> 2024</w:t>
      </w:r>
    </w:p>
    <w:p w:rsidR="00D635CC" w:rsidRDefault="00D635CC" w:rsidP="0034535E">
      <w:pPr>
        <w:jc w:val="both"/>
      </w:pPr>
    </w:p>
    <w:p w:rsidR="00C34732" w:rsidRDefault="00C34732" w:rsidP="0034535E">
      <w:pPr>
        <w:jc w:val="both"/>
      </w:pPr>
    </w:p>
    <w:p w:rsidR="00D635CC" w:rsidRDefault="00E11990" w:rsidP="0034535E">
      <w:pPr>
        <w:jc w:val="both"/>
        <w:rPr>
          <w:b/>
        </w:rPr>
      </w:pPr>
      <w:r>
        <w:rPr>
          <w:b/>
        </w:rPr>
        <w:t>C</w:t>
      </w:r>
      <w:r w:rsidR="00054A74">
        <w:rPr>
          <w:b/>
        </w:rPr>
        <w:t>IVIL ACTION</w:t>
      </w:r>
    </w:p>
    <w:p w:rsidR="00BD25E8" w:rsidRDefault="00BD25E8" w:rsidP="0034535E">
      <w:pPr>
        <w:jc w:val="both"/>
        <w:rPr>
          <w:b/>
        </w:rPr>
      </w:pPr>
    </w:p>
    <w:p w:rsidR="00C34732" w:rsidRDefault="00C34732" w:rsidP="0034535E">
      <w:pPr>
        <w:jc w:val="both"/>
        <w:rPr>
          <w:bCs/>
        </w:rPr>
      </w:pPr>
    </w:p>
    <w:p w:rsidR="00C53694" w:rsidRPr="00BD25E8" w:rsidRDefault="00C449AD" w:rsidP="0034535E">
      <w:pPr>
        <w:jc w:val="both"/>
        <w:rPr>
          <w:bCs/>
        </w:rPr>
      </w:pPr>
      <w:r>
        <w:rPr>
          <w:bCs/>
          <w:iCs/>
        </w:rPr>
        <w:t>Mr</w:t>
      </w:r>
      <w:r w:rsidR="00322FF8">
        <w:rPr>
          <w:bCs/>
          <w:i/>
          <w:iCs/>
        </w:rPr>
        <w:t xml:space="preserve"> </w:t>
      </w:r>
      <w:r w:rsidR="006C5A54">
        <w:rPr>
          <w:bCs/>
          <w:i/>
          <w:iCs/>
        </w:rPr>
        <w:t>M</w:t>
      </w:r>
      <w:r w:rsidR="00322FF8">
        <w:rPr>
          <w:bCs/>
          <w:i/>
          <w:iCs/>
        </w:rPr>
        <w:t xml:space="preserve">. </w:t>
      </w:r>
      <w:r>
        <w:rPr>
          <w:bCs/>
          <w:i/>
          <w:iCs/>
        </w:rPr>
        <w:t>M</w:t>
      </w:r>
      <w:r w:rsidR="006C5A54">
        <w:rPr>
          <w:bCs/>
          <w:i/>
          <w:iCs/>
        </w:rPr>
        <w:t>avhiringidze</w:t>
      </w:r>
      <w:r w:rsidR="00A2563D">
        <w:rPr>
          <w:bCs/>
          <w:iCs/>
        </w:rPr>
        <w:t>,</w:t>
      </w:r>
      <w:r w:rsidR="00BD25E8" w:rsidRPr="00BD25E8">
        <w:rPr>
          <w:bCs/>
        </w:rPr>
        <w:t xml:space="preserve"> </w:t>
      </w:r>
      <w:r w:rsidR="00C145E5">
        <w:rPr>
          <w:bCs/>
        </w:rPr>
        <w:t xml:space="preserve">for the </w:t>
      </w:r>
      <w:r w:rsidR="006C5A54">
        <w:rPr>
          <w:bCs/>
        </w:rPr>
        <w:t>plaintiff</w:t>
      </w:r>
      <w:r w:rsidR="00322FF8">
        <w:rPr>
          <w:bCs/>
        </w:rPr>
        <w:t xml:space="preserve"> </w:t>
      </w:r>
    </w:p>
    <w:p w:rsidR="00C53694" w:rsidRPr="00BD25E8" w:rsidRDefault="00322FF8" w:rsidP="0034535E">
      <w:pPr>
        <w:jc w:val="both"/>
        <w:rPr>
          <w:bCs/>
        </w:rPr>
      </w:pPr>
      <w:r w:rsidRPr="00A2563D">
        <w:rPr>
          <w:bCs/>
        </w:rPr>
        <w:t>M</w:t>
      </w:r>
      <w:r w:rsidR="00726342">
        <w:rPr>
          <w:bCs/>
        </w:rPr>
        <w:t>r</w:t>
      </w:r>
      <w:r w:rsidRPr="00A2563D">
        <w:rPr>
          <w:bCs/>
        </w:rPr>
        <w:t xml:space="preserve"> </w:t>
      </w:r>
      <w:r w:rsidR="006C5A54">
        <w:rPr>
          <w:bCs/>
          <w:i/>
        </w:rPr>
        <w:t>T</w:t>
      </w:r>
      <w:r>
        <w:rPr>
          <w:bCs/>
          <w:i/>
        </w:rPr>
        <w:t xml:space="preserve">. </w:t>
      </w:r>
      <w:r w:rsidR="006C5A54">
        <w:rPr>
          <w:bCs/>
          <w:i/>
        </w:rPr>
        <w:t>Tazvitya</w:t>
      </w:r>
      <w:r w:rsidR="00A2563D">
        <w:rPr>
          <w:bCs/>
        </w:rPr>
        <w:t>,</w:t>
      </w:r>
      <w:r>
        <w:rPr>
          <w:bCs/>
        </w:rPr>
        <w:t xml:space="preserve"> for the </w:t>
      </w:r>
      <w:r w:rsidR="006C5A54">
        <w:rPr>
          <w:bCs/>
        </w:rPr>
        <w:t>defendant</w:t>
      </w:r>
      <w:r w:rsidR="00C53694" w:rsidRPr="00BD25E8">
        <w:rPr>
          <w:bCs/>
        </w:rPr>
        <w:t xml:space="preserve"> </w:t>
      </w:r>
    </w:p>
    <w:p w:rsidR="00C34732" w:rsidRDefault="00C34732" w:rsidP="0034535E">
      <w:pPr>
        <w:jc w:val="both"/>
      </w:pPr>
    </w:p>
    <w:p w:rsidR="009624AC" w:rsidRDefault="002F3343" w:rsidP="00405B60">
      <w:pPr>
        <w:spacing w:line="360" w:lineRule="auto"/>
        <w:ind w:firstLine="720"/>
        <w:jc w:val="both"/>
      </w:pPr>
      <w:r w:rsidRPr="00645561">
        <w:t>SIZIBA</w:t>
      </w:r>
      <w:r w:rsidR="004F217A" w:rsidRPr="00645561">
        <w:t xml:space="preserve"> J</w:t>
      </w:r>
      <w:r w:rsidR="008878DA">
        <w:rPr>
          <w:b/>
        </w:rPr>
        <w:t>:</w:t>
      </w:r>
      <w:r w:rsidR="00645561">
        <w:rPr>
          <w:b/>
        </w:rPr>
        <w:t xml:space="preserve"> </w:t>
      </w:r>
      <w:r w:rsidR="00405B60">
        <w:rPr>
          <w:b/>
        </w:rPr>
        <w:t xml:space="preserve"> </w:t>
      </w:r>
      <w:r w:rsidR="00405B60">
        <w:rPr>
          <w:bCs/>
        </w:rPr>
        <w:t>The parties in this matter came before me for a civil trial</w:t>
      </w:r>
      <w:r w:rsidR="008655C3">
        <w:rPr>
          <w:bCs/>
        </w:rPr>
        <w:t xml:space="preserve"> which was set to commence on </w:t>
      </w:r>
      <w:r w:rsidR="002766F6">
        <w:rPr>
          <w:bCs/>
        </w:rPr>
        <w:t>17</w:t>
      </w:r>
      <w:r w:rsidR="008655C3">
        <w:rPr>
          <w:bCs/>
        </w:rPr>
        <w:t xml:space="preserve"> October 2024</w:t>
      </w:r>
      <w:r w:rsidR="00405B60">
        <w:rPr>
          <w:bCs/>
        </w:rPr>
        <w:t xml:space="preserve">. </w:t>
      </w:r>
      <w:r w:rsidR="00CB1F43">
        <w:t>T</w:t>
      </w:r>
      <w:r w:rsidR="00405B60">
        <w:t xml:space="preserve">he summons </w:t>
      </w:r>
      <w:r w:rsidR="008655C3">
        <w:t>had been</w:t>
      </w:r>
      <w:r w:rsidR="00405B60">
        <w:t xml:space="preserve"> filed in the name of the plaintiff </w:t>
      </w:r>
      <w:r w:rsidR="001727B1">
        <w:t xml:space="preserve">which is a deceased estate. The case is </w:t>
      </w:r>
      <w:r w:rsidR="00405B60">
        <w:t xml:space="preserve">for the eviction of the </w:t>
      </w:r>
      <w:r w:rsidR="00E7782C">
        <w:t>first</w:t>
      </w:r>
      <w:r w:rsidR="00405B60">
        <w:t xml:space="preserve"> defendant and all those claiming occupation of plot number 19 Chinyaduma in Chipinge</w:t>
      </w:r>
      <w:r w:rsidR="008655C3">
        <w:t xml:space="preserve"> through her</w:t>
      </w:r>
      <w:r w:rsidR="00405B60">
        <w:t xml:space="preserve">. The action was contested by the </w:t>
      </w:r>
      <w:r w:rsidR="00E7782C">
        <w:t>first</w:t>
      </w:r>
      <w:r w:rsidR="001727B1">
        <w:t xml:space="preserve"> </w:t>
      </w:r>
      <w:r w:rsidR="00405B60">
        <w:t xml:space="preserve">defendant until the pleadings were closed. The issues which </w:t>
      </w:r>
      <w:r w:rsidR="008655C3">
        <w:t>were referred for trial were as follows:</w:t>
      </w:r>
    </w:p>
    <w:p w:rsidR="008655C3" w:rsidRDefault="008655C3" w:rsidP="008655C3">
      <w:pPr>
        <w:numPr>
          <w:ilvl w:val="0"/>
          <w:numId w:val="8"/>
        </w:numPr>
        <w:spacing w:line="360" w:lineRule="auto"/>
        <w:jc w:val="both"/>
      </w:pPr>
      <w:r>
        <w:t xml:space="preserve">Whether or not the cited plaintiff has </w:t>
      </w:r>
      <w:r w:rsidRPr="008655C3">
        <w:rPr>
          <w:i/>
          <w:iCs/>
        </w:rPr>
        <w:t>locus standi</w:t>
      </w:r>
      <w:r>
        <w:t xml:space="preserve"> to sue.</w:t>
      </w:r>
    </w:p>
    <w:p w:rsidR="008655C3" w:rsidRDefault="008655C3" w:rsidP="008655C3">
      <w:pPr>
        <w:numPr>
          <w:ilvl w:val="0"/>
          <w:numId w:val="8"/>
        </w:numPr>
        <w:spacing w:line="360" w:lineRule="auto"/>
        <w:jc w:val="both"/>
      </w:pPr>
      <w:r>
        <w:t>Whether or not the plaintiff’s title is invalid.</w:t>
      </w:r>
    </w:p>
    <w:p w:rsidR="008655C3" w:rsidRDefault="008655C3" w:rsidP="008655C3">
      <w:pPr>
        <w:numPr>
          <w:ilvl w:val="0"/>
          <w:numId w:val="8"/>
        </w:numPr>
        <w:spacing w:line="360" w:lineRule="auto"/>
        <w:jc w:val="both"/>
      </w:pPr>
      <w:r>
        <w:t xml:space="preserve">Whether or not the </w:t>
      </w:r>
      <w:r w:rsidR="008D0BE3">
        <w:t>first</w:t>
      </w:r>
      <w:r>
        <w:t xml:space="preserve"> defendant acquired ownership of plot number 19 Chinyaduma by operation of acquisitive prescription.</w:t>
      </w:r>
    </w:p>
    <w:p w:rsidR="008655C3" w:rsidRDefault="008655C3" w:rsidP="008655C3">
      <w:pPr>
        <w:numPr>
          <w:ilvl w:val="0"/>
          <w:numId w:val="8"/>
        </w:numPr>
        <w:spacing w:line="360" w:lineRule="auto"/>
        <w:jc w:val="both"/>
      </w:pPr>
      <w:r>
        <w:t>Whether or not the defendant and all those claiming right of occupation through her should be evicted from plot number 19 Chinyaduma, Chipinge.</w:t>
      </w:r>
    </w:p>
    <w:p w:rsidR="008655C3" w:rsidRDefault="007C1933" w:rsidP="008D0BE3">
      <w:pPr>
        <w:spacing w:line="360" w:lineRule="auto"/>
        <w:ind w:firstLine="720"/>
        <w:jc w:val="both"/>
      </w:pPr>
      <w:r>
        <w:t xml:space="preserve">Since the first issue of </w:t>
      </w:r>
      <w:r w:rsidRPr="001727B1">
        <w:rPr>
          <w:i/>
          <w:iCs/>
        </w:rPr>
        <w:t>locus standi</w:t>
      </w:r>
      <w:r>
        <w:t xml:space="preserve"> of the plaintiff, if upheld, had the potential to dispose of the matter, I directed the parties to address me on that issue. The parties opted to do so by way of written submissions and I gave them an opportunity to do so.</w:t>
      </w:r>
    </w:p>
    <w:p w:rsidR="008655C3" w:rsidRDefault="008655C3" w:rsidP="007C1933">
      <w:pPr>
        <w:spacing w:line="360" w:lineRule="auto"/>
        <w:jc w:val="both"/>
      </w:pPr>
    </w:p>
    <w:p w:rsidR="00910271" w:rsidRDefault="00910271" w:rsidP="007C1933">
      <w:pPr>
        <w:spacing w:line="360" w:lineRule="auto"/>
        <w:jc w:val="both"/>
      </w:pPr>
    </w:p>
    <w:p w:rsidR="00385770" w:rsidRDefault="00385770" w:rsidP="007C1933">
      <w:pPr>
        <w:spacing w:line="360" w:lineRule="auto"/>
        <w:jc w:val="both"/>
      </w:pPr>
    </w:p>
    <w:p w:rsidR="007C1933" w:rsidRDefault="007C1933" w:rsidP="007C1933">
      <w:pPr>
        <w:spacing w:line="360" w:lineRule="auto"/>
        <w:jc w:val="both"/>
        <w:rPr>
          <w:b/>
          <w:bCs/>
        </w:rPr>
      </w:pPr>
      <w:r w:rsidRPr="001727B1">
        <w:rPr>
          <w:b/>
          <w:bCs/>
        </w:rPr>
        <w:lastRenderedPageBreak/>
        <w:t>SUBMISSIONS BY THE PARTIES</w:t>
      </w:r>
    </w:p>
    <w:p w:rsidR="001727B1" w:rsidRDefault="001727B1" w:rsidP="00910271">
      <w:pPr>
        <w:spacing w:line="360" w:lineRule="auto"/>
        <w:ind w:firstLine="720"/>
        <w:jc w:val="both"/>
      </w:pPr>
      <w:r>
        <w:t xml:space="preserve">Mr </w:t>
      </w:r>
      <w:r w:rsidRPr="001727B1">
        <w:rPr>
          <w:i/>
          <w:iCs/>
        </w:rPr>
        <w:t>Tazvitya</w:t>
      </w:r>
      <w:r>
        <w:t>, submitted</w:t>
      </w:r>
      <w:r w:rsidR="005362E7">
        <w:t xml:space="preserve"> </w:t>
      </w:r>
      <w:r>
        <w:t xml:space="preserve">on behalf of the </w:t>
      </w:r>
      <w:r w:rsidR="00910271">
        <w:t>first</w:t>
      </w:r>
      <w:r>
        <w:t xml:space="preserve"> defendant that there was no plaintiff before the court as the party cited as the plaintiff is non existent at law. It is the Executrix Dative who ought to have been cited. The summons were accordingly void.</w:t>
      </w:r>
      <w:r w:rsidR="0096117F">
        <w:t xml:space="preserve"> He relied on </w:t>
      </w:r>
      <w:r w:rsidR="0096117F" w:rsidRPr="0096117F">
        <w:rPr>
          <w:i/>
          <w:iCs/>
        </w:rPr>
        <w:t xml:space="preserve">Veritas </w:t>
      </w:r>
      <w:r w:rsidR="0096117F" w:rsidRPr="002F76AD">
        <w:t>v</w:t>
      </w:r>
      <w:r w:rsidR="0096117F" w:rsidRPr="0096117F">
        <w:rPr>
          <w:i/>
          <w:iCs/>
        </w:rPr>
        <w:t xml:space="preserve"> ZEC and Others </w:t>
      </w:r>
      <w:r w:rsidR="0096117F" w:rsidRPr="002F76AD">
        <w:t>SC</w:t>
      </w:r>
      <w:r w:rsidR="002F76AD" w:rsidRPr="002F76AD">
        <w:t xml:space="preserve"> </w:t>
      </w:r>
      <w:r w:rsidR="0096117F" w:rsidRPr="002F76AD">
        <w:t>103</w:t>
      </w:r>
      <w:r w:rsidR="002F76AD" w:rsidRPr="002F76AD">
        <w:t>/</w:t>
      </w:r>
      <w:r w:rsidR="0096117F" w:rsidRPr="002F76AD">
        <w:t>20</w:t>
      </w:r>
      <w:r w:rsidR="0096117F" w:rsidRPr="0096117F">
        <w:rPr>
          <w:i/>
          <w:iCs/>
        </w:rPr>
        <w:t xml:space="preserve"> </w:t>
      </w:r>
      <w:r w:rsidR="0096117F">
        <w:t xml:space="preserve">for the position that the citation of a non-existent party leads to a nullity. He also relied on several cases on this jurisdiction to support the view that a deceased estate is not a legal entity. </w:t>
      </w:r>
    </w:p>
    <w:p w:rsidR="0067291E" w:rsidRDefault="0067291E" w:rsidP="007C1933">
      <w:pPr>
        <w:spacing w:line="360" w:lineRule="auto"/>
        <w:jc w:val="both"/>
      </w:pPr>
      <w:r>
        <w:tab/>
        <w:t xml:space="preserve">On the other hand, </w:t>
      </w:r>
      <w:r w:rsidRPr="005A2699">
        <w:t>Mr</w:t>
      </w:r>
      <w:r w:rsidRPr="005A2699">
        <w:rPr>
          <w:i/>
          <w:iCs/>
        </w:rPr>
        <w:t xml:space="preserve"> Mavhiringidze</w:t>
      </w:r>
      <w:r>
        <w:t xml:space="preserve"> argued on behalf of the plaintiff that the citation of the plaintiff was proper as long as it was indicated that the deceased estate was duly represented by the Executrix Dative whose name was indicated in the summons. Counsel argued that the case of </w:t>
      </w:r>
      <w:r w:rsidRPr="005A2699">
        <w:rPr>
          <w:i/>
          <w:iCs/>
        </w:rPr>
        <w:t xml:space="preserve">Vandira </w:t>
      </w:r>
      <w:r w:rsidRPr="002F76AD">
        <w:t>v</w:t>
      </w:r>
      <w:r w:rsidRPr="005A2699">
        <w:rPr>
          <w:i/>
          <w:iCs/>
        </w:rPr>
        <w:t xml:space="preserve"> Estate late George William Noble and Others </w:t>
      </w:r>
      <w:r w:rsidRPr="002F76AD">
        <w:t>HMA 10</w:t>
      </w:r>
      <w:r w:rsidR="002F76AD">
        <w:t>/</w:t>
      </w:r>
      <w:r w:rsidRPr="002F76AD">
        <w:t>23</w:t>
      </w:r>
      <w:r w:rsidRPr="005A2699">
        <w:rPr>
          <w:i/>
          <w:iCs/>
        </w:rPr>
        <w:t xml:space="preserve"> </w:t>
      </w:r>
      <w:r>
        <w:t xml:space="preserve">was distinguishable from the case at hand because in the present matter there was an indication that the deceased estate was duly represented by the named Executrix Dative. Counsel further contended that I am bound by the decision of two High Court judges in the matter of </w:t>
      </w:r>
      <w:r w:rsidRPr="005A2699">
        <w:rPr>
          <w:i/>
          <w:iCs/>
        </w:rPr>
        <w:t xml:space="preserve">Tundiya </w:t>
      </w:r>
      <w:r w:rsidRPr="002F76AD">
        <w:t>v</w:t>
      </w:r>
      <w:r w:rsidRPr="005A2699">
        <w:rPr>
          <w:i/>
          <w:iCs/>
        </w:rPr>
        <w:t xml:space="preserve"> Estate Late Idah Tandiwe Mangwaira (Represented by Sanra Felistas Shonhiwa), the Executor </w:t>
      </w:r>
      <w:r w:rsidRPr="002F76AD">
        <w:t xml:space="preserve">HMA </w:t>
      </w:r>
      <w:r w:rsidR="005A2699" w:rsidRPr="002F76AD">
        <w:t>39</w:t>
      </w:r>
      <w:r w:rsidR="002F76AD">
        <w:t>/</w:t>
      </w:r>
      <w:r w:rsidR="005A2699" w:rsidRPr="002F76AD">
        <w:t>23.</w:t>
      </w:r>
      <w:r>
        <w:t xml:space="preserve"> </w:t>
      </w:r>
      <w:r w:rsidR="005A2699">
        <w:t xml:space="preserve">The case of </w:t>
      </w:r>
      <w:r w:rsidR="005A2699" w:rsidRPr="005A2699">
        <w:rPr>
          <w:i/>
          <w:iCs/>
        </w:rPr>
        <w:t xml:space="preserve">Makosa </w:t>
      </w:r>
      <w:r w:rsidR="005A2699" w:rsidRPr="002F76AD">
        <w:t>v</w:t>
      </w:r>
      <w:r w:rsidR="005A2699" w:rsidRPr="005A2699">
        <w:rPr>
          <w:i/>
          <w:iCs/>
        </w:rPr>
        <w:t xml:space="preserve"> Estate Late Felix Chasi Represented by Francis Chasi the Executor</w:t>
      </w:r>
      <w:r w:rsidR="005A2699">
        <w:t xml:space="preserve"> </w:t>
      </w:r>
      <w:r w:rsidR="005A2699" w:rsidRPr="002F76AD">
        <w:t>HCC</w:t>
      </w:r>
      <w:r w:rsidR="002F76AD">
        <w:t xml:space="preserve"> </w:t>
      </w:r>
      <w:r w:rsidR="005A2699" w:rsidRPr="002F76AD">
        <w:t>08</w:t>
      </w:r>
      <w:r w:rsidR="002F76AD">
        <w:t>/</w:t>
      </w:r>
      <w:r w:rsidR="005A2699" w:rsidRPr="002F76AD">
        <w:t>24</w:t>
      </w:r>
      <w:r w:rsidR="005A2699">
        <w:t xml:space="preserve"> was also cited and that of </w:t>
      </w:r>
      <w:r w:rsidR="005A2699" w:rsidRPr="005A2699">
        <w:rPr>
          <w:i/>
          <w:iCs/>
        </w:rPr>
        <w:t xml:space="preserve">Lemukani </w:t>
      </w:r>
      <w:r w:rsidR="005A2699" w:rsidRPr="002F76AD">
        <w:t>v</w:t>
      </w:r>
      <w:r w:rsidR="005A2699" w:rsidRPr="005A2699">
        <w:rPr>
          <w:i/>
          <w:iCs/>
        </w:rPr>
        <w:t xml:space="preserve"> Estate late Enara Muyunza and Others </w:t>
      </w:r>
      <w:r w:rsidR="005A2699" w:rsidRPr="002F76AD">
        <w:t>HCC 156</w:t>
      </w:r>
      <w:r w:rsidR="002F76AD">
        <w:t>/</w:t>
      </w:r>
      <w:r w:rsidR="005A2699" w:rsidRPr="002F76AD">
        <w:t>24</w:t>
      </w:r>
      <w:r w:rsidR="005A2699">
        <w:t xml:space="preserve"> as the latest authorities dealing with a similar scenario where the proceedings were not held to be a nullity. It was contended that the plaintiff’s eviction suit is not a nullity as the Title Deed is in the name of the deceased’s estate.</w:t>
      </w:r>
    </w:p>
    <w:p w:rsidR="005A2699" w:rsidRPr="001727B1" w:rsidRDefault="005A2699" w:rsidP="007C1933">
      <w:pPr>
        <w:spacing w:line="360" w:lineRule="auto"/>
        <w:jc w:val="both"/>
      </w:pPr>
      <w:r>
        <w:tab/>
        <w:t xml:space="preserve">In reply, Mr </w:t>
      </w:r>
      <w:r w:rsidRPr="001D4952">
        <w:rPr>
          <w:i/>
          <w:iCs/>
        </w:rPr>
        <w:t>Tazvitya</w:t>
      </w:r>
      <w:r>
        <w:t xml:space="preserve"> maintained his stance. </w:t>
      </w:r>
      <w:r w:rsidR="001D4952">
        <w:t xml:space="preserve">His submissions were an attempt to distinguish all the cases cited by the plaintiff from the case at hand. He submitted that in </w:t>
      </w:r>
      <w:bookmarkStart w:id="0" w:name="_Hlk181150418"/>
      <w:r w:rsidR="001D4952" w:rsidRPr="001D4952">
        <w:rPr>
          <w:i/>
          <w:iCs/>
        </w:rPr>
        <w:t>Tundiya</w:t>
      </w:r>
      <w:r w:rsidRPr="001D4952">
        <w:rPr>
          <w:i/>
          <w:iCs/>
        </w:rPr>
        <w:t xml:space="preserve"> </w:t>
      </w:r>
      <w:r w:rsidR="001D4952" w:rsidRPr="00B17EE4">
        <w:t>v</w:t>
      </w:r>
      <w:r w:rsidR="001D4952" w:rsidRPr="001D4952">
        <w:rPr>
          <w:i/>
          <w:iCs/>
        </w:rPr>
        <w:t xml:space="preserve"> Estate Late Idah Tandiwe Mangwaira (Represented by Sanra Felistas Shonhiwa) </w:t>
      </w:r>
      <w:r w:rsidR="001D4952">
        <w:t>(</w:t>
      </w:r>
      <w:r w:rsidR="001D4952" w:rsidRPr="001D4952">
        <w:rPr>
          <w:i/>
          <w:iCs/>
        </w:rPr>
        <w:t>supra</w:t>
      </w:r>
      <w:r w:rsidR="001D4952">
        <w:t>),</w:t>
      </w:r>
      <w:bookmarkEnd w:id="0"/>
      <w:r w:rsidR="001D4952">
        <w:t xml:space="preserve"> the ground of appeal which dealt with the issue of the wrong citation was withdrawn and hence the court did not specifically deal with it. He further contended that </w:t>
      </w:r>
      <w:bookmarkStart w:id="1" w:name="_Hlk181152041"/>
      <w:r w:rsidR="001D4952">
        <w:t xml:space="preserve">in the cases of </w:t>
      </w:r>
      <w:r w:rsidR="001D4952" w:rsidRPr="0096117F">
        <w:rPr>
          <w:i/>
          <w:iCs/>
        </w:rPr>
        <w:t xml:space="preserve">Makosa </w:t>
      </w:r>
      <w:r w:rsidR="001D4952" w:rsidRPr="00B17EE4">
        <w:t>v</w:t>
      </w:r>
      <w:r w:rsidR="001D4952" w:rsidRPr="0096117F">
        <w:rPr>
          <w:i/>
          <w:iCs/>
        </w:rPr>
        <w:t xml:space="preserve"> Estate Late Chasi (Represented by Francis Chasi the Executor)</w:t>
      </w:r>
      <w:r w:rsidR="001D4952">
        <w:t xml:space="preserve"> (</w:t>
      </w:r>
      <w:r w:rsidR="001D4952" w:rsidRPr="001D4952">
        <w:rPr>
          <w:i/>
          <w:iCs/>
        </w:rPr>
        <w:t>supra</w:t>
      </w:r>
      <w:r w:rsidR="001D4952">
        <w:t xml:space="preserve">) and </w:t>
      </w:r>
      <w:r w:rsidR="001D4952" w:rsidRPr="0096117F">
        <w:rPr>
          <w:i/>
          <w:iCs/>
        </w:rPr>
        <w:t xml:space="preserve">Lemukani </w:t>
      </w:r>
      <w:r w:rsidR="001D4952" w:rsidRPr="00B17EE4">
        <w:t>v</w:t>
      </w:r>
      <w:r w:rsidR="001D4952" w:rsidRPr="0096117F">
        <w:rPr>
          <w:i/>
          <w:iCs/>
        </w:rPr>
        <w:t xml:space="preserve"> Estate Late Enara Muguza and Others</w:t>
      </w:r>
      <w:r w:rsidR="001D4952">
        <w:t xml:space="preserve"> (</w:t>
      </w:r>
      <w:r w:rsidR="001D4952" w:rsidRPr="001D4952">
        <w:rPr>
          <w:i/>
          <w:iCs/>
        </w:rPr>
        <w:t>supra</w:t>
      </w:r>
      <w:r w:rsidR="001D4952">
        <w:t>) the issue of the wrong citation of the estate did not arise</w:t>
      </w:r>
      <w:bookmarkEnd w:id="1"/>
      <w:r w:rsidR="001D4952">
        <w:t>.</w:t>
      </w:r>
    </w:p>
    <w:p w:rsidR="007C1933" w:rsidRDefault="007C1933" w:rsidP="007C1933">
      <w:pPr>
        <w:spacing w:line="360" w:lineRule="auto"/>
        <w:jc w:val="both"/>
      </w:pPr>
    </w:p>
    <w:p w:rsidR="00B17EE4" w:rsidRDefault="00B17EE4" w:rsidP="007C1933">
      <w:pPr>
        <w:spacing w:line="360" w:lineRule="auto"/>
        <w:jc w:val="both"/>
      </w:pPr>
    </w:p>
    <w:p w:rsidR="00385770" w:rsidRDefault="00385770" w:rsidP="007C1933">
      <w:pPr>
        <w:spacing w:line="360" w:lineRule="auto"/>
        <w:jc w:val="both"/>
      </w:pPr>
    </w:p>
    <w:p w:rsidR="00B17EE4" w:rsidRDefault="00B17EE4" w:rsidP="007C1933">
      <w:pPr>
        <w:spacing w:line="360" w:lineRule="auto"/>
        <w:jc w:val="both"/>
      </w:pPr>
    </w:p>
    <w:p w:rsidR="007C1933" w:rsidRPr="007C1933" w:rsidRDefault="007C1933" w:rsidP="007C1933">
      <w:pPr>
        <w:spacing w:line="360" w:lineRule="auto"/>
        <w:jc w:val="both"/>
        <w:rPr>
          <w:b/>
          <w:bCs/>
        </w:rPr>
      </w:pPr>
      <w:r w:rsidRPr="007C1933">
        <w:rPr>
          <w:b/>
          <w:bCs/>
        </w:rPr>
        <w:t>THE LAW AND ITS APPLICATION TO THE CASE AT HAND</w:t>
      </w:r>
    </w:p>
    <w:p w:rsidR="00E432B5" w:rsidRDefault="007C1933" w:rsidP="00B17EE4">
      <w:pPr>
        <w:spacing w:line="360" w:lineRule="auto"/>
        <w:ind w:firstLine="720"/>
        <w:jc w:val="both"/>
      </w:pPr>
      <w:r>
        <w:lastRenderedPageBreak/>
        <w:t xml:space="preserve">The position that a deceased estate is not a legal </w:t>
      </w:r>
      <w:r w:rsidRPr="007C1933">
        <w:rPr>
          <w:i/>
          <w:iCs/>
        </w:rPr>
        <w:t xml:space="preserve">persona </w:t>
      </w:r>
      <w:r>
        <w:t xml:space="preserve">which is clothed with </w:t>
      </w:r>
      <w:r w:rsidRPr="007C1933">
        <w:rPr>
          <w:i/>
          <w:iCs/>
        </w:rPr>
        <w:t>locus standi</w:t>
      </w:r>
      <w:r>
        <w:t xml:space="preserve"> to sue at law is well settled in this jurisdiction. In </w:t>
      </w:r>
      <w:r w:rsidRPr="00E27C7C">
        <w:rPr>
          <w:i/>
          <w:iCs/>
        </w:rPr>
        <w:t xml:space="preserve">Chiyangwa </w:t>
      </w:r>
      <w:r w:rsidRPr="001E5043">
        <w:t>v</w:t>
      </w:r>
      <w:r w:rsidRPr="00E27C7C">
        <w:rPr>
          <w:i/>
          <w:iCs/>
        </w:rPr>
        <w:t xml:space="preserve"> Katerere and Others </w:t>
      </w:r>
      <w:r w:rsidRPr="001E5043">
        <w:t>SC 61</w:t>
      </w:r>
      <w:r w:rsidR="001E5043">
        <w:t>/</w:t>
      </w:r>
      <w:r w:rsidRPr="001E5043">
        <w:t xml:space="preserve">21 </w:t>
      </w:r>
      <w:r>
        <w:t xml:space="preserve">at p 15 of the cyclostyled judgment, </w:t>
      </w:r>
      <w:r w:rsidR="00E27C7C">
        <w:t>it was articulated thus:</w:t>
      </w:r>
    </w:p>
    <w:p w:rsidR="00E27C7C" w:rsidRDefault="00E27C7C" w:rsidP="00C449AD">
      <w:pPr>
        <w:spacing w:line="360" w:lineRule="auto"/>
        <w:jc w:val="both"/>
      </w:pPr>
    </w:p>
    <w:p w:rsidR="00E27C7C" w:rsidRPr="001E5043" w:rsidRDefault="00E27C7C" w:rsidP="00385770">
      <w:pPr>
        <w:tabs>
          <w:tab w:val="left" w:pos="1134"/>
        </w:tabs>
        <w:spacing w:line="360" w:lineRule="auto"/>
        <w:ind w:left="720"/>
        <w:jc w:val="both"/>
        <w:rPr>
          <w:sz w:val="22"/>
          <w:szCs w:val="22"/>
        </w:rPr>
      </w:pPr>
      <w:r w:rsidRPr="001E5043">
        <w:rPr>
          <w:i/>
          <w:iCs/>
          <w:sz w:val="22"/>
          <w:szCs w:val="22"/>
        </w:rPr>
        <w:t xml:space="preserve">“It follows that in a case involving estates of deceased persons there shall be appointed a representative who is empowered through letters of administration to act for and on behalf of the deceased’s estate. This is so because </w:t>
      </w:r>
      <w:r w:rsidRPr="001E5043">
        <w:rPr>
          <w:b/>
          <w:bCs/>
          <w:i/>
          <w:iCs/>
          <w:sz w:val="22"/>
          <w:szCs w:val="22"/>
        </w:rPr>
        <w:t>the deceased estate cannot represent itself. In terms of s 25 of the Act a deceased estate is represented by an executor or executrix duly appointed and issued with letters of administration by the Master.</w:t>
      </w:r>
      <w:r w:rsidR="001E5043">
        <w:rPr>
          <w:b/>
          <w:bCs/>
          <w:sz w:val="22"/>
          <w:szCs w:val="22"/>
        </w:rPr>
        <w:t>”</w:t>
      </w:r>
    </w:p>
    <w:p w:rsidR="00E27C7C" w:rsidRPr="00E27C7C" w:rsidRDefault="00E27C7C" w:rsidP="00E27C7C">
      <w:pPr>
        <w:spacing w:line="360" w:lineRule="auto"/>
        <w:jc w:val="both"/>
        <w:rPr>
          <w:i/>
          <w:iCs/>
        </w:rPr>
      </w:pPr>
    </w:p>
    <w:p w:rsidR="00E27C7C" w:rsidRPr="001E5043" w:rsidRDefault="00E27C7C" w:rsidP="001E5043">
      <w:pPr>
        <w:tabs>
          <w:tab w:val="left" w:pos="1134"/>
        </w:tabs>
        <w:spacing w:line="360" w:lineRule="auto"/>
        <w:ind w:firstLine="720"/>
        <w:jc w:val="both"/>
      </w:pPr>
      <w:r w:rsidRPr="00E27C7C">
        <w:rPr>
          <w:i/>
          <w:iCs/>
        </w:rPr>
        <w:tab/>
        <w:t xml:space="preserve">In Nyandoro &amp; Anor </w:t>
      </w:r>
      <w:r w:rsidRPr="001E5043">
        <w:t>v</w:t>
      </w:r>
      <w:r w:rsidRPr="00E27C7C">
        <w:rPr>
          <w:i/>
          <w:iCs/>
        </w:rPr>
        <w:t xml:space="preserve"> Nyandoro &amp; Ors </w:t>
      </w:r>
      <w:r w:rsidRPr="001E5043">
        <w:t xml:space="preserve">2008 (2) ZLR 219(H) at 222H-223C </w:t>
      </w:r>
      <w:r w:rsidRPr="001E5043">
        <w:rPr>
          <w:smallCaps/>
        </w:rPr>
        <w:t>K</w:t>
      </w:r>
      <w:r w:rsidR="001E5043" w:rsidRPr="001E5043">
        <w:rPr>
          <w:smallCaps/>
        </w:rPr>
        <w:t>udya</w:t>
      </w:r>
      <w:r w:rsidRPr="001E5043">
        <w:t> J aptly restated the legal position as follows:-</w:t>
      </w:r>
    </w:p>
    <w:p w:rsidR="00E27C7C" w:rsidRPr="001E5043" w:rsidRDefault="00E27C7C" w:rsidP="00385770">
      <w:pPr>
        <w:spacing w:line="360" w:lineRule="auto"/>
        <w:ind w:left="720"/>
        <w:jc w:val="both"/>
        <w:rPr>
          <w:i/>
          <w:iCs/>
          <w:sz w:val="22"/>
          <w:szCs w:val="22"/>
        </w:rPr>
      </w:pPr>
      <w:r w:rsidRPr="001E5043">
        <w:rPr>
          <w:i/>
          <w:iCs/>
          <w:sz w:val="22"/>
          <w:szCs w:val="22"/>
        </w:rPr>
        <w:t>“In Clarke v Barnacle NO &amp; Ors 1958 R&amp;N 358 (SR) at 349B -350A MORTON J stated the legal position that still obtains to this day in Zimbabwe. It is that “whether testate or intestate, an executor, either testamentary or dative, must be appointed…..so that the executor and he alone is looked upon as the person to represent the estate of the deceased person.” He left no doubt that towards the rest of the world the executor occupies the position of legal representative of the deceased with all the rights and obligations attaching to that position and that</w:t>
      </w:r>
      <w:r w:rsidRPr="001E5043">
        <w:rPr>
          <w:b/>
          <w:bCs/>
          <w:i/>
          <w:iCs/>
          <w:sz w:val="22"/>
          <w:szCs w:val="22"/>
        </w:rPr>
        <w:t xml:space="preserve"> because a deceased’s estate is vested in the executor, he is the only person who has locus standi to bring a vindicatory action relative to property alleged to form part of the estate.</w:t>
      </w:r>
    </w:p>
    <w:p w:rsidR="00E27C7C" w:rsidRPr="001E5043" w:rsidRDefault="00E27C7C" w:rsidP="00385770">
      <w:pPr>
        <w:tabs>
          <w:tab w:val="left" w:pos="1134"/>
        </w:tabs>
        <w:spacing w:line="360" w:lineRule="auto"/>
        <w:ind w:left="720"/>
        <w:jc w:val="both"/>
        <w:rPr>
          <w:sz w:val="22"/>
          <w:szCs w:val="22"/>
        </w:rPr>
      </w:pPr>
      <w:r w:rsidRPr="001E5043">
        <w:rPr>
          <w:i/>
          <w:iCs/>
          <w:sz w:val="22"/>
          <w:szCs w:val="22"/>
        </w:rPr>
        <w:t xml:space="preserve">Arising from the nature of a deceased estate as described in Clarke v Barnacle, supra, and Mhlanga v Ndlovu, supra, it must follow that </w:t>
      </w:r>
      <w:r w:rsidRPr="001E5043">
        <w:rPr>
          <w:b/>
          <w:bCs/>
          <w:i/>
          <w:iCs/>
          <w:sz w:val="22"/>
          <w:szCs w:val="22"/>
        </w:rPr>
        <w:t>the citation of a deceased estate as a party to litigation is wrong. The correct party to cite in lieu of the deceased estate is the executor by name. The citation of the second plaintiff and second defendant in casu was therefore improper and incurable. It makes their presence before me a nullity</w:t>
      </w:r>
      <w:r w:rsidRPr="001E5043">
        <w:rPr>
          <w:i/>
          <w:iCs/>
          <w:sz w:val="22"/>
          <w:szCs w:val="22"/>
        </w:rPr>
        <w:t>.”</w:t>
      </w:r>
      <w:r w:rsidR="00C400E4" w:rsidRPr="001E5043">
        <w:rPr>
          <w:sz w:val="22"/>
          <w:szCs w:val="22"/>
        </w:rPr>
        <w:t xml:space="preserve"> (Added emphasis)</w:t>
      </w:r>
    </w:p>
    <w:p w:rsidR="00E27C7C" w:rsidRPr="001E5043" w:rsidRDefault="00E27C7C" w:rsidP="001E5043">
      <w:pPr>
        <w:jc w:val="both"/>
        <w:rPr>
          <w:sz w:val="22"/>
          <w:szCs w:val="22"/>
        </w:rPr>
      </w:pPr>
    </w:p>
    <w:p w:rsidR="00E27C7C" w:rsidRDefault="00E27C7C" w:rsidP="001E5043">
      <w:pPr>
        <w:spacing w:line="360" w:lineRule="auto"/>
        <w:ind w:firstLine="720"/>
        <w:jc w:val="both"/>
      </w:pPr>
      <w:r>
        <w:t xml:space="preserve">The above pronouncement by the Supreme Court is buttressed by numerous decisions which include </w:t>
      </w:r>
      <w:r w:rsidRPr="0009367F">
        <w:rPr>
          <w:i/>
          <w:iCs/>
        </w:rPr>
        <w:t xml:space="preserve">Vandira </w:t>
      </w:r>
      <w:r w:rsidRPr="001E5043">
        <w:t xml:space="preserve">v </w:t>
      </w:r>
      <w:r w:rsidRPr="0009367F">
        <w:rPr>
          <w:i/>
          <w:iCs/>
        </w:rPr>
        <w:t xml:space="preserve">Estate Late George William Noble and Others </w:t>
      </w:r>
      <w:r w:rsidRPr="001E5043">
        <w:t>HMA 10</w:t>
      </w:r>
      <w:r w:rsidR="001E5043">
        <w:t xml:space="preserve">/ </w:t>
      </w:r>
      <w:r w:rsidRPr="001E5043">
        <w:t>23</w:t>
      </w:r>
      <w:r>
        <w:t xml:space="preserve">, </w:t>
      </w:r>
      <w:r w:rsidRPr="00B637EB">
        <w:rPr>
          <w:i/>
          <w:iCs/>
        </w:rPr>
        <w:t xml:space="preserve">Estate Late Ngavaite Jack Chikuni and Others </w:t>
      </w:r>
      <w:r w:rsidRPr="001E5043">
        <w:t>v</w:t>
      </w:r>
      <w:r w:rsidRPr="00B637EB">
        <w:rPr>
          <w:i/>
          <w:iCs/>
        </w:rPr>
        <w:t xml:space="preserve"> Chikuni and Others </w:t>
      </w:r>
      <w:r w:rsidRPr="001E5043">
        <w:t>HB 143</w:t>
      </w:r>
      <w:r w:rsidR="001E5043">
        <w:t>/</w:t>
      </w:r>
      <w:r w:rsidRPr="001E5043">
        <w:t>21.</w:t>
      </w:r>
    </w:p>
    <w:p w:rsidR="00C400E4" w:rsidRDefault="00E27C7C" w:rsidP="00C449AD">
      <w:pPr>
        <w:spacing w:line="360" w:lineRule="auto"/>
        <w:jc w:val="both"/>
      </w:pPr>
      <w:r>
        <w:tab/>
        <w:t>Since there is no other plaintiff apart from the deceased estate</w:t>
      </w:r>
      <w:r w:rsidR="00C400E4">
        <w:t xml:space="preserve"> in the case at hand</w:t>
      </w:r>
      <w:r>
        <w:t xml:space="preserve">, what it simply means is that there are no valid proceedings before me and </w:t>
      </w:r>
      <w:r w:rsidR="0036540B">
        <w:t xml:space="preserve">as such there can be no valid trial. </w:t>
      </w:r>
      <w:r w:rsidR="001B4133">
        <w:t xml:space="preserve">Mr </w:t>
      </w:r>
      <w:r w:rsidR="001B4133" w:rsidRPr="00DF4BCA">
        <w:rPr>
          <w:i/>
          <w:iCs/>
        </w:rPr>
        <w:t>Tazvi</w:t>
      </w:r>
      <w:r w:rsidR="00DF4BCA">
        <w:rPr>
          <w:i/>
          <w:iCs/>
        </w:rPr>
        <w:t>ty</w:t>
      </w:r>
      <w:r w:rsidR="001B4133" w:rsidRPr="00DF4BCA">
        <w:rPr>
          <w:i/>
          <w:iCs/>
        </w:rPr>
        <w:t>a</w:t>
      </w:r>
      <w:r w:rsidR="001B4133">
        <w:t xml:space="preserve"> is correct in distinguishing the case of </w:t>
      </w:r>
      <w:r w:rsidR="001B4133" w:rsidRPr="001B4133">
        <w:rPr>
          <w:i/>
          <w:iCs/>
        </w:rPr>
        <w:t xml:space="preserve">Tundiya </w:t>
      </w:r>
      <w:r w:rsidR="001B4133" w:rsidRPr="00845888">
        <w:t>v</w:t>
      </w:r>
      <w:r w:rsidR="001B4133" w:rsidRPr="001B4133">
        <w:rPr>
          <w:i/>
          <w:iCs/>
        </w:rPr>
        <w:t xml:space="preserve"> Estate Late Idah Tandiwe Mangwaira (Represented by Sanra Felistas Shonhiwa) </w:t>
      </w:r>
      <w:r w:rsidR="001B4133" w:rsidRPr="001B4133">
        <w:t>(</w:t>
      </w:r>
      <w:r w:rsidR="001B4133" w:rsidRPr="001B4133">
        <w:rPr>
          <w:i/>
          <w:iCs/>
        </w:rPr>
        <w:t>supra</w:t>
      </w:r>
      <w:r w:rsidR="001B4133" w:rsidRPr="001B4133">
        <w:t>)</w:t>
      </w:r>
      <w:r w:rsidR="001B4133">
        <w:t xml:space="preserve"> from the present case on the basis that the two judges who dealt with that matter dealt with the appeal on the basis of </w:t>
      </w:r>
      <w:r w:rsidR="001B4133">
        <w:lastRenderedPageBreak/>
        <w:t xml:space="preserve">other issues which remained after the ground of appeal that dealt with the point </w:t>
      </w:r>
      <w:r w:rsidR="001B4133" w:rsidRPr="00845888">
        <w:rPr>
          <w:i/>
          <w:iCs/>
        </w:rPr>
        <w:t>in</w:t>
      </w:r>
      <w:r w:rsidR="001B4133">
        <w:t xml:space="preserve"> </w:t>
      </w:r>
      <w:r w:rsidR="001B4133" w:rsidRPr="001B4133">
        <w:rPr>
          <w:i/>
          <w:iCs/>
        </w:rPr>
        <w:t>limine</w:t>
      </w:r>
      <w:r w:rsidR="001B4133">
        <w:t xml:space="preserve"> on mis citation of the respondent had been withdrawn. The two judges did not consider the decided cases over the issue of the respondent’s </w:t>
      </w:r>
      <w:r w:rsidR="00C35430">
        <w:t xml:space="preserve">mis </w:t>
      </w:r>
      <w:r w:rsidR="001B4133">
        <w:t xml:space="preserve">citation. Specifically, they did not consider the decision of the Supreme Court in </w:t>
      </w:r>
      <w:r w:rsidR="001B4133" w:rsidRPr="009C0526">
        <w:rPr>
          <w:i/>
          <w:iCs/>
        </w:rPr>
        <w:t xml:space="preserve">Chiyangwa </w:t>
      </w:r>
      <w:r w:rsidR="001B4133" w:rsidRPr="00845888">
        <w:t>v</w:t>
      </w:r>
      <w:r w:rsidR="001B4133" w:rsidRPr="009C0526">
        <w:rPr>
          <w:i/>
          <w:iCs/>
        </w:rPr>
        <w:t xml:space="preserve"> Katerere </w:t>
      </w:r>
      <w:r w:rsidR="001B4133">
        <w:t>(</w:t>
      </w:r>
      <w:r w:rsidR="001B4133" w:rsidRPr="001B4133">
        <w:rPr>
          <w:i/>
          <w:iCs/>
        </w:rPr>
        <w:t>supra</w:t>
      </w:r>
      <w:r w:rsidR="001B4133">
        <w:t>) where three Justices of Appeal held that a deceased estate cannot be cited as a party and also that the failure to cite an executor by name in a case dealing with a deceased estate is fatal to the proceedings</w:t>
      </w:r>
      <w:r w:rsidR="009C0526">
        <w:t xml:space="preserve"> as a deceased’s estate can only be represented by an executor</w:t>
      </w:r>
      <w:r w:rsidR="001B4133">
        <w:t xml:space="preserve">. </w:t>
      </w:r>
      <w:r w:rsidR="009C0526">
        <w:t>Whilst it is correct that I am bound by a decision of two High Court judges, this cannot be so in this scenario for two reasons. The first reason is that there is a clear decision of the Supreme Court which has settled the same point which is binding upon</w:t>
      </w:r>
      <w:r w:rsidR="00DF4BCA">
        <w:t xml:space="preserve"> </w:t>
      </w:r>
      <w:r w:rsidR="009C0526">
        <w:t>the High Court</w:t>
      </w:r>
      <w:r w:rsidR="00DF4BCA">
        <w:t xml:space="preserve"> by means of the doctrine of </w:t>
      </w:r>
      <w:r w:rsidR="00DF4BCA" w:rsidRPr="00DF4BCA">
        <w:rPr>
          <w:i/>
          <w:iCs/>
        </w:rPr>
        <w:t>stare decisis</w:t>
      </w:r>
      <w:r w:rsidR="00DF4BCA">
        <w:t>. Secondly, the two High Court judges in question did not decide the appeal on the basis of the mis</w:t>
      </w:r>
      <w:r w:rsidR="00DB7A4D">
        <w:t>-</w:t>
      </w:r>
      <w:r w:rsidR="00DF4BCA">
        <w:t xml:space="preserve">citation of the respondent since the ground of appeal which dealt with the relevant point </w:t>
      </w:r>
      <w:r w:rsidR="00DF4BCA" w:rsidRPr="00DB7A4D">
        <w:rPr>
          <w:i/>
          <w:iCs/>
        </w:rPr>
        <w:t>in</w:t>
      </w:r>
      <w:r w:rsidR="00DF4BCA">
        <w:t xml:space="preserve"> </w:t>
      </w:r>
      <w:r w:rsidR="00DF4BCA" w:rsidRPr="00DF4BCA">
        <w:rPr>
          <w:i/>
          <w:iCs/>
        </w:rPr>
        <w:t>limine</w:t>
      </w:r>
      <w:r w:rsidR="00DF4BCA">
        <w:t xml:space="preserve"> had been withdrawn by the appellant.</w:t>
      </w:r>
    </w:p>
    <w:p w:rsidR="00DF4BCA" w:rsidRDefault="00DF4BCA" w:rsidP="00C449AD">
      <w:pPr>
        <w:spacing w:line="360" w:lineRule="auto"/>
        <w:jc w:val="both"/>
      </w:pPr>
      <w:r>
        <w:tab/>
        <w:t>I</w:t>
      </w:r>
      <w:r w:rsidRPr="00DF4BCA">
        <w:t xml:space="preserve">n the cases of </w:t>
      </w:r>
      <w:r w:rsidRPr="00DF4BCA">
        <w:rPr>
          <w:i/>
          <w:iCs/>
        </w:rPr>
        <w:t xml:space="preserve">Makosa </w:t>
      </w:r>
      <w:r w:rsidRPr="00DB7A4D">
        <w:t>v</w:t>
      </w:r>
      <w:r w:rsidRPr="00DF4BCA">
        <w:rPr>
          <w:i/>
          <w:iCs/>
        </w:rPr>
        <w:t xml:space="preserve"> Estate Late Chasi (Represented by Francis Chasi the Executor)</w:t>
      </w:r>
      <w:r w:rsidRPr="00DF4BCA">
        <w:t xml:space="preserve"> (</w:t>
      </w:r>
      <w:r w:rsidRPr="00DF4BCA">
        <w:rPr>
          <w:i/>
          <w:iCs/>
        </w:rPr>
        <w:t>supra</w:t>
      </w:r>
      <w:r w:rsidRPr="00DF4BCA">
        <w:t xml:space="preserve">) and </w:t>
      </w:r>
      <w:r w:rsidRPr="00DF4BCA">
        <w:rPr>
          <w:i/>
          <w:iCs/>
        </w:rPr>
        <w:t xml:space="preserve">Lemukani </w:t>
      </w:r>
      <w:r w:rsidRPr="00DB7A4D">
        <w:t>v</w:t>
      </w:r>
      <w:r w:rsidRPr="00DF4BCA">
        <w:rPr>
          <w:i/>
          <w:iCs/>
        </w:rPr>
        <w:t xml:space="preserve"> Estate Late Enara Muguza and Others</w:t>
      </w:r>
      <w:r w:rsidRPr="00DF4BCA">
        <w:t xml:space="preserve"> (</w:t>
      </w:r>
      <w:r w:rsidRPr="00DF4BCA">
        <w:rPr>
          <w:i/>
          <w:iCs/>
        </w:rPr>
        <w:t>supra</w:t>
      </w:r>
      <w:r w:rsidRPr="00DF4BCA">
        <w:t>)</w:t>
      </w:r>
      <w:r>
        <w:t>,</w:t>
      </w:r>
      <w:r w:rsidRPr="00DF4BCA">
        <w:t xml:space="preserve"> the issue of the wrong citation of the estate</w:t>
      </w:r>
      <w:r>
        <w:t>s</w:t>
      </w:r>
      <w:r w:rsidRPr="00DF4BCA">
        <w:t xml:space="preserve"> did not arise</w:t>
      </w:r>
      <w:r>
        <w:t xml:space="preserve"> and hence there is nothing that was pronounced in those cases to buttress the plaintiff’s contention.</w:t>
      </w:r>
    </w:p>
    <w:p w:rsidR="00230D56" w:rsidRDefault="00DF4BCA" w:rsidP="00C449AD">
      <w:pPr>
        <w:spacing w:line="360" w:lineRule="auto"/>
        <w:jc w:val="both"/>
      </w:pPr>
      <w:r>
        <w:tab/>
        <w:t xml:space="preserve">The other most relevant case is that of </w:t>
      </w:r>
      <w:r w:rsidRPr="00230D56">
        <w:rPr>
          <w:i/>
          <w:iCs/>
        </w:rPr>
        <w:t>Mupfurira</w:t>
      </w:r>
      <w:r w:rsidRPr="00DB7A4D">
        <w:t xml:space="preserve"> v</w:t>
      </w:r>
      <w:r w:rsidRPr="00230D56">
        <w:rPr>
          <w:i/>
          <w:iCs/>
        </w:rPr>
        <w:t xml:space="preserve"> </w:t>
      </w:r>
      <w:r w:rsidR="002F34D1" w:rsidRPr="00230D56">
        <w:rPr>
          <w:i/>
          <w:iCs/>
        </w:rPr>
        <w:t xml:space="preserve">Master of the High Court of Zimbabwe and Others </w:t>
      </w:r>
      <w:r w:rsidR="002F34D1" w:rsidRPr="00DB7A4D">
        <w:t>HH 328</w:t>
      </w:r>
      <w:r w:rsidR="00DB7A4D">
        <w:t>/</w:t>
      </w:r>
      <w:r w:rsidR="002F34D1" w:rsidRPr="00DB7A4D">
        <w:t>23</w:t>
      </w:r>
      <w:r w:rsidR="002F34D1">
        <w:t xml:space="preserve"> where the citation of </w:t>
      </w:r>
      <w:r w:rsidR="00DB7A4D">
        <w:t xml:space="preserve">second </w:t>
      </w:r>
      <w:r w:rsidR="002F34D1">
        <w:t xml:space="preserve">respondent as </w:t>
      </w:r>
      <w:r w:rsidR="002F34D1" w:rsidRPr="00230D56">
        <w:rPr>
          <w:i/>
          <w:iCs/>
        </w:rPr>
        <w:t xml:space="preserve">Estate Late James Chigwedere </w:t>
      </w:r>
      <w:r w:rsidR="00230D56" w:rsidRPr="00230D56">
        <w:rPr>
          <w:i/>
          <w:iCs/>
        </w:rPr>
        <w:t>(Represented by Isaac Tichareva in his capacity as Executor Dative)</w:t>
      </w:r>
      <w:r w:rsidR="00230D56">
        <w:t xml:space="preserve"> was held to be fatal to the application leading to the matter being struck off the roll. At p</w:t>
      </w:r>
      <w:r w:rsidR="00DB7A4D">
        <w:t>p</w:t>
      </w:r>
      <w:r w:rsidR="00230D56">
        <w:t xml:space="preserve"> 4 to 5 of the cyclostyled judgment, </w:t>
      </w:r>
      <w:r w:rsidR="00230D56" w:rsidRPr="00DB7A4D">
        <w:rPr>
          <w:smallCaps/>
        </w:rPr>
        <w:t>Muchawa J</w:t>
      </w:r>
      <w:r w:rsidR="00230D56">
        <w:t xml:space="preserve"> held as follows:</w:t>
      </w:r>
    </w:p>
    <w:p w:rsidR="00230D56" w:rsidRDefault="00C05BD0" w:rsidP="00385770">
      <w:pPr>
        <w:spacing w:line="360" w:lineRule="auto"/>
        <w:ind w:left="720"/>
        <w:jc w:val="both"/>
        <w:rPr>
          <w:i/>
          <w:iCs/>
          <w:sz w:val="22"/>
          <w:szCs w:val="22"/>
          <w:lang w:val="en-ZW"/>
        </w:rPr>
      </w:pPr>
      <w:r w:rsidRPr="00DB7A4D">
        <w:rPr>
          <w:i/>
          <w:iCs/>
          <w:sz w:val="22"/>
          <w:szCs w:val="22"/>
          <w:lang w:val="en-ZW"/>
        </w:rPr>
        <w:t>“</w:t>
      </w:r>
      <w:r w:rsidR="00230D56" w:rsidRPr="00DB7A4D">
        <w:rPr>
          <w:i/>
          <w:iCs/>
          <w:sz w:val="22"/>
          <w:szCs w:val="22"/>
          <w:lang w:val="en-ZW"/>
        </w:rPr>
        <w:t xml:space="preserve">What emerges from these authorities is that the citation of a deceased estate as a party to litigation is wrong. It is the executor who must be cited by name. Failure to cite the executor/executrix would be fatal to an action against the deceased’s estate. It does not matter that there are others remaining in the suit, if the suit is aimed against the deceased estate, failure to cite the executor is fatal.  In terms of s 25 of the </w:t>
      </w:r>
      <w:r w:rsidR="00230D56" w:rsidRPr="00DB7A4D">
        <w:rPr>
          <w:bCs/>
          <w:i/>
          <w:iCs/>
          <w:sz w:val="22"/>
          <w:szCs w:val="22"/>
          <w:lang w:val="en-ZW"/>
        </w:rPr>
        <w:t>Administration of Estates Act [Chapter 6:01]</w:t>
      </w:r>
      <w:r w:rsidR="00230D56" w:rsidRPr="00DB7A4D">
        <w:rPr>
          <w:i/>
          <w:iCs/>
          <w:sz w:val="22"/>
          <w:szCs w:val="22"/>
          <w:lang w:val="en-ZW"/>
        </w:rPr>
        <w:t xml:space="preserve"> a deceased estate is represented by an executor or executrix duly appointed and issued with letters of administration by the Master. The case of Estate Late Ngavaite Jack Chikuni (supra) was saved by the fact that the executor was the second applicant.  In casu, the executor has not been cited by name. This is not just a mis citation.  It is fatal to the application.</w:t>
      </w:r>
    </w:p>
    <w:p w:rsidR="00DB7A4D" w:rsidRPr="00DB7A4D" w:rsidRDefault="00DB7A4D" w:rsidP="00385770">
      <w:pPr>
        <w:spacing w:line="360" w:lineRule="auto"/>
        <w:ind w:left="720"/>
        <w:jc w:val="both"/>
        <w:rPr>
          <w:i/>
          <w:iCs/>
          <w:sz w:val="22"/>
          <w:szCs w:val="22"/>
          <w:lang w:val="en-ZW"/>
        </w:rPr>
      </w:pPr>
    </w:p>
    <w:p w:rsidR="00DB7A4D" w:rsidRPr="00DB7A4D" w:rsidRDefault="00230D56" w:rsidP="00385770">
      <w:pPr>
        <w:spacing w:line="360" w:lineRule="auto"/>
        <w:ind w:left="720"/>
        <w:jc w:val="both"/>
        <w:rPr>
          <w:i/>
          <w:iCs/>
          <w:sz w:val="22"/>
          <w:szCs w:val="22"/>
          <w:lang w:val="en-ZW"/>
        </w:rPr>
      </w:pPr>
      <w:r w:rsidRPr="00DB7A4D">
        <w:rPr>
          <w:i/>
          <w:iCs/>
          <w:sz w:val="22"/>
          <w:szCs w:val="22"/>
          <w:lang w:val="en-ZW"/>
        </w:rPr>
        <w:lastRenderedPageBreak/>
        <w:t>It does not matter that Isaac Tichareva filed an opposing affidavit. He was not properly cited, and a point of law can be raised at any time. See Muchakata v Netherburn Mine 1996 (1) ZLR 153 (S) @157 A-B.</w:t>
      </w:r>
    </w:p>
    <w:p w:rsidR="00230D56" w:rsidRPr="00DB7A4D" w:rsidRDefault="00230D56" w:rsidP="00385770">
      <w:pPr>
        <w:spacing w:line="360" w:lineRule="auto"/>
        <w:ind w:left="720"/>
        <w:jc w:val="both"/>
        <w:rPr>
          <w:i/>
          <w:iCs/>
          <w:sz w:val="22"/>
          <w:szCs w:val="22"/>
          <w:lang w:val="en-ZW"/>
        </w:rPr>
      </w:pPr>
      <w:r w:rsidRPr="00DB7A4D">
        <w:rPr>
          <w:i/>
          <w:iCs/>
          <w:sz w:val="22"/>
          <w:szCs w:val="22"/>
          <w:lang w:val="en-ZW"/>
        </w:rPr>
        <w:t>There is therefore nothing left for me to do except to strike this matter off the roll with no order as to costs as prayed for at the end.”</w:t>
      </w:r>
    </w:p>
    <w:p w:rsidR="00230D56" w:rsidRDefault="00230D56" w:rsidP="00C449AD">
      <w:pPr>
        <w:spacing w:line="360" w:lineRule="auto"/>
        <w:jc w:val="both"/>
      </w:pPr>
    </w:p>
    <w:p w:rsidR="00521501" w:rsidRDefault="00EB7687" w:rsidP="002D1F88">
      <w:pPr>
        <w:spacing w:line="360" w:lineRule="auto"/>
        <w:ind w:firstLine="720"/>
        <w:jc w:val="both"/>
      </w:pPr>
      <w:r>
        <w:t>The law clearly requires that in a matter involving a deceased’s estate, it is the executor who should be cited by name as representing the particular estate. The citation of the deceased estate as a party being duly represented by a named executor is wrong as it does not make the executor to be a party but a mere representative of a</w:t>
      </w:r>
      <w:r w:rsidR="00B8392B">
        <w:t>n entity</w:t>
      </w:r>
      <w:r>
        <w:t xml:space="preserve"> which is non-existent at law. This is the reason why the action at hand is a nullity. It is a nullity for two reasons. The first reason is that there is no proper plaintiff </w:t>
      </w:r>
      <w:r w:rsidR="00521501">
        <w:t xml:space="preserve">before the court. The second reason which arises from </w:t>
      </w:r>
      <w:r w:rsidR="00521501" w:rsidRPr="00521501">
        <w:rPr>
          <w:i/>
          <w:iCs/>
        </w:rPr>
        <w:t xml:space="preserve">Chiyangwa </w:t>
      </w:r>
      <w:r w:rsidR="00521501" w:rsidRPr="002D1F88">
        <w:t xml:space="preserve">v </w:t>
      </w:r>
      <w:r w:rsidR="00521501" w:rsidRPr="00521501">
        <w:rPr>
          <w:i/>
          <w:iCs/>
        </w:rPr>
        <w:t>Katerere</w:t>
      </w:r>
      <w:r w:rsidR="00521501">
        <w:t xml:space="preserve"> (</w:t>
      </w:r>
      <w:r w:rsidR="00521501" w:rsidRPr="00521501">
        <w:rPr>
          <w:i/>
          <w:iCs/>
        </w:rPr>
        <w:t>supra</w:t>
      </w:r>
      <w:r w:rsidR="00521501">
        <w:t>) and other cases is that the case concerns a deceased’s estate but the Executrix Dative has not been cited by name as a party to represent the deceased’s estate. The result is that the action is an incurable nullity</w:t>
      </w:r>
      <w:r w:rsidR="00B8392B">
        <w:t xml:space="preserve"> as the cited plaintiff is neither a valid legal </w:t>
      </w:r>
      <w:r w:rsidR="00B8392B" w:rsidRPr="00B8392B">
        <w:rPr>
          <w:i/>
          <w:iCs/>
        </w:rPr>
        <w:t>persona</w:t>
      </w:r>
      <w:r w:rsidR="00B8392B">
        <w:t xml:space="preserve"> nor a natural person</w:t>
      </w:r>
      <w:r w:rsidR="00521501">
        <w:t xml:space="preserve">. See </w:t>
      </w:r>
      <w:r w:rsidR="00521501" w:rsidRPr="00521501">
        <w:rPr>
          <w:i/>
          <w:iCs/>
        </w:rPr>
        <w:t xml:space="preserve">Veritas </w:t>
      </w:r>
      <w:r w:rsidR="00521501" w:rsidRPr="002D1F88">
        <w:t>v</w:t>
      </w:r>
      <w:r w:rsidR="00521501" w:rsidRPr="00521501">
        <w:rPr>
          <w:i/>
          <w:iCs/>
        </w:rPr>
        <w:t xml:space="preserve"> ZEC and Others</w:t>
      </w:r>
      <w:r w:rsidR="00521501">
        <w:t xml:space="preserve"> (</w:t>
      </w:r>
      <w:r w:rsidR="00521501" w:rsidRPr="00521501">
        <w:rPr>
          <w:i/>
          <w:iCs/>
        </w:rPr>
        <w:t>supra</w:t>
      </w:r>
      <w:r w:rsidR="00521501">
        <w:t>).</w:t>
      </w:r>
    </w:p>
    <w:p w:rsidR="0036540B" w:rsidRDefault="00521501" w:rsidP="00C05BD0">
      <w:pPr>
        <w:spacing w:line="360" w:lineRule="auto"/>
        <w:ind w:firstLine="360"/>
        <w:jc w:val="both"/>
      </w:pPr>
      <w:r>
        <w:t xml:space="preserve"> </w:t>
      </w:r>
      <w:r w:rsidR="0036540B">
        <w:t xml:space="preserve">This is a typical case where a special plea should have been taken at the onset of the case to avoid loss of expense and energy that has been spent this far. Since the matter involves a deceased’s estate, I am not persuaded to grant any order of costs against the estate as such would prejudice the beneficiaries. </w:t>
      </w:r>
      <w:r>
        <w:t xml:space="preserve">In any event, there is no valid plaintiff before this court. </w:t>
      </w:r>
      <w:r w:rsidR="0036540B">
        <w:t>In the result, I will order as follows:</w:t>
      </w:r>
    </w:p>
    <w:p w:rsidR="0036540B" w:rsidRDefault="0036540B" w:rsidP="0036540B">
      <w:pPr>
        <w:numPr>
          <w:ilvl w:val="0"/>
          <w:numId w:val="9"/>
        </w:numPr>
        <w:spacing w:line="360" w:lineRule="auto"/>
        <w:jc w:val="both"/>
      </w:pPr>
      <w:r>
        <w:t xml:space="preserve">The </w:t>
      </w:r>
      <w:r w:rsidR="00B8392B">
        <w:t>1</w:t>
      </w:r>
      <w:r w:rsidR="00B8392B" w:rsidRPr="00B8392B">
        <w:rPr>
          <w:vertAlign w:val="superscript"/>
        </w:rPr>
        <w:t>st</w:t>
      </w:r>
      <w:r w:rsidR="00B8392B">
        <w:t xml:space="preserve"> </w:t>
      </w:r>
      <w:r>
        <w:t xml:space="preserve">defendant’s preliminary point that the plaintiff has no </w:t>
      </w:r>
      <w:r w:rsidRPr="00521501">
        <w:rPr>
          <w:i/>
          <w:iCs/>
        </w:rPr>
        <w:t>locus standi</w:t>
      </w:r>
      <w:r>
        <w:t xml:space="preserve"> to sue </w:t>
      </w:r>
      <w:r w:rsidR="00B8392B">
        <w:t>is hereby upheld</w:t>
      </w:r>
      <w:r>
        <w:t>.</w:t>
      </w:r>
    </w:p>
    <w:p w:rsidR="00B8392B" w:rsidRDefault="0036540B" w:rsidP="0036540B">
      <w:pPr>
        <w:numPr>
          <w:ilvl w:val="0"/>
          <w:numId w:val="9"/>
        </w:numPr>
        <w:spacing w:line="360" w:lineRule="auto"/>
        <w:jc w:val="both"/>
      </w:pPr>
      <w:r>
        <w:t>The matter be and is hereby struck off the roll.</w:t>
      </w:r>
    </w:p>
    <w:p w:rsidR="00E27C7C" w:rsidRPr="008835A3" w:rsidRDefault="00B8392B" w:rsidP="0036540B">
      <w:pPr>
        <w:numPr>
          <w:ilvl w:val="0"/>
          <w:numId w:val="9"/>
        </w:numPr>
        <w:spacing w:line="360" w:lineRule="auto"/>
        <w:jc w:val="both"/>
      </w:pPr>
      <w:r>
        <w:t>There shall be no order as to costs.</w:t>
      </w:r>
      <w:r w:rsidR="00E27C7C">
        <w:t xml:space="preserve">   </w:t>
      </w:r>
    </w:p>
    <w:p w:rsidR="00B21DC2" w:rsidRDefault="00B21DC2" w:rsidP="009A1F2D">
      <w:pPr>
        <w:spacing w:line="360" w:lineRule="auto"/>
        <w:jc w:val="both"/>
      </w:pPr>
    </w:p>
    <w:p w:rsidR="00B56AC6" w:rsidRPr="008835A3" w:rsidRDefault="00B56AC6" w:rsidP="009A1F2D">
      <w:pPr>
        <w:spacing w:line="360" w:lineRule="auto"/>
        <w:jc w:val="both"/>
        <w:rPr>
          <w:i/>
          <w:iCs/>
        </w:rPr>
      </w:pPr>
    </w:p>
    <w:p w:rsidR="00C05A89" w:rsidRDefault="00C05A89" w:rsidP="009A1F2D">
      <w:pPr>
        <w:spacing w:line="360" w:lineRule="auto"/>
        <w:jc w:val="both"/>
        <w:rPr>
          <w:i/>
          <w:iCs/>
        </w:rPr>
      </w:pPr>
    </w:p>
    <w:p w:rsidR="00C34732" w:rsidRPr="00A731FD" w:rsidRDefault="006C5A54" w:rsidP="00BD1510">
      <w:pPr>
        <w:jc w:val="both"/>
      </w:pPr>
      <w:r>
        <w:rPr>
          <w:i/>
          <w:iCs/>
        </w:rPr>
        <w:t>Mavhiringidze and Mashanyare</w:t>
      </w:r>
      <w:r w:rsidR="00A731FD">
        <w:rPr>
          <w:i/>
          <w:iCs/>
        </w:rPr>
        <w:t xml:space="preserve">, </w:t>
      </w:r>
      <w:r>
        <w:t>plaintiff</w:t>
      </w:r>
      <w:r w:rsidR="00580147">
        <w:t>’s</w:t>
      </w:r>
      <w:r w:rsidR="00A731FD">
        <w:t xml:space="preserve"> legal practitioners</w:t>
      </w:r>
    </w:p>
    <w:p w:rsidR="009A0763" w:rsidRPr="00580147" w:rsidRDefault="006C5A54" w:rsidP="00BD1510">
      <w:pPr>
        <w:jc w:val="both"/>
        <w:rPr>
          <w:iCs/>
        </w:rPr>
      </w:pPr>
      <w:r>
        <w:rPr>
          <w:i/>
          <w:iCs/>
        </w:rPr>
        <w:t>Bere Brothers</w:t>
      </w:r>
      <w:r w:rsidR="009A1F2D" w:rsidRPr="009A1F2D">
        <w:rPr>
          <w:i/>
          <w:iCs/>
        </w:rPr>
        <w:t>,</w:t>
      </w:r>
      <w:r w:rsidR="009A0763">
        <w:t xml:space="preserve"> </w:t>
      </w:r>
      <w:r>
        <w:rPr>
          <w:iCs/>
        </w:rPr>
        <w:t>defendant</w:t>
      </w:r>
      <w:r w:rsidR="009A1F2D" w:rsidRPr="00C34732">
        <w:rPr>
          <w:iCs/>
        </w:rPr>
        <w:t>’s legal practitioners</w:t>
      </w:r>
    </w:p>
    <w:sectPr w:rsidR="009A0763" w:rsidRPr="00580147" w:rsidSect="00744D48">
      <w:headerReference w:type="even" r:id="rId7"/>
      <w:headerReference w:type="default" r:id="rId8"/>
      <w:footerReference w:type="even" r:id="rId9"/>
      <w:footerReference w:type="default" r:id="rId10"/>
      <w:headerReference w:type="first" r:id="rId11"/>
      <w:footerReference w:type="first" r:id="rId12"/>
      <w:pgSz w:w="12240" w:h="15840" w:code="1"/>
      <w:pgMar w:top="1440" w:right="1304" w:bottom="567" w:left="179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A7A" w:rsidRDefault="008B0A7A">
      <w:r>
        <w:separator/>
      </w:r>
    </w:p>
  </w:endnote>
  <w:endnote w:type="continuationSeparator" w:id="0">
    <w:p w:rsidR="008B0A7A" w:rsidRDefault="008B0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012" w:rsidRDefault="00A81012">
    <w:pPr>
      <w:pStyle w:val="Footer"/>
    </w:pP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5DF" w:rsidRDefault="00F405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5DF" w:rsidRDefault="00F405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A7A" w:rsidRDefault="008B0A7A">
      <w:r>
        <w:separator/>
      </w:r>
    </w:p>
  </w:footnote>
  <w:footnote w:type="continuationSeparator" w:id="0">
    <w:p w:rsidR="008B0A7A" w:rsidRDefault="008B0A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012" w:rsidRDefault="00A81012">
    <w:pPr>
      <w:pStyle w:val="Header"/>
      <w:jc w:val="right"/>
      <w:rPr>
        <w:noProof/>
      </w:rPr>
    </w:pPr>
    <w:r>
      <w:fldChar w:fldCharType="begin"/>
    </w:r>
    <w:r>
      <w:instrText xml:space="preserve"> PAGE   \* MERGEFORMAT </w:instrText>
    </w:r>
    <w:r>
      <w:fldChar w:fldCharType="separate"/>
    </w:r>
    <w:r w:rsidR="00F405DF">
      <w:rPr>
        <w:noProof/>
      </w:rPr>
      <w:t>4</w:t>
    </w:r>
    <w:r>
      <w:rPr>
        <w:noProof/>
      </w:rPr>
      <w:fldChar w:fldCharType="end"/>
    </w:r>
  </w:p>
  <w:p w:rsidR="00A81012" w:rsidRDefault="00D915DE">
    <w:pPr>
      <w:pStyle w:val="Header"/>
      <w:jc w:val="right"/>
      <w:rPr>
        <w:noProof/>
      </w:rPr>
    </w:pPr>
    <w:r>
      <w:rPr>
        <w:noProof/>
      </w:rPr>
      <w:t>HCMTJ</w:t>
    </w:r>
    <w:r w:rsidR="00F405DF">
      <w:rPr>
        <w:noProof/>
      </w:rPr>
      <w:t xml:space="preserve"> </w:t>
    </w:r>
    <w:r>
      <w:rPr>
        <w:noProof/>
      </w:rPr>
      <w:t>52/24</w:t>
    </w:r>
  </w:p>
  <w:p w:rsidR="00A81012" w:rsidRDefault="00A81012" w:rsidP="00F405DF">
    <w:pPr>
      <w:pStyle w:val="Header"/>
      <w:jc w:val="right"/>
    </w:pPr>
    <w:r>
      <w:rPr>
        <w:noProof/>
      </w:rPr>
      <w:t xml:space="preserve">HCMTC </w:t>
    </w:r>
    <w:r w:rsidR="006C5A54">
      <w:rPr>
        <w:noProof/>
      </w:rPr>
      <w:t>43</w:t>
    </w:r>
    <w:r>
      <w:rPr>
        <w:noProof/>
      </w:rPr>
      <w:t>/24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5DF" w:rsidRDefault="00A81012" w:rsidP="00F405DF">
    <w:pPr>
      <w:pStyle w:val="Header"/>
      <w:jc w:val="right"/>
      <w:rPr>
        <w:noProof/>
      </w:rPr>
    </w:pPr>
    <w:r>
      <w:fldChar w:fldCharType="begin"/>
    </w:r>
    <w:r>
      <w:instrText xml:space="preserve"> PAGE   \* MERGEFORMAT </w:instrText>
    </w:r>
    <w:r>
      <w:fldChar w:fldCharType="separate"/>
    </w:r>
    <w:r w:rsidR="00F405DF">
      <w:rPr>
        <w:noProof/>
      </w:rPr>
      <w:t>5</w:t>
    </w:r>
    <w:r>
      <w:rPr>
        <w:noProof/>
      </w:rPr>
      <w:fldChar w:fldCharType="end"/>
    </w:r>
  </w:p>
  <w:p w:rsidR="00F405DF" w:rsidRDefault="00D915DE" w:rsidP="00F405DF">
    <w:pPr>
      <w:pStyle w:val="Header"/>
      <w:jc w:val="right"/>
      <w:rPr>
        <w:noProof/>
      </w:rPr>
    </w:pPr>
    <w:r>
      <w:rPr>
        <w:noProof/>
      </w:rPr>
      <w:t>HCMTJ</w:t>
    </w:r>
    <w:r w:rsidR="00F405DF">
      <w:rPr>
        <w:noProof/>
      </w:rPr>
      <w:t xml:space="preserve"> </w:t>
    </w:r>
    <w:r>
      <w:rPr>
        <w:noProof/>
      </w:rPr>
      <w:t>52/24</w:t>
    </w:r>
  </w:p>
  <w:p w:rsidR="00A81012" w:rsidRDefault="00A81012" w:rsidP="00F405DF">
    <w:pPr>
      <w:pStyle w:val="Header"/>
      <w:jc w:val="right"/>
      <w:rPr>
        <w:noProof/>
      </w:rPr>
    </w:pPr>
    <w:r>
      <w:rPr>
        <w:noProof/>
      </w:rPr>
      <w:t xml:space="preserve">HCMTC </w:t>
    </w:r>
    <w:r w:rsidR="006C5A54">
      <w:rPr>
        <w:noProof/>
      </w:rPr>
      <w:t>43</w:t>
    </w:r>
    <w:r>
      <w:rPr>
        <w:noProof/>
      </w:rPr>
      <w:t>/24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012" w:rsidRDefault="00A81012" w:rsidP="00E11990">
    <w:pPr>
      <w:pStyle w:val="Header"/>
      <w:jc w:val="right"/>
      <w:rPr>
        <w:noProof/>
      </w:rPr>
    </w:pPr>
    <w:r>
      <w:fldChar w:fldCharType="begin"/>
    </w:r>
    <w:r>
      <w:instrText xml:space="preserve"> PAGE   \* MERGEFORMAT </w:instrText>
    </w:r>
    <w:r>
      <w:fldChar w:fldCharType="separate"/>
    </w:r>
    <w:r w:rsidR="00F405DF">
      <w:rPr>
        <w:noProof/>
      </w:rPr>
      <w:t>1</w:t>
    </w:r>
    <w:r>
      <w:rPr>
        <w:noProof/>
      </w:rPr>
      <w:fldChar w:fldCharType="end"/>
    </w:r>
  </w:p>
  <w:p w:rsidR="00D915DE" w:rsidRDefault="00D915DE">
    <w:pPr>
      <w:pStyle w:val="Header"/>
      <w:jc w:val="right"/>
      <w:rPr>
        <w:noProof/>
      </w:rPr>
    </w:pPr>
    <w:r>
      <w:rPr>
        <w:noProof/>
      </w:rPr>
      <w:t>HCMTJ</w:t>
    </w:r>
    <w:r w:rsidR="00F405DF">
      <w:rPr>
        <w:noProof/>
      </w:rPr>
      <w:t xml:space="preserve"> </w:t>
    </w:r>
    <w:r>
      <w:rPr>
        <w:noProof/>
      </w:rPr>
      <w:t>52</w:t>
    </w:r>
    <w:r w:rsidR="00F405DF">
      <w:rPr>
        <w:noProof/>
      </w:rPr>
      <w:t>/24</w:t>
    </w:r>
    <w:bookmarkStart w:id="2" w:name="_GoBack"/>
    <w:bookmarkEnd w:id="2"/>
  </w:p>
  <w:p w:rsidR="00A81012" w:rsidRDefault="00A81012" w:rsidP="00F405DF">
    <w:pPr>
      <w:pStyle w:val="Header"/>
      <w:jc w:val="right"/>
    </w:pPr>
    <w:r>
      <w:rPr>
        <w:noProof/>
      </w:rPr>
      <w:t xml:space="preserve">HCMTC </w:t>
    </w:r>
    <w:r w:rsidR="006C5A54">
      <w:rPr>
        <w:noProof/>
      </w:rPr>
      <w:t>43</w:t>
    </w:r>
    <w:r>
      <w:rPr>
        <w:noProof/>
      </w:rPr>
      <w:t>/24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43653"/>
    <w:multiLevelType w:val="hybridMultilevel"/>
    <w:tmpl w:val="A746CE24"/>
    <w:lvl w:ilvl="0" w:tplc="2312B6B4">
      <w:start w:val="1"/>
      <w:numFmt w:val="decimal"/>
      <w:lvlText w:val="%1."/>
      <w:lvlJc w:val="left"/>
      <w:pPr>
        <w:ind w:left="900" w:hanging="360"/>
      </w:pPr>
      <w:rPr>
        <w:rFonts w:hint="default"/>
      </w:rPr>
    </w:lvl>
    <w:lvl w:ilvl="1" w:tplc="30090019" w:tentative="1">
      <w:start w:val="1"/>
      <w:numFmt w:val="lowerLetter"/>
      <w:lvlText w:val="%2."/>
      <w:lvlJc w:val="left"/>
      <w:pPr>
        <w:ind w:left="1620" w:hanging="360"/>
      </w:pPr>
    </w:lvl>
    <w:lvl w:ilvl="2" w:tplc="3009001B" w:tentative="1">
      <w:start w:val="1"/>
      <w:numFmt w:val="lowerRoman"/>
      <w:lvlText w:val="%3."/>
      <w:lvlJc w:val="right"/>
      <w:pPr>
        <w:ind w:left="2340" w:hanging="180"/>
      </w:pPr>
    </w:lvl>
    <w:lvl w:ilvl="3" w:tplc="3009000F" w:tentative="1">
      <w:start w:val="1"/>
      <w:numFmt w:val="decimal"/>
      <w:lvlText w:val="%4."/>
      <w:lvlJc w:val="left"/>
      <w:pPr>
        <w:ind w:left="3060" w:hanging="360"/>
      </w:pPr>
    </w:lvl>
    <w:lvl w:ilvl="4" w:tplc="30090019" w:tentative="1">
      <w:start w:val="1"/>
      <w:numFmt w:val="lowerLetter"/>
      <w:lvlText w:val="%5."/>
      <w:lvlJc w:val="left"/>
      <w:pPr>
        <w:ind w:left="3780" w:hanging="360"/>
      </w:pPr>
    </w:lvl>
    <w:lvl w:ilvl="5" w:tplc="3009001B" w:tentative="1">
      <w:start w:val="1"/>
      <w:numFmt w:val="lowerRoman"/>
      <w:lvlText w:val="%6."/>
      <w:lvlJc w:val="right"/>
      <w:pPr>
        <w:ind w:left="4500" w:hanging="180"/>
      </w:pPr>
    </w:lvl>
    <w:lvl w:ilvl="6" w:tplc="3009000F" w:tentative="1">
      <w:start w:val="1"/>
      <w:numFmt w:val="decimal"/>
      <w:lvlText w:val="%7."/>
      <w:lvlJc w:val="left"/>
      <w:pPr>
        <w:ind w:left="5220" w:hanging="360"/>
      </w:pPr>
    </w:lvl>
    <w:lvl w:ilvl="7" w:tplc="30090019" w:tentative="1">
      <w:start w:val="1"/>
      <w:numFmt w:val="lowerLetter"/>
      <w:lvlText w:val="%8."/>
      <w:lvlJc w:val="left"/>
      <w:pPr>
        <w:ind w:left="5940" w:hanging="360"/>
      </w:pPr>
    </w:lvl>
    <w:lvl w:ilvl="8" w:tplc="3009001B" w:tentative="1">
      <w:start w:val="1"/>
      <w:numFmt w:val="lowerRoman"/>
      <w:lvlText w:val="%9."/>
      <w:lvlJc w:val="right"/>
      <w:pPr>
        <w:ind w:left="6660" w:hanging="180"/>
      </w:pPr>
    </w:lvl>
  </w:abstractNum>
  <w:abstractNum w:abstractNumId="1" w15:restartNumberingAfterBreak="0">
    <w:nsid w:val="0468468F"/>
    <w:multiLevelType w:val="hybridMultilevel"/>
    <w:tmpl w:val="086214C6"/>
    <w:lvl w:ilvl="0" w:tplc="92A2BF0E">
      <w:start w:val="1"/>
      <w:numFmt w:val="decimal"/>
      <w:lvlText w:val="%1."/>
      <w:lvlJc w:val="left"/>
      <w:pPr>
        <w:ind w:left="540" w:hanging="360"/>
      </w:pPr>
      <w:rPr>
        <w:rFonts w:hint="default"/>
      </w:rPr>
    </w:lvl>
    <w:lvl w:ilvl="1" w:tplc="30090019" w:tentative="1">
      <w:start w:val="1"/>
      <w:numFmt w:val="lowerLetter"/>
      <w:lvlText w:val="%2."/>
      <w:lvlJc w:val="left"/>
      <w:pPr>
        <w:ind w:left="1260" w:hanging="360"/>
      </w:pPr>
    </w:lvl>
    <w:lvl w:ilvl="2" w:tplc="3009001B" w:tentative="1">
      <w:start w:val="1"/>
      <w:numFmt w:val="lowerRoman"/>
      <w:lvlText w:val="%3."/>
      <w:lvlJc w:val="right"/>
      <w:pPr>
        <w:ind w:left="1980" w:hanging="180"/>
      </w:pPr>
    </w:lvl>
    <w:lvl w:ilvl="3" w:tplc="3009000F" w:tentative="1">
      <w:start w:val="1"/>
      <w:numFmt w:val="decimal"/>
      <w:lvlText w:val="%4."/>
      <w:lvlJc w:val="left"/>
      <w:pPr>
        <w:ind w:left="2700" w:hanging="360"/>
      </w:pPr>
    </w:lvl>
    <w:lvl w:ilvl="4" w:tplc="30090019" w:tentative="1">
      <w:start w:val="1"/>
      <w:numFmt w:val="lowerLetter"/>
      <w:lvlText w:val="%5."/>
      <w:lvlJc w:val="left"/>
      <w:pPr>
        <w:ind w:left="3420" w:hanging="360"/>
      </w:pPr>
    </w:lvl>
    <w:lvl w:ilvl="5" w:tplc="3009001B" w:tentative="1">
      <w:start w:val="1"/>
      <w:numFmt w:val="lowerRoman"/>
      <w:lvlText w:val="%6."/>
      <w:lvlJc w:val="right"/>
      <w:pPr>
        <w:ind w:left="4140" w:hanging="180"/>
      </w:pPr>
    </w:lvl>
    <w:lvl w:ilvl="6" w:tplc="3009000F" w:tentative="1">
      <w:start w:val="1"/>
      <w:numFmt w:val="decimal"/>
      <w:lvlText w:val="%7."/>
      <w:lvlJc w:val="left"/>
      <w:pPr>
        <w:ind w:left="4860" w:hanging="360"/>
      </w:pPr>
    </w:lvl>
    <w:lvl w:ilvl="7" w:tplc="30090019" w:tentative="1">
      <w:start w:val="1"/>
      <w:numFmt w:val="lowerLetter"/>
      <w:lvlText w:val="%8."/>
      <w:lvlJc w:val="left"/>
      <w:pPr>
        <w:ind w:left="5580" w:hanging="360"/>
      </w:pPr>
    </w:lvl>
    <w:lvl w:ilvl="8" w:tplc="3009001B" w:tentative="1">
      <w:start w:val="1"/>
      <w:numFmt w:val="lowerRoman"/>
      <w:lvlText w:val="%9."/>
      <w:lvlJc w:val="right"/>
      <w:pPr>
        <w:ind w:left="6300" w:hanging="180"/>
      </w:pPr>
    </w:lvl>
  </w:abstractNum>
  <w:abstractNum w:abstractNumId="2" w15:restartNumberingAfterBreak="0">
    <w:nsid w:val="1CC01587"/>
    <w:multiLevelType w:val="hybridMultilevel"/>
    <w:tmpl w:val="232A665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64D1F59"/>
    <w:multiLevelType w:val="hybridMultilevel"/>
    <w:tmpl w:val="16E80710"/>
    <w:lvl w:ilvl="0" w:tplc="53AE9D3C">
      <w:start w:val="1"/>
      <w:numFmt w:val="decimal"/>
      <w:lvlText w:val="%1."/>
      <w:lvlJc w:val="left"/>
      <w:pPr>
        <w:ind w:left="360" w:hanging="360"/>
      </w:pPr>
      <w:rPr>
        <w:rFonts w:hint="default"/>
        <w:i w:val="0"/>
        <w:sz w:val="24"/>
        <w:szCs w:val="24"/>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4821217"/>
    <w:multiLevelType w:val="hybridMultilevel"/>
    <w:tmpl w:val="D78CBDAE"/>
    <w:lvl w:ilvl="0" w:tplc="2E747F94">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DF009E"/>
    <w:multiLevelType w:val="hybridMultilevel"/>
    <w:tmpl w:val="4B766CA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386A6706"/>
    <w:multiLevelType w:val="hybridMultilevel"/>
    <w:tmpl w:val="7590B698"/>
    <w:lvl w:ilvl="0" w:tplc="15944258">
      <w:start w:val="1"/>
      <w:numFmt w:val="decimal"/>
      <w:lvlText w:val="%1."/>
      <w:lvlJc w:val="left"/>
      <w:pPr>
        <w:ind w:left="900" w:hanging="360"/>
      </w:pPr>
      <w:rPr>
        <w:rFonts w:hint="default"/>
      </w:rPr>
    </w:lvl>
    <w:lvl w:ilvl="1" w:tplc="30090019" w:tentative="1">
      <w:start w:val="1"/>
      <w:numFmt w:val="lowerLetter"/>
      <w:lvlText w:val="%2."/>
      <w:lvlJc w:val="left"/>
      <w:pPr>
        <w:ind w:left="1620" w:hanging="360"/>
      </w:pPr>
    </w:lvl>
    <w:lvl w:ilvl="2" w:tplc="3009001B" w:tentative="1">
      <w:start w:val="1"/>
      <w:numFmt w:val="lowerRoman"/>
      <w:lvlText w:val="%3."/>
      <w:lvlJc w:val="right"/>
      <w:pPr>
        <w:ind w:left="2340" w:hanging="180"/>
      </w:pPr>
    </w:lvl>
    <w:lvl w:ilvl="3" w:tplc="3009000F" w:tentative="1">
      <w:start w:val="1"/>
      <w:numFmt w:val="decimal"/>
      <w:lvlText w:val="%4."/>
      <w:lvlJc w:val="left"/>
      <w:pPr>
        <w:ind w:left="3060" w:hanging="360"/>
      </w:pPr>
    </w:lvl>
    <w:lvl w:ilvl="4" w:tplc="30090019" w:tentative="1">
      <w:start w:val="1"/>
      <w:numFmt w:val="lowerLetter"/>
      <w:lvlText w:val="%5."/>
      <w:lvlJc w:val="left"/>
      <w:pPr>
        <w:ind w:left="3780" w:hanging="360"/>
      </w:pPr>
    </w:lvl>
    <w:lvl w:ilvl="5" w:tplc="3009001B" w:tentative="1">
      <w:start w:val="1"/>
      <w:numFmt w:val="lowerRoman"/>
      <w:lvlText w:val="%6."/>
      <w:lvlJc w:val="right"/>
      <w:pPr>
        <w:ind w:left="4500" w:hanging="180"/>
      </w:pPr>
    </w:lvl>
    <w:lvl w:ilvl="6" w:tplc="3009000F" w:tentative="1">
      <w:start w:val="1"/>
      <w:numFmt w:val="decimal"/>
      <w:lvlText w:val="%7."/>
      <w:lvlJc w:val="left"/>
      <w:pPr>
        <w:ind w:left="5220" w:hanging="360"/>
      </w:pPr>
    </w:lvl>
    <w:lvl w:ilvl="7" w:tplc="30090019" w:tentative="1">
      <w:start w:val="1"/>
      <w:numFmt w:val="lowerLetter"/>
      <w:lvlText w:val="%8."/>
      <w:lvlJc w:val="left"/>
      <w:pPr>
        <w:ind w:left="5940" w:hanging="360"/>
      </w:pPr>
    </w:lvl>
    <w:lvl w:ilvl="8" w:tplc="3009001B" w:tentative="1">
      <w:start w:val="1"/>
      <w:numFmt w:val="lowerRoman"/>
      <w:lvlText w:val="%9."/>
      <w:lvlJc w:val="right"/>
      <w:pPr>
        <w:ind w:left="6660" w:hanging="180"/>
      </w:pPr>
    </w:lvl>
  </w:abstractNum>
  <w:abstractNum w:abstractNumId="7" w15:restartNumberingAfterBreak="0">
    <w:nsid w:val="47D91179"/>
    <w:multiLevelType w:val="hybridMultilevel"/>
    <w:tmpl w:val="ED6E30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5523B83"/>
    <w:multiLevelType w:val="hybridMultilevel"/>
    <w:tmpl w:val="7180BB9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7"/>
  </w:num>
  <w:num w:numId="2">
    <w:abstractNumId w:val="1"/>
  </w:num>
  <w:num w:numId="3">
    <w:abstractNumId w:val="6"/>
  </w:num>
  <w:num w:numId="4">
    <w:abstractNumId w:val="0"/>
  </w:num>
  <w:num w:numId="5">
    <w:abstractNumId w:val="3"/>
  </w:num>
  <w:num w:numId="6">
    <w:abstractNumId w:val="2"/>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467"/>
    <w:rsid w:val="00000FB7"/>
    <w:rsid w:val="00001191"/>
    <w:rsid w:val="000013A5"/>
    <w:rsid w:val="00004295"/>
    <w:rsid w:val="00005D17"/>
    <w:rsid w:val="000116D8"/>
    <w:rsid w:val="000241A7"/>
    <w:rsid w:val="00036FDF"/>
    <w:rsid w:val="00037788"/>
    <w:rsid w:val="00037EC0"/>
    <w:rsid w:val="00037EDB"/>
    <w:rsid w:val="0004194A"/>
    <w:rsid w:val="00052678"/>
    <w:rsid w:val="00053C4D"/>
    <w:rsid w:val="00054A74"/>
    <w:rsid w:val="0005636B"/>
    <w:rsid w:val="00060E1F"/>
    <w:rsid w:val="000622CC"/>
    <w:rsid w:val="000625E9"/>
    <w:rsid w:val="00066053"/>
    <w:rsid w:val="00070491"/>
    <w:rsid w:val="00072269"/>
    <w:rsid w:val="00073CFE"/>
    <w:rsid w:val="0007676F"/>
    <w:rsid w:val="0007784F"/>
    <w:rsid w:val="0009367F"/>
    <w:rsid w:val="00094BEE"/>
    <w:rsid w:val="000B17BB"/>
    <w:rsid w:val="000B3640"/>
    <w:rsid w:val="000B5F9A"/>
    <w:rsid w:val="000B6BBE"/>
    <w:rsid w:val="000C04A3"/>
    <w:rsid w:val="000C0564"/>
    <w:rsid w:val="000C7D38"/>
    <w:rsid w:val="000D6D9E"/>
    <w:rsid w:val="000D6F52"/>
    <w:rsid w:val="000E335D"/>
    <w:rsid w:val="000E5D23"/>
    <w:rsid w:val="000E768E"/>
    <w:rsid w:val="000E78B7"/>
    <w:rsid w:val="000F0C50"/>
    <w:rsid w:val="000F20FB"/>
    <w:rsid w:val="000F21E5"/>
    <w:rsid w:val="00104151"/>
    <w:rsid w:val="00115D40"/>
    <w:rsid w:val="001202F4"/>
    <w:rsid w:val="001235F2"/>
    <w:rsid w:val="001249FD"/>
    <w:rsid w:val="00131CA9"/>
    <w:rsid w:val="001447BA"/>
    <w:rsid w:val="00154A40"/>
    <w:rsid w:val="00156FE7"/>
    <w:rsid w:val="00157B08"/>
    <w:rsid w:val="00160DE8"/>
    <w:rsid w:val="00165739"/>
    <w:rsid w:val="001727B1"/>
    <w:rsid w:val="001A17FD"/>
    <w:rsid w:val="001A73CC"/>
    <w:rsid w:val="001B0F7C"/>
    <w:rsid w:val="001B4133"/>
    <w:rsid w:val="001D3B8D"/>
    <w:rsid w:val="001D42F2"/>
    <w:rsid w:val="001D4952"/>
    <w:rsid w:val="001D61F9"/>
    <w:rsid w:val="001E0019"/>
    <w:rsid w:val="001E5043"/>
    <w:rsid w:val="001F1568"/>
    <w:rsid w:val="001F4386"/>
    <w:rsid w:val="00222EC8"/>
    <w:rsid w:val="0022406E"/>
    <w:rsid w:val="00230D56"/>
    <w:rsid w:val="00235D8F"/>
    <w:rsid w:val="0025351B"/>
    <w:rsid w:val="0026050B"/>
    <w:rsid w:val="00260FA2"/>
    <w:rsid w:val="00265E16"/>
    <w:rsid w:val="002766F6"/>
    <w:rsid w:val="00283D40"/>
    <w:rsid w:val="002842B7"/>
    <w:rsid w:val="00286F2D"/>
    <w:rsid w:val="00287FD3"/>
    <w:rsid w:val="00290BCA"/>
    <w:rsid w:val="0029351B"/>
    <w:rsid w:val="002941C2"/>
    <w:rsid w:val="002948FF"/>
    <w:rsid w:val="002A02CF"/>
    <w:rsid w:val="002A44AA"/>
    <w:rsid w:val="002C24A8"/>
    <w:rsid w:val="002D020E"/>
    <w:rsid w:val="002D065B"/>
    <w:rsid w:val="002D12F5"/>
    <w:rsid w:val="002D1F88"/>
    <w:rsid w:val="002D45DC"/>
    <w:rsid w:val="002D4AA8"/>
    <w:rsid w:val="002D5392"/>
    <w:rsid w:val="002E32CB"/>
    <w:rsid w:val="002F3343"/>
    <w:rsid w:val="002F34D1"/>
    <w:rsid w:val="002F4459"/>
    <w:rsid w:val="002F76AD"/>
    <w:rsid w:val="00302DA7"/>
    <w:rsid w:val="00303504"/>
    <w:rsid w:val="0032222D"/>
    <w:rsid w:val="00322FF8"/>
    <w:rsid w:val="00330202"/>
    <w:rsid w:val="00332044"/>
    <w:rsid w:val="0033229A"/>
    <w:rsid w:val="00333986"/>
    <w:rsid w:val="00334D43"/>
    <w:rsid w:val="00335EE5"/>
    <w:rsid w:val="0033734F"/>
    <w:rsid w:val="0034535E"/>
    <w:rsid w:val="00347147"/>
    <w:rsid w:val="003525AA"/>
    <w:rsid w:val="00355A3A"/>
    <w:rsid w:val="00356C96"/>
    <w:rsid w:val="0036540B"/>
    <w:rsid w:val="00365ED5"/>
    <w:rsid w:val="003709E2"/>
    <w:rsid w:val="00373A92"/>
    <w:rsid w:val="00373AEE"/>
    <w:rsid w:val="00385770"/>
    <w:rsid w:val="00390663"/>
    <w:rsid w:val="00392421"/>
    <w:rsid w:val="00395719"/>
    <w:rsid w:val="00396C4E"/>
    <w:rsid w:val="003A064E"/>
    <w:rsid w:val="003C2880"/>
    <w:rsid w:val="003D0F60"/>
    <w:rsid w:val="003D5CAF"/>
    <w:rsid w:val="003D626B"/>
    <w:rsid w:val="003F2499"/>
    <w:rsid w:val="00400A2E"/>
    <w:rsid w:val="00401EF0"/>
    <w:rsid w:val="00405B60"/>
    <w:rsid w:val="00410D0B"/>
    <w:rsid w:val="004157C6"/>
    <w:rsid w:val="0041632F"/>
    <w:rsid w:val="0042250A"/>
    <w:rsid w:val="00422B01"/>
    <w:rsid w:val="00422E8A"/>
    <w:rsid w:val="0043222F"/>
    <w:rsid w:val="00432463"/>
    <w:rsid w:val="00437DBB"/>
    <w:rsid w:val="0044022D"/>
    <w:rsid w:val="00441CE0"/>
    <w:rsid w:val="004470E3"/>
    <w:rsid w:val="004509F8"/>
    <w:rsid w:val="00460691"/>
    <w:rsid w:val="00461822"/>
    <w:rsid w:val="00462AC1"/>
    <w:rsid w:val="00462F25"/>
    <w:rsid w:val="00475DC4"/>
    <w:rsid w:val="00476DFE"/>
    <w:rsid w:val="004A0667"/>
    <w:rsid w:val="004A385F"/>
    <w:rsid w:val="004A4BCC"/>
    <w:rsid w:val="004A7190"/>
    <w:rsid w:val="004B1185"/>
    <w:rsid w:val="004B5F19"/>
    <w:rsid w:val="004B67FB"/>
    <w:rsid w:val="004C038E"/>
    <w:rsid w:val="004C1BB1"/>
    <w:rsid w:val="004C54D3"/>
    <w:rsid w:val="004E7BD0"/>
    <w:rsid w:val="004F1C76"/>
    <w:rsid w:val="004F217A"/>
    <w:rsid w:val="004F5ADB"/>
    <w:rsid w:val="005007C8"/>
    <w:rsid w:val="0050707C"/>
    <w:rsid w:val="00511773"/>
    <w:rsid w:val="005121FA"/>
    <w:rsid w:val="0051389F"/>
    <w:rsid w:val="00521501"/>
    <w:rsid w:val="00523BC6"/>
    <w:rsid w:val="00530E7D"/>
    <w:rsid w:val="00532C46"/>
    <w:rsid w:val="00533E5A"/>
    <w:rsid w:val="005362E7"/>
    <w:rsid w:val="005408F2"/>
    <w:rsid w:val="005408FE"/>
    <w:rsid w:val="00547044"/>
    <w:rsid w:val="0055273B"/>
    <w:rsid w:val="00560C60"/>
    <w:rsid w:val="00564877"/>
    <w:rsid w:val="00573D01"/>
    <w:rsid w:val="00580147"/>
    <w:rsid w:val="005848B4"/>
    <w:rsid w:val="00586874"/>
    <w:rsid w:val="005911EA"/>
    <w:rsid w:val="005A2699"/>
    <w:rsid w:val="005A2A38"/>
    <w:rsid w:val="005A554F"/>
    <w:rsid w:val="005A772D"/>
    <w:rsid w:val="005A776A"/>
    <w:rsid w:val="005B720B"/>
    <w:rsid w:val="005C2DDC"/>
    <w:rsid w:val="005C7CD8"/>
    <w:rsid w:val="005D5213"/>
    <w:rsid w:val="005F5561"/>
    <w:rsid w:val="00600D19"/>
    <w:rsid w:val="00601BE9"/>
    <w:rsid w:val="0060484D"/>
    <w:rsid w:val="00614D0B"/>
    <w:rsid w:val="00637BBB"/>
    <w:rsid w:val="00644AEE"/>
    <w:rsid w:val="00645561"/>
    <w:rsid w:val="00650B5D"/>
    <w:rsid w:val="00650F3D"/>
    <w:rsid w:val="00653563"/>
    <w:rsid w:val="00654813"/>
    <w:rsid w:val="00662D51"/>
    <w:rsid w:val="006667ED"/>
    <w:rsid w:val="0067291E"/>
    <w:rsid w:val="00672EF6"/>
    <w:rsid w:val="00687F17"/>
    <w:rsid w:val="006A34B2"/>
    <w:rsid w:val="006A3642"/>
    <w:rsid w:val="006B4DCF"/>
    <w:rsid w:val="006B51A7"/>
    <w:rsid w:val="006B6752"/>
    <w:rsid w:val="006C41B9"/>
    <w:rsid w:val="006C5A54"/>
    <w:rsid w:val="006C6408"/>
    <w:rsid w:val="006D00BB"/>
    <w:rsid w:val="006D0DD3"/>
    <w:rsid w:val="006E116D"/>
    <w:rsid w:val="006F1C77"/>
    <w:rsid w:val="006F3DC7"/>
    <w:rsid w:val="0070625F"/>
    <w:rsid w:val="0071153B"/>
    <w:rsid w:val="007130BD"/>
    <w:rsid w:val="00715820"/>
    <w:rsid w:val="007216EF"/>
    <w:rsid w:val="00722F8A"/>
    <w:rsid w:val="00724080"/>
    <w:rsid w:val="00726342"/>
    <w:rsid w:val="00727F5E"/>
    <w:rsid w:val="007403C1"/>
    <w:rsid w:val="00744D48"/>
    <w:rsid w:val="007512C5"/>
    <w:rsid w:val="0075351E"/>
    <w:rsid w:val="00765F71"/>
    <w:rsid w:val="007661EE"/>
    <w:rsid w:val="0076797A"/>
    <w:rsid w:val="00780C9F"/>
    <w:rsid w:val="0078163E"/>
    <w:rsid w:val="00783578"/>
    <w:rsid w:val="007846F2"/>
    <w:rsid w:val="00787185"/>
    <w:rsid w:val="00791CCC"/>
    <w:rsid w:val="00795F58"/>
    <w:rsid w:val="007A27B1"/>
    <w:rsid w:val="007A2F20"/>
    <w:rsid w:val="007A35C5"/>
    <w:rsid w:val="007B424C"/>
    <w:rsid w:val="007B4E9E"/>
    <w:rsid w:val="007C1933"/>
    <w:rsid w:val="007C5AE9"/>
    <w:rsid w:val="007C742D"/>
    <w:rsid w:val="007D101B"/>
    <w:rsid w:val="007D55C4"/>
    <w:rsid w:val="007D6145"/>
    <w:rsid w:val="007E1D7E"/>
    <w:rsid w:val="007E25D3"/>
    <w:rsid w:val="007E2F06"/>
    <w:rsid w:val="007E4ED4"/>
    <w:rsid w:val="007E53C6"/>
    <w:rsid w:val="007F3531"/>
    <w:rsid w:val="007F467F"/>
    <w:rsid w:val="007F5696"/>
    <w:rsid w:val="00804332"/>
    <w:rsid w:val="008121F6"/>
    <w:rsid w:val="00812DB7"/>
    <w:rsid w:val="008246F6"/>
    <w:rsid w:val="00825F96"/>
    <w:rsid w:val="00832133"/>
    <w:rsid w:val="008404F9"/>
    <w:rsid w:val="00842590"/>
    <w:rsid w:val="0084552D"/>
    <w:rsid w:val="00845888"/>
    <w:rsid w:val="00853CBD"/>
    <w:rsid w:val="00854885"/>
    <w:rsid w:val="008618F5"/>
    <w:rsid w:val="0086268E"/>
    <w:rsid w:val="008655C3"/>
    <w:rsid w:val="00870504"/>
    <w:rsid w:val="00871BD9"/>
    <w:rsid w:val="008749C9"/>
    <w:rsid w:val="00875560"/>
    <w:rsid w:val="00883086"/>
    <w:rsid w:val="008835A3"/>
    <w:rsid w:val="00886588"/>
    <w:rsid w:val="008874D4"/>
    <w:rsid w:val="008878DA"/>
    <w:rsid w:val="00887E30"/>
    <w:rsid w:val="008915F3"/>
    <w:rsid w:val="008A3751"/>
    <w:rsid w:val="008A7271"/>
    <w:rsid w:val="008B0A7A"/>
    <w:rsid w:val="008B6A71"/>
    <w:rsid w:val="008C32B6"/>
    <w:rsid w:val="008C4787"/>
    <w:rsid w:val="008D0BE3"/>
    <w:rsid w:val="008D2655"/>
    <w:rsid w:val="008D4467"/>
    <w:rsid w:val="008E0B18"/>
    <w:rsid w:val="008E724C"/>
    <w:rsid w:val="008E7273"/>
    <w:rsid w:val="008F2D24"/>
    <w:rsid w:val="008F3583"/>
    <w:rsid w:val="008F783B"/>
    <w:rsid w:val="008F7F5B"/>
    <w:rsid w:val="0090355B"/>
    <w:rsid w:val="00910271"/>
    <w:rsid w:val="0091040C"/>
    <w:rsid w:val="00911566"/>
    <w:rsid w:val="0091183B"/>
    <w:rsid w:val="009133A8"/>
    <w:rsid w:val="00923264"/>
    <w:rsid w:val="009254EB"/>
    <w:rsid w:val="00925E77"/>
    <w:rsid w:val="0092756B"/>
    <w:rsid w:val="009277B8"/>
    <w:rsid w:val="00930D73"/>
    <w:rsid w:val="00933575"/>
    <w:rsid w:val="00936CA5"/>
    <w:rsid w:val="0094100B"/>
    <w:rsid w:val="00941F86"/>
    <w:rsid w:val="00943E4F"/>
    <w:rsid w:val="00950924"/>
    <w:rsid w:val="0095238D"/>
    <w:rsid w:val="00953669"/>
    <w:rsid w:val="00955586"/>
    <w:rsid w:val="00955639"/>
    <w:rsid w:val="009557BA"/>
    <w:rsid w:val="0096117F"/>
    <w:rsid w:val="009624AC"/>
    <w:rsid w:val="00966949"/>
    <w:rsid w:val="00980E7C"/>
    <w:rsid w:val="00982519"/>
    <w:rsid w:val="009833E4"/>
    <w:rsid w:val="00990058"/>
    <w:rsid w:val="00996FFD"/>
    <w:rsid w:val="009A0763"/>
    <w:rsid w:val="009A1F2D"/>
    <w:rsid w:val="009A5C84"/>
    <w:rsid w:val="009A6CB3"/>
    <w:rsid w:val="009A73B7"/>
    <w:rsid w:val="009B6343"/>
    <w:rsid w:val="009C0526"/>
    <w:rsid w:val="009C1806"/>
    <w:rsid w:val="009D0728"/>
    <w:rsid w:val="009D18C0"/>
    <w:rsid w:val="009D25C0"/>
    <w:rsid w:val="009D2BC6"/>
    <w:rsid w:val="009D4F67"/>
    <w:rsid w:val="009D77EA"/>
    <w:rsid w:val="009E2A2B"/>
    <w:rsid w:val="009E44FD"/>
    <w:rsid w:val="009F1B64"/>
    <w:rsid w:val="009F46F1"/>
    <w:rsid w:val="00A022F6"/>
    <w:rsid w:val="00A04695"/>
    <w:rsid w:val="00A05115"/>
    <w:rsid w:val="00A12909"/>
    <w:rsid w:val="00A215D5"/>
    <w:rsid w:val="00A2563D"/>
    <w:rsid w:val="00A2704F"/>
    <w:rsid w:val="00A427A3"/>
    <w:rsid w:val="00A54E1A"/>
    <w:rsid w:val="00A6183C"/>
    <w:rsid w:val="00A661B7"/>
    <w:rsid w:val="00A70850"/>
    <w:rsid w:val="00A720C5"/>
    <w:rsid w:val="00A731FD"/>
    <w:rsid w:val="00A761E3"/>
    <w:rsid w:val="00A81012"/>
    <w:rsid w:val="00A814AF"/>
    <w:rsid w:val="00A815DD"/>
    <w:rsid w:val="00A81BAA"/>
    <w:rsid w:val="00A871F1"/>
    <w:rsid w:val="00A91FA7"/>
    <w:rsid w:val="00A935D6"/>
    <w:rsid w:val="00A945BD"/>
    <w:rsid w:val="00AA2CA0"/>
    <w:rsid w:val="00AA568E"/>
    <w:rsid w:val="00AB25CC"/>
    <w:rsid w:val="00AC1603"/>
    <w:rsid w:val="00AC5F6F"/>
    <w:rsid w:val="00AC6F8D"/>
    <w:rsid w:val="00AC750C"/>
    <w:rsid w:val="00AD2652"/>
    <w:rsid w:val="00AD4A43"/>
    <w:rsid w:val="00AD4E4F"/>
    <w:rsid w:val="00AD688C"/>
    <w:rsid w:val="00AE20D7"/>
    <w:rsid w:val="00AE2D0E"/>
    <w:rsid w:val="00AE2E52"/>
    <w:rsid w:val="00AE5417"/>
    <w:rsid w:val="00AE687E"/>
    <w:rsid w:val="00AF192B"/>
    <w:rsid w:val="00AF3C0D"/>
    <w:rsid w:val="00AF5445"/>
    <w:rsid w:val="00B127CF"/>
    <w:rsid w:val="00B13132"/>
    <w:rsid w:val="00B17042"/>
    <w:rsid w:val="00B17EE4"/>
    <w:rsid w:val="00B20205"/>
    <w:rsid w:val="00B21DC2"/>
    <w:rsid w:val="00B236AD"/>
    <w:rsid w:val="00B23710"/>
    <w:rsid w:val="00B273F9"/>
    <w:rsid w:val="00B31A58"/>
    <w:rsid w:val="00B31EE2"/>
    <w:rsid w:val="00B4183A"/>
    <w:rsid w:val="00B45391"/>
    <w:rsid w:val="00B5064C"/>
    <w:rsid w:val="00B5084C"/>
    <w:rsid w:val="00B529AC"/>
    <w:rsid w:val="00B53FE7"/>
    <w:rsid w:val="00B56AC6"/>
    <w:rsid w:val="00B61D17"/>
    <w:rsid w:val="00B637EB"/>
    <w:rsid w:val="00B64B77"/>
    <w:rsid w:val="00B663D1"/>
    <w:rsid w:val="00B73D44"/>
    <w:rsid w:val="00B74CA2"/>
    <w:rsid w:val="00B7574F"/>
    <w:rsid w:val="00B76214"/>
    <w:rsid w:val="00B8392B"/>
    <w:rsid w:val="00B843D2"/>
    <w:rsid w:val="00B86636"/>
    <w:rsid w:val="00BA1C11"/>
    <w:rsid w:val="00BA2F5C"/>
    <w:rsid w:val="00BA3047"/>
    <w:rsid w:val="00BB089E"/>
    <w:rsid w:val="00BB1CF0"/>
    <w:rsid w:val="00BB5356"/>
    <w:rsid w:val="00BB7A3C"/>
    <w:rsid w:val="00BB7BD5"/>
    <w:rsid w:val="00BC6B32"/>
    <w:rsid w:val="00BD1510"/>
    <w:rsid w:val="00BD25E8"/>
    <w:rsid w:val="00BD7456"/>
    <w:rsid w:val="00BE5154"/>
    <w:rsid w:val="00BF65DE"/>
    <w:rsid w:val="00C05A89"/>
    <w:rsid w:val="00C05BD0"/>
    <w:rsid w:val="00C10E97"/>
    <w:rsid w:val="00C145E5"/>
    <w:rsid w:val="00C21940"/>
    <w:rsid w:val="00C34732"/>
    <w:rsid w:val="00C35430"/>
    <w:rsid w:val="00C400E4"/>
    <w:rsid w:val="00C449AD"/>
    <w:rsid w:val="00C53694"/>
    <w:rsid w:val="00C53AFF"/>
    <w:rsid w:val="00C54D48"/>
    <w:rsid w:val="00C73D0A"/>
    <w:rsid w:val="00C77C50"/>
    <w:rsid w:val="00C84F10"/>
    <w:rsid w:val="00C8513F"/>
    <w:rsid w:val="00C877E7"/>
    <w:rsid w:val="00C97F45"/>
    <w:rsid w:val="00CA138B"/>
    <w:rsid w:val="00CA619D"/>
    <w:rsid w:val="00CB1F43"/>
    <w:rsid w:val="00CB63FA"/>
    <w:rsid w:val="00CC00F0"/>
    <w:rsid w:val="00CC4722"/>
    <w:rsid w:val="00CC4EF7"/>
    <w:rsid w:val="00CC4F6D"/>
    <w:rsid w:val="00CD0F6B"/>
    <w:rsid w:val="00CD1194"/>
    <w:rsid w:val="00CD65A2"/>
    <w:rsid w:val="00CE68B5"/>
    <w:rsid w:val="00CE6C80"/>
    <w:rsid w:val="00CF3441"/>
    <w:rsid w:val="00CF3E0F"/>
    <w:rsid w:val="00CF511A"/>
    <w:rsid w:val="00D01E7E"/>
    <w:rsid w:val="00D03590"/>
    <w:rsid w:val="00D07778"/>
    <w:rsid w:val="00D079FA"/>
    <w:rsid w:val="00D117D1"/>
    <w:rsid w:val="00D14D91"/>
    <w:rsid w:val="00D175D8"/>
    <w:rsid w:val="00D361FE"/>
    <w:rsid w:val="00D449DA"/>
    <w:rsid w:val="00D50411"/>
    <w:rsid w:val="00D5768C"/>
    <w:rsid w:val="00D635CC"/>
    <w:rsid w:val="00D65413"/>
    <w:rsid w:val="00D712A8"/>
    <w:rsid w:val="00D72CF5"/>
    <w:rsid w:val="00D73E2B"/>
    <w:rsid w:val="00D867BF"/>
    <w:rsid w:val="00D915DE"/>
    <w:rsid w:val="00D952A9"/>
    <w:rsid w:val="00D975A2"/>
    <w:rsid w:val="00DA4806"/>
    <w:rsid w:val="00DB22B3"/>
    <w:rsid w:val="00DB4B16"/>
    <w:rsid w:val="00DB7A4D"/>
    <w:rsid w:val="00DC0728"/>
    <w:rsid w:val="00DC3A24"/>
    <w:rsid w:val="00DC5CF5"/>
    <w:rsid w:val="00DC63B0"/>
    <w:rsid w:val="00DD0D8A"/>
    <w:rsid w:val="00DE1646"/>
    <w:rsid w:val="00DE5A0F"/>
    <w:rsid w:val="00DE6135"/>
    <w:rsid w:val="00DF0E9D"/>
    <w:rsid w:val="00DF4BCA"/>
    <w:rsid w:val="00DF6836"/>
    <w:rsid w:val="00E05496"/>
    <w:rsid w:val="00E11990"/>
    <w:rsid w:val="00E205E6"/>
    <w:rsid w:val="00E27C7C"/>
    <w:rsid w:val="00E300EE"/>
    <w:rsid w:val="00E41489"/>
    <w:rsid w:val="00E432B5"/>
    <w:rsid w:val="00E50598"/>
    <w:rsid w:val="00E531CC"/>
    <w:rsid w:val="00E532DE"/>
    <w:rsid w:val="00E5644F"/>
    <w:rsid w:val="00E647FB"/>
    <w:rsid w:val="00E66B07"/>
    <w:rsid w:val="00E677AC"/>
    <w:rsid w:val="00E75B93"/>
    <w:rsid w:val="00E75CB4"/>
    <w:rsid w:val="00E76443"/>
    <w:rsid w:val="00E7782C"/>
    <w:rsid w:val="00E85D24"/>
    <w:rsid w:val="00E86153"/>
    <w:rsid w:val="00E91B88"/>
    <w:rsid w:val="00EA0D82"/>
    <w:rsid w:val="00EA2DB8"/>
    <w:rsid w:val="00EA4CCF"/>
    <w:rsid w:val="00EB7687"/>
    <w:rsid w:val="00EC0B1B"/>
    <w:rsid w:val="00EC685C"/>
    <w:rsid w:val="00ED27C9"/>
    <w:rsid w:val="00ED5F1F"/>
    <w:rsid w:val="00ED7B51"/>
    <w:rsid w:val="00EE4670"/>
    <w:rsid w:val="00EE4CD8"/>
    <w:rsid w:val="00EF2CBF"/>
    <w:rsid w:val="00F02505"/>
    <w:rsid w:val="00F07983"/>
    <w:rsid w:val="00F07AA0"/>
    <w:rsid w:val="00F1287F"/>
    <w:rsid w:val="00F23317"/>
    <w:rsid w:val="00F24083"/>
    <w:rsid w:val="00F277B2"/>
    <w:rsid w:val="00F371BC"/>
    <w:rsid w:val="00F3776F"/>
    <w:rsid w:val="00F405DF"/>
    <w:rsid w:val="00F423C3"/>
    <w:rsid w:val="00F44437"/>
    <w:rsid w:val="00F533B3"/>
    <w:rsid w:val="00F564C3"/>
    <w:rsid w:val="00F675FE"/>
    <w:rsid w:val="00F702EC"/>
    <w:rsid w:val="00F712F2"/>
    <w:rsid w:val="00F76D8B"/>
    <w:rsid w:val="00F8360F"/>
    <w:rsid w:val="00F90C2C"/>
    <w:rsid w:val="00F92D28"/>
    <w:rsid w:val="00F93004"/>
    <w:rsid w:val="00F94BE7"/>
    <w:rsid w:val="00FA462F"/>
    <w:rsid w:val="00FA591D"/>
    <w:rsid w:val="00FA789C"/>
    <w:rsid w:val="00FB1A74"/>
    <w:rsid w:val="00FC1271"/>
    <w:rsid w:val="00FC2875"/>
    <w:rsid w:val="00FC2FDE"/>
    <w:rsid w:val="00FC467E"/>
    <w:rsid w:val="00FD5E23"/>
    <w:rsid w:val="00FD7E79"/>
    <w:rsid w:val="00FE100C"/>
    <w:rsid w:val="00FE2315"/>
    <w:rsid w:val="00FF17B7"/>
    <w:rsid w:val="00FF3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27343D-E9CE-4C67-883E-FD1505F69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F2CBF"/>
    <w:pPr>
      <w:tabs>
        <w:tab w:val="center" w:pos="4320"/>
        <w:tab w:val="right" w:pos="8640"/>
      </w:tabs>
    </w:pPr>
  </w:style>
  <w:style w:type="paragraph" w:styleId="Footer">
    <w:name w:val="footer"/>
    <w:basedOn w:val="Normal"/>
    <w:rsid w:val="00EF2CBF"/>
    <w:pPr>
      <w:tabs>
        <w:tab w:val="center" w:pos="4320"/>
        <w:tab w:val="right" w:pos="8640"/>
      </w:tabs>
    </w:pPr>
  </w:style>
  <w:style w:type="character" w:styleId="PageNumber">
    <w:name w:val="page number"/>
    <w:basedOn w:val="DefaultParagraphFont"/>
    <w:rsid w:val="00EF2CBF"/>
  </w:style>
  <w:style w:type="character" w:customStyle="1" w:styleId="HeaderChar">
    <w:name w:val="Header Char"/>
    <w:link w:val="Header"/>
    <w:uiPriority w:val="99"/>
    <w:rsid w:val="00C34732"/>
    <w:rPr>
      <w:sz w:val="24"/>
      <w:szCs w:val="24"/>
      <w:lang w:val="en-US" w:eastAsia="en-US"/>
    </w:rPr>
  </w:style>
  <w:style w:type="paragraph" w:styleId="BalloonText">
    <w:name w:val="Balloon Text"/>
    <w:basedOn w:val="Normal"/>
    <w:link w:val="BalloonTextChar"/>
    <w:rsid w:val="00C34732"/>
    <w:rPr>
      <w:rFonts w:ascii="Segoe UI" w:hAnsi="Segoe UI" w:cs="Segoe UI"/>
      <w:sz w:val="18"/>
      <w:szCs w:val="18"/>
    </w:rPr>
  </w:style>
  <w:style w:type="character" w:customStyle="1" w:styleId="BalloonTextChar">
    <w:name w:val="Balloon Text Char"/>
    <w:link w:val="BalloonText"/>
    <w:rsid w:val="00C34732"/>
    <w:rPr>
      <w:rFonts w:ascii="Segoe UI" w:hAnsi="Segoe UI" w:cs="Segoe UI"/>
      <w:sz w:val="18"/>
      <w:szCs w:val="18"/>
      <w:lang w:val="en-US" w:eastAsia="en-US"/>
    </w:rPr>
  </w:style>
  <w:style w:type="paragraph" w:styleId="ListParagraph">
    <w:name w:val="List Paragraph"/>
    <w:basedOn w:val="Normal"/>
    <w:uiPriority w:val="34"/>
    <w:qFormat/>
    <w:rsid w:val="00996FFD"/>
    <w:pPr>
      <w:spacing w:after="160" w:line="259" w:lineRule="auto"/>
      <w:ind w:left="720"/>
      <w:contextualSpacing/>
    </w:pPr>
    <w:rPr>
      <w:rFonts w:ascii="Calibri" w:eastAsia="Calibri" w:hAnsi="Calibri"/>
      <w:sz w:val="22"/>
      <w:szCs w:val="22"/>
      <w:lang w:val="en-ZW"/>
    </w:rPr>
  </w:style>
  <w:style w:type="paragraph" w:styleId="NoSpacing">
    <w:name w:val="No Spacing"/>
    <w:uiPriority w:val="1"/>
    <w:qFormat/>
    <w:rsid w:val="000B5F9A"/>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1688</Words>
  <Characters>9623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COTTON COMPANY OF ZIMBABWE LIMITED</vt:lpstr>
    </vt:vector>
  </TitlesOfParts>
  <Company>rbz</Company>
  <LinksUpToDate>false</LinksUpToDate>
  <CharactersWithSpaces>11289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COTTON COMPANY OF ZIMBABWE LIMITED</dc:title>
  <dc:subject/>
  <dc:creator>rbz</dc:creator>
  <cp:keywords/>
  <dc:description/>
  <cp:lastModifiedBy>USR</cp:lastModifiedBy>
  <cp:revision>5</cp:revision>
  <cp:lastPrinted>2024-10-07T12:44:00Z</cp:lastPrinted>
  <dcterms:created xsi:type="dcterms:W3CDTF">2024-11-07T13:45:00Z</dcterms:created>
  <dcterms:modified xsi:type="dcterms:W3CDTF">2024-11-18T13:58:00Z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33c50da6bc2804c068b9b6d34ad5f95949786a3c688ff16c5bb640459d4bca0b</vt:lpwstr>
  </property>
</Properties>
</file>