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81" w:rsidRPr="00395BCD" w:rsidRDefault="00207681" w:rsidP="004D5E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D5E7C" w:rsidRDefault="00397DA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ERISON MADUMIRA </w:t>
      </w:r>
    </w:p>
    <w:p w:rsidR="00397DAC" w:rsidRDefault="00397DA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vs</w:t>
      </w:r>
    </w:p>
    <w:p w:rsidR="00397DAC" w:rsidRDefault="004D5E7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ASSISTANT COMMISSIONER OF POLICE MASVINGO PROVINCE </w:t>
      </w:r>
    </w:p>
    <w:p w:rsidR="004D5E7C" w:rsidRDefault="004D5E7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MR NYAZEMA (THE ACTING PROPOL)</w:t>
      </w:r>
    </w:p>
    <w:p w:rsidR="004D5E7C" w:rsidRDefault="004D5E7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</w:t>
      </w:r>
    </w:p>
    <w:p w:rsidR="004D5E7C" w:rsidRDefault="004D5E7C" w:rsidP="00324F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COMMISSIONER GENERAL OF POLICE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MR MATANGA</w:t>
      </w:r>
    </w:p>
    <w:p w:rsidR="009658B2" w:rsidRDefault="009658B2" w:rsidP="004D5E7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4D5E7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E7C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 COURT OF ZIMBABWE </w:t>
      </w:r>
    </w:p>
    <w:p w:rsidR="004D5E7C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WAMAMBO J</w:t>
      </w:r>
    </w:p>
    <w:p w:rsidR="004D5E7C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MASVINGO 29 SEPTEMBER 2020 and 2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AUGUST 2021</w:t>
      </w: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Pr="009658B2" w:rsidRDefault="00EA0B8F" w:rsidP="009658B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Opposed Matter </w:t>
      </w: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E7C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 Chirairo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applicant </w:t>
      </w:r>
    </w:p>
    <w:p w:rsidR="009658B2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T. Undenge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1</w:t>
      </w:r>
      <w:r w:rsidRPr="00AF4A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respondent</w:t>
      </w: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658B2" w:rsidRDefault="009658B2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E7C" w:rsidRDefault="004D5E7C" w:rsidP="009658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WAMAMBO </w:t>
      </w:r>
      <w:r w:rsidR="002076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 29 September 2020 I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made a default order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after 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giving an </w:t>
      </w:r>
      <w:r w:rsidR="00395BCD" w:rsidRPr="00EA0B8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ex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95BCD" w:rsidRPr="00EA0B8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tempore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judgment. The first respondent has requested for full reasons why the order was granted. The matter came before me on the </w:t>
      </w:r>
      <w:r w:rsidR="007006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opposed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role. The appl</w:t>
      </w:r>
      <w:r w:rsidR="007006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icant is a sergeant in Zimbabwe Republic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police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based at Ngundu police station. He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as follows in h</w:t>
      </w:r>
      <w:r w:rsidR="007006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founding affidavit:</w:t>
      </w:r>
      <w:r w:rsidR="007006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15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April 2020 1</w:t>
      </w:r>
      <w:r w:rsidRPr="00F659E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respondent issued a radio directing the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Dispol Masvingo West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institute disciplinary proceedings against him and another workmate. On the same date another radio was issued by first respondent effectiv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ely transferring applicant to Mashoko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Police Station. On 16 April 2020 applicant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sought for reasons for what he terms a “drastic transfer” from the officer in charg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e, Ngundu Police Station. Annex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ure “C” 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s a letter written to the officer in charge, 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gundu,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requesting reasons for the transfer. In the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letter applicant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ites the 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onstitution of Zimbabwe and section 6 of the 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Administration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Justice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ct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</w:t>
      </w:r>
      <w:r w:rsidR="009658B2"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x-none"/>
        </w:rPr>
        <w:t>hapter 10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:</w:t>
      </w:r>
      <w:r w:rsidR="00395BCD"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x-none"/>
        </w:rPr>
        <w:t>28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and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avers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that his rights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infringed for he was transferred and ordered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e charged before his side of the story was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heard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.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The background as 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ketched by applicant is that the charges against him were formulated against a false allegation made by one o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f his police colleagues. On the date of the hearing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the prosecutor </w:t>
      </w:r>
      <w:r w:rsidR="00395B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declined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to prosecute citing lack of evidence. On 11 May 2020 applicant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s legal practitioners wrote to first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respondent </w:t>
      </w:r>
      <w:r w:rsidR="008E6D05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who immediately instructed the </w:t>
      </w:r>
      <w:r w:rsidR="008E6D05">
        <w:rPr>
          <w:rFonts w:ascii="Times New Roman" w:hAnsi="Times New Roman" w:cs="Times New Roman"/>
          <w:color w:val="000000" w:themeColor="text1"/>
          <w:sz w:val="24"/>
          <w:szCs w:val="24"/>
        </w:rPr>
        <w:t>Dispol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 w:rsidR="007006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Masvingo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to charge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for another offence and to ensure that the tri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E6D05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l would be finalised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20 May 2020 </w:t>
      </w:r>
      <w:r w:rsidR="008E6D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 do not share powers over him with any lawyer”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matter where in prosecution was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declined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re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ived and set down for a hearing on 19 May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Masvingo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Police Station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2076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Applicant’s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legal practitioners wro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 to the prosecution seeking a trial at, Masvingo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Central Police Station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citing </w:t>
      </w:r>
      <w:r w:rsidR="002A60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2076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COVID-19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among other request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Against the above background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specifically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against the order to transfer applicant to Mas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hoko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Police Station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the applicant made the instant application. First respondent filed an opposing affidavit while second respondent filed none.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         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First respondent denies that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transfer of applicant was done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way of fi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ing him. He avers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transfers are administrat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mechanism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provided for by the law which empower the first respondent as the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Officer Commanding Province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transfer officers of the rank of assistant inspector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below with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same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Province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First respondent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avers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the applicant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transfer was not as a result of “false allegations” against applicant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Applicant filed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 answering affidavit where he points out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inter alia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first respondent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skirted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answering various paragraphs of the applicants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founding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affidavit particularly paragraphs 8 to 10. Applicant filed heads of argument on 30 June 2020. A certificate of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service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reflects that 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applicant’s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legal practitioners served the Attorney General’s </w:t>
      </w:r>
      <w:r w:rsid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Office,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Civil </w:t>
      </w:r>
      <w:r w:rsid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ivision, Passport Office, Masvingo on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Mr. Undenge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legal practitioners for first and second respondent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the applicant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heads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argument on the same day at 10:30 am.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Thereafter this matter was set down for hearing on 28 September 2020.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Mr. Chirairo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the applicant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sprung up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raised a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point </w:t>
      </w:r>
      <w:r w:rsidR="009E0819"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 limine</w:t>
      </w:r>
      <w:r w:rsidR="002A60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that 1</w:t>
      </w:r>
      <w:r w:rsidRPr="001D6A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respondent’s heads were filed outside the 10 day period as provided for in </w:t>
      </w:r>
      <w:r w:rsid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Rule 238 (2) (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of the </w:t>
      </w:r>
      <w:r w:rsid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Respondent only filed and served his heads of argument on 24 September 2020.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Mr Chirairo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submitted that 1</w:t>
      </w:r>
      <w:r w:rsidRPr="00CB19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respondent is barred. The fact that respondents may have filed their heads of argument five days before the hearing is neither here nor there according 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 w:rsidRPr="005F0C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Shadreck Vera </w:t>
      </w:r>
      <w:r w:rsidRPr="00EA0B8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v</w:t>
      </w:r>
      <w:r w:rsidRPr="005F0C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Imperial Asset Management Company </w:t>
      </w:r>
      <w:r w:rsidRPr="00EA0B8F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HH 50/06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46B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lastRenderedPageBreak/>
        <w:t>Mr</w:t>
      </w:r>
      <w:proofErr w:type="spellEnd"/>
      <w:r w:rsidRPr="00C46B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6B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Jari</w:t>
      </w:r>
      <w:r w:rsidR="00C46B79" w:rsidRPr="00C46B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ch</w:t>
      </w:r>
      <w:r w:rsidRPr="00C46B7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proofErr w:type="spellEnd"/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who represented first respondent on that day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conceded that 1</w:t>
      </w:r>
      <w:r w:rsidRPr="00D437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respondent is barred. He sought to make an application in terms 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Rule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84 of the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High Court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ules, 1971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0B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cited the difficulties of COVID-19 which caused the legal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practitioners acting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first respondents to be unable to travel from Harare to attend to the matter. He applied t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rule 4C should be applied in this case. He dismissed the applica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tion of 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ules 83 and 84 to the instant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matter. </w:t>
      </w:r>
    </w:p>
    <w:p w:rsidR="004D5E7C" w:rsidRDefault="004D5E7C" w:rsidP="009658B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I considered the above submissions and on 29 September 2020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made an order as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referred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to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earlier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29 September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x-none"/>
        </w:rPr>
        <w:t xml:space="preserve">Mr </w:t>
      </w:r>
      <w:r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Undenge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no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represented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the first respondent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D5E7C" w:rsidRDefault="004D5E7C" w:rsidP="009658B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Rule 238 reads 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part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as follows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4D5E7C" w:rsidRPr="009E0819" w:rsidRDefault="004D5E7C" w:rsidP="009658B2">
      <w:pPr>
        <w:ind w:left="1440" w:hanging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(2a) </w:t>
      </w:r>
      <w:r w:rsidR="00965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Heads of argument referred to in sub rule (2) shall be filed by respondent’s legal practitioner not more than 10 days after heads of argument of the applicant or </w:t>
      </w:r>
      <w:r w:rsidR="009E0819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excipients as the case maybe were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delivered to the respondent in terms of sub rule (I)</w:t>
      </w:r>
    </w:p>
    <w:p w:rsidR="004D5E7C" w:rsidRPr="009E0819" w:rsidRDefault="004D5E7C" w:rsidP="009658B2">
      <w:pPr>
        <w:ind w:left="720"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Provided that </w:t>
      </w:r>
    </w:p>
    <w:p w:rsidR="004D5E7C" w:rsidRPr="009658B2" w:rsidRDefault="004D5E7C" w:rsidP="004D5E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No period during which the court is on vacation sh</w:t>
      </w:r>
      <w:r w:rsidR="004E4DA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all be counted as part of the ten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day</w:t>
      </w:r>
      <w:r w:rsidR="004E4DA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period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</w:p>
    <w:p w:rsidR="009658B2" w:rsidRPr="009E0819" w:rsidRDefault="009658B2" w:rsidP="009658B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4D5E7C" w:rsidRDefault="00C46B79" w:rsidP="004D5E7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</w:t>
      </w:r>
      <w:r w:rsidR="004D5E7C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he</w:t>
      </w:r>
      <w:proofErr w:type="gramEnd"/>
      <w:r w:rsidR="004D5E7C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E35765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respondent’s</w:t>
      </w:r>
      <w:r w:rsidR="004D5E7C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heads of argument shall be filed at least five days before the hearing.</w:t>
      </w:r>
    </w:p>
    <w:p w:rsidR="009658B2" w:rsidRPr="009658B2" w:rsidRDefault="009658B2" w:rsidP="009658B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4D5E7C" w:rsidRPr="009E0819" w:rsidRDefault="004D5E7C" w:rsidP="009658B2">
      <w:pPr>
        <w:ind w:left="1440" w:hanging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(2b) </w:t>
      </w:r>
      <w:r w:rsid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ab/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Where heads of argument that are required to be filed in terms of sub rule (2) are </w:t>
      </w:r>
      <w:r w:rsidR="002A60DA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not filed within the period specified </w:t>
      </w:r>
      <w:r w:rsidR="004E4DAA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n sub rule (2a) the respondent concerned shall be barred and the court or judge may deal with the matter on the </w:t>
      </w:r>
      <w:r w:rsidR="009E0819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merits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or direct that </w:t>
      </w:r>
      <w:r w:rsidR="009E0819"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it be set down </w:t>
      </w:r>
      <w:r w:rsidRP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</w:t>
      </w:r>
      <w:r w:rsidR="009E081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 hearing on the unopposed roll’’</w:t>
      </w:r>
    </w:p>
    <w:p w:rsidR="004D5E7C" w:rsidRDefault="004D5E7C" w:rsidP="009658B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</w:t>
      </w:r>
      <w:r w:rsidRPr="005B3FD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Shadreck Vera v Imperial Asset Management Company </w:t>
      </w:r>
      <w:r w:rsidRPr="00324FF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HC 50/06</w:t>
      </w:r>
      <w:r w:rsidR="009E0819" w:rsidRPr="00324FF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M</w:t>
      </w:r>
      <w:r w:rsidR="009E0819" w:rsidRPr="00324FFC">
        <w:rPr>
          <w:rFonts w:ascii="Times New Roman" w:hAnsi="Times New Roman" w:cs="Times New Roman"/>
          <w:iCs/>
          <w:color w:val="000000" w:themeColor="text1"/>
          <w:szCs w:val="24"/>
          <w:lang w:val="en-US"/>
        </w:rPr>
        <w:t>AKARAU</w:t>
      </w:r>
      <w:r w:rsidRP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</w:t>
      </w:r>
      <w:r w:rsidR="00D26073" w:rsidRP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</w:t>
      </w:r>
      <w:r w:rsidR="00D260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9E0819"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="00D26073"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he</w:t>
      </w:r>
      <w:r w:rsidR="00D260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D26073" w:rsidRPr="009658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then was</w:t>
      </w:r>
      <w:r w:rsidR="00D260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unbundled the import</w:t>
      </w:r>
      <w:r w:rsidR="00D260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implications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Rule 238.</w:t>
      </w:r>
    </w:p>
    <w:p w:rsidR="004D5E7C" w:rsidRDefault="004D5E7C" w:rsidP="009658B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ono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rable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Judg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 found that the respondent’s coun</w:t>
      </w:r>
      <w:r w:rsidR="004E4D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could not and did not make an application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condonation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before the hearing of the matter. </w:t>
      </w:r>
    </w:p>
    <w:p w:rsidR="004D5E7C" w:rsidRDefault="004D5E7C" w:rsidP="009658B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She held that where heads of argument were supposed to be filed within the specific period the respondent shall be barred and the court may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deal with the matter on the merits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E08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or direct that it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 set down on the unopposed roll. </w:t>
      </w:r>
    </w:p>
    <w:p w:rsidR="004D5E7C" w:rsidRDefault="009E0819" w:rsidP="00324FFC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324FFC">
        <w:rPr>
          <w:rFonts w:ascii="Times New Roman" w:hAnsi="Times New Roman" w:cs="Times New Roman"/>
          <w:color w:val="000000" w:themeColor="text1"/>
          <w:szCs w:val="24"/>
          <w:lang w:val="en-US"/>
        </w:rPr>
        <w:t>AKARAU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 (</w:t>
      </w:r>
      <w:r w:rsidR="004D5E7C" w:rsidRPr="00C438E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as </w:t>
      </w:r>
      <w:r w:rsidRPr="00C438E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she then was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went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further and found that the bar against respondent in such circumstances is automatic and this brings forth a 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technical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default 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 although a review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 the merits of either case at this stage 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provided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may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impinge on the discretion of a future court seized with an application to rescind the default judgement. </w:t>
      </w:r>
      <w:r w:rsidR="002076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proofErr w:type="spellStart"/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Hono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rable</w:t>
      </w:r>
      <w:proofErr w:type="spellEnd"/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Judge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went on to use the discretion provided for in Rule 4C of the High Court Rules in the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interests of justice and instead of d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irecting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matter to be set down on the unopposed roll for the granting of a default judgement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saved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incurring of further costs and delays by granting a default judgement in </w:t>
      </w:r>
      <w:proofErr w:type="spellStart"/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favo</w:t>
      </w:r>
      <w:r w:rsidR="00C46B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proofErr w:type="spellEnd"/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applicants.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route taken by M</w:t>
      </w:r>
      <w:r w:rsidRPr="00324FFC">
        <w:rPr>
          <w:rFonts w:ascii="Times New Roman" w:hAnsi="Times New Roman" w:cs="Times New Roman"/>
          <w:color w:val="000000" w:themeColor="text1"/>
          <w:szCs w:val="24"/>
          <w:lang w:val="en-US"/>
        </w:rPr>
        <w:t>AKARAU</w:t>
      </w:r>
      <w:r w:rsidR="004D5E7C" w:rsidRPr="00324FFC">
        <w:rPr>
          <w:rFonts w:ascii="Times New Roman" w:hAnsi="Times New Roman" w:cs="Times New Roman"/>
          <w:color w:val="000000" w:themeColor="text1"/>
          <w:szCs w:val="24"/>
          <w:lang w:val="en-US"/>
        </w:rPr>
        <w:t xml:space="preserve">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 (</w:t>
      </w:r>
      <w:r w:rsidR="004D5E7C"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as </w:t>
      </w:r>
      <w:r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="004D5E7C"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he was then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in the </w:t>
      </w:r>
      <w:r w:rsidR="004D5E7C"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Shadreck V</w:t>
      </w:r>
      <w:r w:rsidRPr="00324F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case (</w:t>
      </w:r>
      <w:r w:rsidR="00324FFC" w:rsidRPr="00C438E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C438E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upra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is the route I specifically spelt out </w:t>
      </w:r>
      <w:r w:rsidR="004D5E7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I had taken. </w:t>
      </w:r>
    </w:p>
    <w:p w:rsidR="004D5E7C" w:rsidRDefault="004D5E7C" w:rsidP="00324FFC">
      <w:pPr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circumstances the default judgment in favo</w:t>
      </w:r>
      <w:r w:rsidR="00C438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 of the appellant reads as follows </w:t>
      </w:r>
    </w:p>
    <w:p w:rsidR="004D5E7C" w:rsidRDefault="004D5E7C" w:rsidP="00324FFC">
      <w:pPr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ordered that</w:t>
      </w:r>
      <w:r w:rsidR="00324F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D5E7C" w:rsidRDefault="004D5E7C" w:rsidP="004D5E7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D76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transfer of appellant to Masvingo police station be and is hereby set aside.</w:t>
      </w:r>
    </w:p>
    <w:p w:rsidR="00324FFC" w:rsidRPr="007D76C8" w:rsidRDefault="00324FFC" w:rsidP="00324FF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E7C" w:rsidRPr="005644AA" w:rsidRDefault="004D5E7C" w:rsidP="004D5E7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That there be no order as to costs </w:t>
      </w: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FFC" w:rsidRDefault="00324FFC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FFC" w:rsidRDefault="00324FFC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819" w:rsidRDefault="009E0819" w:rsidP="00324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FFC">
        <w:rPr>
          <w:rFonts w:ascii="Times New Roman" w:hAnsi="Times New Roman" w:cs="Times New Roman"/>
          <w:i/>
          <w:sz w:val="24"/>
          <w:szCs w:val="24"/>
        </w:rPr>
        <w:t>Chirairo and associates</w:t>
      </w:r>
      <w:r w:rsidR="00324FF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practitioners</w:t>
      </w:r>
    </w:p>
    <w:p w:rsidR="00E35765" w:rsidRDefault="00E35765" w:rsidP="00324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FFC">
        <w:rPr>
          <w:rFonts w:ascii="Times New Roman" w:hAnsi="Times New Roman" w:cs="Times New Roman"/>
          <w:i/>
          <w:sz w:val="24"/>
          <w:szCs w:val="24"/>
        </w:rPr>
        <w:t xml:space="preserve">Civil </w:t>
      </w:r>
      <w:r w:rsidR="00C438E6">
        <w:rPr>
          <w:rFonts w:ascii="Times New Roman" w:hAnsi="Times New Roman" w:cs="Times New Roman"/>
          <w:i/>
          <w:sz w:val="24"/>
          <w:szCs w:val="24"/>
        </w:rPr>
        <w:t>D</w:t>
      </w:r>
      <w:r w:rsidRPr="00324FFC">
        <w:rPr>
          <w:rFonts w:ascii="Times New Roman" w:hAnsi="Times New Roman" w:cs="Times New Roman"/>
          <w:i/>
          <w:sz w:val="24"/>
          <w:szCs w:val="24"/>
        </w:rPr>
        <w:t xml:space="preserve">ivision of the </w:t>
      </w:r>
      <w:r w:rsidR="00C438E6">
        <w:rPr>
          <w:rFonts w:ascii="Times New Roman" w:hAnsi="Times New Roman" w:cs="Times New Roman"/>
          <w:i/>
          <w:sz w:val="24"/>
          <w:szCs w:val="24"/>
        </w:rPr>
        <w:t>A</w:t>
      </w:r>
      <w:r w:rsidRPr="00324FFC">
        <w:rPr>
          <w:rFonts w:ascii="Times New Roman" w:hAnsi="Times New Roman" w:cs="Times New Roman"/>
          <w:i/>
          <w:sz w:val="24"/>
          <w:szCs w:val="24"/>
        </w:rPr>
        <w:t>ttorney General’s Office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E357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FFC">
        <w:rPr>
          <w:rFonts w:ascii="Times New Roman" w:hAnsi="Times New Roman" w:cs="Times New Roman"/>
          <w:sz w:val="24"/>
          <w:szCs w:val="24"/>
        </w:rPr>
        <w:t>respondent’s legal practitioners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819" w:rsidRDefault="009E0819" w:rsidP="00324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80B" w:rsidRPr="00D8680B" w:rsidRDefault="00D8680B" w:rsidP="004D5E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680B" w:rsidRPr="00D868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BB" w:rsidRDefault="006536BB" w:rsidP="00397DAC">
      <w:pPr>
        <w:spacing w:after="0" w:line="240" w:lineRule="auto"/>
      </w:pPr>
      <w:r>
        <w:separator/>
      </w:r>
    </w:p>
  </w:endnote>
  <w:endnote w:type="continuationSeparator" w:id="0">
    <w:p w:rsidR="006536BB" w:rsidRDefault="006536BB" w:rsidP="0039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BB" w:rsidRDefault="006536BB" w:rsidP="00397DAC">
      <w:pPr>
        <w:spacing w:after="0" w:line="240" w:lineRule="auto"/>
      </w:pPr>
      <w:r>
        <w:separator/>
      </w:r>
    </w:p>
  </w:footnote>
  <w:footnote w:type="continuationSeparator" w:id="0">
    <w:p w:rsidR="006536BB" w:rsidRDefault="006536BB" w:rsidP="0039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335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DAC" w:rsidRDefault="00397DA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6FA">
          <w:rPr>
            <w:noProof/>
          </w:rPr>
          <w:t>4</w:t>
        </w:r>
        <w:r>
          <w:rPr>
            <w:noProof/>
          </w:rPr>
          <w:fldChar w:fldCharType="end"/>
        </w:r>
      </w:p>
      <w:p w:rsidR="00E636FA" w:rsidRDefault="00E636FA">
        <w:pPr>
          <w:pStyle w:val="Header"/>
          <w:jc w:val="right"/>
          <w:rPr>
            <w:noProof/>
          </w:rPr>
        </w:pPr>
        <w:r>
          <w:rPr>
            <w:noProof/>
          </w:rPr>
          <w:t>HMA 43-21</w:t>
        </w:r>
      </w:p>
      <w:p w:rsidR="00397DAC" w:rsidRDefault="00397DAC" w:rsidP="00E636FA">
        <w:pPr>
          <w:pStyle w:val="Header"/>
          <w:jc w:val="right"/>
          <w:rPr>
            <w:noProof/>
          </w:rPr>
        </w:pPr>
        <w:r>
          <w:rPr>
            <w:noProof/>
          </w:rPr>
          <w:t>HC 94-20</w:t>
        </w:r>
      </w:p>
    </w:sdtContent>
  </w:sdt>
  <w:p w:rsidR="00397DAC" w:rsidRDefault="00397D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811"/>
    <w:multiLevelType w:val="hybridMultilevel"/>
    <w:tmpl w:val="7FDEFB46"/>
    <w:lvl w:ilvl="0" w:tplc="322E6F7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C5239"/>
    <w:multiLevelType w:val="hybridMultilevel"/>
    <w:tmpl w:val="6B82D9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3F3D"/>
    <w:multiLevelType w:val="hybridMultilevel"/>
    <w:tmpl w:val="CBE6DBB0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92906"/>
    <w:multiLevelType w:val="hybridMultilevel"/>
    <w:tmpl w:val="FC9E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C6F"/>
    <w:multiLevelType w:val="hybridMultilevel"/>
    <w:tmpl w:val="D298A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C0B94"/>
    <w:multiLevelType w:val="hybridMultilevel"/>
    <w:tmpl w:val="5132590C"/>
    <w:lvl w:ilvl="0" w:tplc="E5EAC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040EB"/>
    <w:multiLevelType w:val="hybridMultilevel"/>
    <w:tmpl w:val="613CC4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96F81"/>
    <w:multiLevelType w:val="hybridMultilevel"/>
    <w:tmpl w:val="A8F65646"/>
    <w:lvl w:ilvl="0" w:tplc="E5EAC7B0">
      <w:start w:val="1"/>
      <w:numFmt w:val="lowerRoman"/>
      <w:lvlText w:val="(%1)"/>
      <w:lvlJc w:val="left"/>
      <w:pPr>
        <w:ind w:left="180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E7"/>
    <w:rsid w:val="000A3247"/>
    <w:rsid w:val="000B6FC7"/>
    <w:rsid w:val="000D401B"/>
    <w:rsid w:val="00143C15"/>
    <w:rsid w:val="0014494C"/>
    <w:rsid w:val="00176D33"/>
    <w:rsid w:val="0019394E"/>
    <w:rsid w:val="00207681"/>
    <w:rsid w:val="0028655A"/>
    <w:rsid w:val="002A60DA"/>
    <w:rsid w:val="00320D07"/>
    <w:rsid w:val="00324FFC"/>
    <w:rsid w:val="00395BCD"/>
    <w:rsid w:val="00397DAC"/>
    <w:rsid w:val="003E208C"/>
    <w:rsid w:val="004216C4"/>
    <w:rsid w:val="00426426"/>
    <w:rsid w:val="00460B72"/>
    <w:rsid w:val="0046699E"/>
    <w:rsid w:val="004D13D4"/>
    <w:rsid w:val="004D5E7C"/>
    <w:rsid w:val="004E4DAA"/>
    <w:rsid w:val="005352E7"/>
    <w:rsid w:val="005368DA"/>
    <w:rsid w:val="00560A91"/>
    <w:rsid w:val="005818A8"/>
    <w:rsid w:val="0058201D"/>
    <w:rsid w:val="005A00D3"/>
    <w:rsid w:val="005B32BB"/>
    <w:rsid w:val="006212C6"/>
    <w:rsid w:val="006536BB"/>
    <w:rsid w:val="00680959"/>
    <w:rsid w:val="006E2851"/>
    <w:rsid w:val="006E6584"/>
    <w:rsid w:val="0070060A"/>
    <w:rsid w:val="00714286"/>
    <w:rsid w:val="00732E20"/>
    <w:rsid w:val="007840BC"/>
    <w:rsid w:val="007B354C"/>
    <w:rsid w:val="007C687C"/>
    <w:rsid w:val="00837D9E"/>
    <w:rsid w:val="00844B5D"/>
    <w:rsid w:val="00863DE3"/>
    <w:rsid w:val="008C3653"/>
    <w:rsid w:val="008E6D05"/>
    <w:rsid w:val="00910603"/>
    <w:rsid w:val="009164A0"/>
    <w:rsid w:val="009464CE"/>
    <w:rsid w:val="00961B7A"/>
    <w:rsid w:val="009658B2"/>
    <w:rsid w:val="0099486C"/>
    <w:rsid w:val="009B0D59"/>
    <w:rsid w:val="009B2894"/>
    <w:rsid w:val="009D38C3"/>
    <w:rsid w:val="009E0819"/>
    <w:rsid w:val="009F0EFE"/>
    <w:rsid w:val="00AE25A5"/>
    <w:rsid w:val="00AE407F"/>
    <w:rsid w:val="00B56D4A"/>
    <w:rsid w:val="00BE19BE"/>
    <w:rsid w:val="00C102B7"/>
    <w:rsid w:val="00C27111"/>
    <w:rsid w:val="00C438E6"/>
    <w:rsid w:val="00C46B79"/>
    <w:rsid w:val="00C67107"/>
    <w:rsid w:val="00C979F0"/>
    <w:rsid w:val="00D04A8D"/>
    <w:rsid w:val="00D05759"/>
    <w:rsid w:val="00D26073"/>
    <w:rsid w:val="00D43580"/>
    <w:rsid w:val="00D8680B"/>
    <w:rsid w:val="00DB470D"/>
    <w:rsid w:val="00DE4E09"/>
    <w:rsid w:val="00E12FB1"/>
    <w:rsid w:val="00E16784"/>
    <w:rsid w:val="00E34F77"/>
    <w:rsid w:val="00E35765"/>
    <w:rsid w:val="00E5428B"/>
    <w:rsid w:val="00E55CB8"/>
    <w:rsid w:val="00E636FA"/>
    <w:rsid w:val="00E812BC"/>
    <w:rsid w:val="00EA0B8F"/>
    <w:rsid w:val="00EA128A"/>
    <w:rsid w:val="00EE12F1"/>
    <w:rsid w:val="00F143A7"/>
    <w:rsid w:val="00F34AB4"/>
    <w:rsid w:val="00F44C35"/>
    <w:rsid w:val="00F5649A"/>
    <w:rsid w:val="00F658E9"/>
    <w:rsid w:val="00FA21A3"/>
    <w:rsid w:val="00FB4583"/>
    <w:rsid w:val="00FC1CB6"/>
    <w:rsid w:val="00F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F0707-9B3E-4C3B-B1A6-704D651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AC"/>
  </w:style>
  <w:style w:type="paragraph" w:styleId="Footer">
    <w:name w:val="footer"/>
    <w:basedOn w:val="Normal"/>
    <w:link w:val="FooterChar"/>
    <w:uiPriority w:val="99"/>
    <w:unhideWhenUsed/>
    <w:rsid w:val="0039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AC"/>
  </w:style>
  <w:style w:type="paragraph" w:styleId="BalloonText">
    <w:name w:val="Balloon Text"/>
    <w:basedOn w:val="Normal"/>
    <w:link w:val="BalloonTextChar"/>
    <w:uiPriority w:val="99"/>
    <w:semiHidden/>
    <w:unhideWhenUsed/>
    <w:rsid w:val="00C46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3351-48BB-4325-B7AF-F7795BD8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CHIEF REGISTRAR</cp:lastModifiedBy>
  <cp:revision>7</cp:revision>
  <cp:lastPrinted>2021-08-26T12:23:00Z</cp:lastPrinted>
  <dcterms:created xsi:type="dcterms:W3CDTF">2021-08-24T10:26:00Z</dcterms:created>
  <dcterms:modified xsi:type="dcterms:W3CDTF">2021-08-26T12:46:00Z</dcterms:modified>
</cp:coreProperties>
</file>