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9FC" w:rsidRDefault="00C669FC" w:rsidP="009969B3">
      <w:pPr>
        <w:pStyle w:val="NoSpacing"/>
        <w:jc w:val="both"/>
        <w:rPr>
          <w:rFonts w:ascii="Times New Roman" w:hAnsi="Times New Roman" w:cs="Times New Roman"/>
          <w:b/>
          <w:szCs w:val="24"/>
        </w:rPr>
      </w:pPr>
      <w:r>
        <w:rPr>
          <w:rFonts w:ascii="Times New Roman" w:hAnsi="Times New Roman" w:cs="Times New Roman"/>
          <w:b/>
          <w:szCs w:val="24"/>
        </w:rPr>
        <w:t>ENOCK SIBANDA</w:t>
      </w:r>
    </w:p>
    <w:p w:rsidR="00C669FC" w:rsidRDefault="00C669FC" w:rsidP="009969B3">
      <w:pPr>
        <w:pStyle w:val="NoSpacing"/>
        <w:jc w:val="both"/>
        <w:rPr>
          <w:rFonts w:ascii="Times New Roman" w:hAnsi="Times New Roman" w:cs="Times New Roman"/>
          <w:b/>
          <w:szCs w:val="24"/>
        </w:rPr>
      </w:pPr>
    </w:p>
    <w:p w:rsidR="00C669FC" w:rsidRDefault="00C669FC" w:rsidP="009969B3">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C669FC" w:rsidRDefault="00C669FC" w:rsidP="009969B3">
      <w:pPr>
        <w:pStyle w:val="NoSpacing"/>
        <w:jc w:val="both"/>
        <w:rPr>
          <w:rFonts w:ascii="Times New Roman" w:hAnsi="Times New Roman" w:cs="Times New Roman"/>
          <w:b/>
          <w:szCs w:val="24"/>
        </w:rPr>
      </w:pPr>
    </w:p>
    <w:p w:rsidR="00C669FC" w:rsidRDefault="00C669FC" w:rsidP="009969B3">
      <w:pPr>
        <w:pStyle w:val="NoSpacing"/>
        <w:jc w:val="both"/>
        <w:rPr>
          <w:rFonts w:ascii="Times New Roman" w:hAnsi="Times New Roman" w:cs="Times New Roman"/>
          <w:b/>
          <w:szCs w:val="24"/>
        </w:rPr>
      </w:pPr>
      <w:r>
        <w:rPr>
          <w:rFonts w:ascii="Times New Roman" w:hAnsi="Times New Roman" w:cs="Times New Roman"/>
          <w:b/>
          <w:szCs w:val="24"/>
        </w:rPr>
        <w:t>THE STATE</w:t>
      </w:r>
    </w:p>
    <w:p w:rsidR="00C669FC" w:rsidRDefault="00C669FC" w:rsidP="009969B3">
      <w:pPr>
        <w:pStyle w:val="NoSpacing"/>
        <w:jc w:val="both"/>
        <w:rPr>
          <w:rFonts w:ascii="Times New Roman" w:hAnsi="Times New Roman" w:cs="Times New Roman"/>
          <w:b/>
          <w:szCs w:val="24"/>
        </w:rPr>
      </w:pPr>
    </w:p>
    <w:p w:rsidR="00C669FC" w:rsidRDefault="00C669FC" w:rsidP="009969B3">
      <w:pPr>
        <w:pStyle w:val="NoSpacing"/>
        <w:jc w:val="both"/>
        <w:rPr>
          <w:rFonts w:ascii="Times New Roman" w:hAnsi="Times New Roman" w:cs="Times New Roman"/>
          <w:szCs w:val="24"/>
        </w:rPr>
      </w:pPr>
    </w:p>
    <w:p w:rsidR="00C669FC" w:rsidRDefault="00C669FC" w:rsidP="009969B3">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C669FC" w:rsidRDefault="00C669FC" w:rsidP="009969B3">
      <w:pPr>
        <w:pStyle w:val="NoSpacing"/>
        <w:jc w:val="both"/>
        <w:rPr>
          <w:rFonts w:ascii="Times New Roman" w:hAnsi="Times New Roman" w:cs="Times New Roman"/>
          <w:szCs w:val="24"/>
        </w:rPr>
      </w:pPr>
      <w:r>
        <w:rPr>
          <w:rFonts w:ascii="Times New Roman" w:hAnsi="Times New Roman" w:cs="Times New Roman"/>
          <w:szCs w:val="24"/>
        </w:rPr>
        <w:t>DUBE-BANDA J</w:t>
      </w:r>
    </w:p>
    <w:p w:rsidR="00C669FC" w:rsidRDefault="009948CF" w:rsidP="009969B3">
      <w:pPr>
        <w:pStyle w:val="NoSpacing"/>
        <w:jc w:val="both"/>
        <w:rPr>
          <w:rFonts w:ascii="Times New Roman" w:hAnsi="Times New Roman" w:cs="Times New Roman"/>
          <w:szCs w:val="24"/>
        </w:rPr>
      </w:pPr>
      <w:r>
        <w:rPr>
          <w:rFonts w:ascii="Times New Roman" w:hAnsi="Times New Roman" w:cs="Times New Roman"/>
          <w:szCs w:val="24"/>
        </w:rPr>
        <w:t>BULAWAYO, 12</w:t>
      </w:r>
      <w:r w:rsidR="00C669FC">
        <w:rPr>
          <w:rFonts w:ascii="Times New Roman" w:hAnsi="Times New Roman" w:cs="Times New Roman"/>
          <w:szCs w:val="24"/>
        </w:rPr>
        <w:t xml:space="preserve"> MARCH 2021</w:t>
      </w:r>
    </w:p>
    <w:p w:rsidR="00C669FC" w:rsidRDefault="00C669FC" w:rsidP="009969B3">
      <w:pPr>
        <w:pStyle w:val="NoSpacing"/>
        <w:jc w:val="both"/>
        <w:rPr>
          <w:rFonts w:ascii="Times New Roman" w:hAnsi="Times New Roman" w:cs="Times New Roman"/>
          <w:szCs w:val="24"/>
        </w:rPr>
      </w:pPr>
    </w:p>
    <w:p w:rsidR="00C669FC" w:rsidRDefault="00C669FC" w:rsidP="009969B3">
      <w:pPr>
        <w:pStyle w:val="NoSpacing"/>
        <w:jc w:val="both"/>
        <w:rPr>
          <w:rFonts w:ascii="Times New Roman" w:hAnsi="Times New Roman" w:cs="Times New Roman"/>
          <w:b/>
          <w:szCs w:val="24"/>
        </w:rPr>
      </w:pPr>
      <w:r>
        <w:rPr>
          <w:rFonts w:ascii="Times New Roman" w:hAnsi="Times New Roman" w:cs="Times New Roman"/>
          <w:b/>
          <w:szCs w:val="24"/>
        </w:rPr>
        <w:t xml:space="preserve">Application for extension of time in which to file leave to appeal </w:t>
      </w:r>
    </w:p>
    <w:p w:rsidR="00C669FC" w:rsidRDefault="00C669FC" w:rsidP="009969B3">
      <w:pPr>
        <w:pStyle w:val="NoSpacing"/>
        <w:jc w:val="both"/>
        <w:rPr>
          <w:rFonts w:ascii="Times New Roman" w:hAnsi="Times New Roman" w:cs="Times New Roman"/>
          <w:b/>
          <w:szCs w:val="24"/>
        </w:rPr>
      </w:pPr>
    </w:p>
    <w:p w:rsidR="00C669FC" w:rsidRDefault="00C669FC" w:rsidP="009969B3">
      <w:pPr>
        <w:pStyle w:val="NoSpacing"/>
        <w:jc w:val="both"/>
        <w:rPr>
          <w:rFonts w:ascii="Times New Roman" w:hAnsi="Times New Roman" w:cs="Times New Roman"/>
          <w:b/>
          <w:szCs w:val="24"/>
        </w:rPr>
      </w:pPr>
    </w:p>
    <w:p w:rsidR="00C669FC" w:rsidRDefault="00C669FC" w:rsidP="009969B3">
      <w:pPr>
        <w:pStyle w:val="NoSpacing"/>
        <w:jc w:val="both"/>
        <w:rPr>
          <w:rFonts w:ascii="Times New Roman" w:hAnsi="Times New Roman" w:cs="Times New Roman"/>
          <w:i/>
          <w:szCs w:val="24"/>
        </w:rPr>
      </w:pPr>
      <w:r>
        <w:rPr>
          <w:rFonts w:ascii="Times New Roman" w:hAnsi="Times New Roman" w:cs="Times New Roman"/>
          <w:i/>
          <w:szCs w:val="24"/>
        </w:rPr>
        <w:t xml:space="preserve">M. </w:t>
      </w:r>
      <w:proofErr w:type="spellStart"/>
      <w:r>
        <w:rPr>
          <w:rFonts w:ascii="Times New Roman" w:hAnsi="Times New Roman" w:cs="Times New Roman"/>
          <w:i/>
          <w:szCs w:val="24"/>
        </w:rPr>
        <w:t>Mahaso</w:t>
      </w:r>
      <w:proofErr w:type="spellEnd"/>
      <w:r>
        <w:rPr>
          <w:rFonts w:ascii="Times New Roman" w:hAnsi="Times New Roman" w:cs="Times New Roman"/>
          <w:i/>
          <w:szCs w:val="24"/>
        </w:rPr>
        <w:t xml:space="preserve">, </w:t>
      </w:r>
      <w:r>
        <w:rPr>
          <w:rFonts w:ascii="Times New Roman" w:hAnsi="Times New Roman" w:cs="Times New Roman"/>
          <w:szCs w:val="24"/>
        </w:rPr>
        <w:t>for the applicant</w:t>
      </w:r>
    </w:p>
    <w:p w:rsidR="00C669FC" w:rsidRDefault="00C669FC" w:rsidP="009969B3">
      <w:pPr>
        <w:pStyle w:val="NoSpacing"/>
        <w:jc w:val="both"/>
        <w:rPr>
          <w:rFonts w:ascii="Times New Roman" w:hAnsi="Times New Roman" w:cs="Times New Roman"/>
          <w:szCs w:val="24"/>
        </w:rPr>
      </w:pPr>
      <w:r>
        <w:rPr>
          <w:rFonts w:ascii="Times New Roman" w:hAnsi="Times New Roman" w:cs="Times New Roman"/>
          <w:i/>
          <w:szCs w:val="24"/>
        </w:rPr>
        <w:t xml:space="preserve">K. </w:t>
      </w:r>
      <w:proofErr w:type="spellStart"/>
      <w:r>
        <w:rPr>
          <w:rFonts w:ascii="Times New Roman" w:hAnsi="Times New Roman" w:cs="Times New Roman"/>
          <w:i/>
          <w:szCs w:val="24"/>
        </w:rPr>
        <w:t>Jaravaza</w:t>
      </w:r>
      <w:proofErr w:type="spellEnd"/>
      <w:r>
        <w:rPr>
          <w:rFonts w:ascii="Times New Roman" w:hAnsi="Times New Roman" w:cs="Times New Roman"/>
          <w:i/>
          <w:szCs w:val="24"/>
        </w:rPr>
        <w:t xml:space="preserve">, </w:t>
      </w:r>
      <w:r w:rsidRPr="006F37C9">
        <w:rPr>
          <w:rFonts w:ascii="Times New Roman" w:hAnsi="Times New Roman" w:cs="Times New Roman"/>
          <w:szCs w:val="24"/>
        </w:rPr>
        <w:t>for the respondent</w:t>
      </w:r>
    </w:p>
    <w:p w:rsidR="00C669FC" w:rsidRPr="007701EE" w:rsidRDefault="00C669FC" w:rsidP="009969B3">
      <w:pPr>
        <w:pStyle w:val="NoSpacing"/>
        <w:jc w:val="both"/>
        <w:rPr>
          <w:rFonts w:ascii="Times New Roman" w:hAnsi="Times New Roman" w:cs="Times New Roman"/>
          <w:szCs w:val="24"/>
        </w:rPr>
      </w:pPr>
    </w:p>
    <w:p w:rsidR="007342E1" w:rsidRPr="00E300BA" w:rsidRDefault="0078728F" w:rsidP="009969B3">
      <w:pPr>
        <w:autoSpaceDE w:val="0"/>
        <w:autoSpaceDN w:val="0"/>
        <w:adjustRightInd w:val="0"/>
        <w:spacing w:after="0" w:line="360" w:lineRule="auto"/>
        <w:ind w:firstLine="720"/>
        <w:jc w:val="both"/>
        <w:rPr>
          <w:rFonts w:ascii="Times New Roman" w:hAnsi="Times New Roman" w:cs="Times New Roman"/>
          <w:sz w:val="24"/>
          <w:szCs w:val="24"/>
        </w:rPr>
      </w:pPr>
      <w:r w:rsidRPr="0078728F">
        <w:rPr>
          <w:rFonts w:ascii="Times New Roman" w:hAnsi="Times New Roman" w:cs="Times New Roman"/>
          <w:bCs/>
          <w:sz w:val="24"/>
          <w:szCs w:val="24"/>
        </w:rPr>
        <w:t>DUBE-BANDA J</w:t>
      </w:r>
      <w:r>
        <w:rPr>
          <w:rFonts w:ascii="Times New Roman" w:hAnsi="Times New Roman" w:cs="Times New Roman"/>
          <w:bCs/>
          <w:sz w:val="24"/>
          <w:szCs w:val="24"/>
        </w:rPr>
        <w:t xml:space="preserve">: </w:t>
      </w:r>
      <w:r w:rsidR="002F2456">
        <w:rPr>
          <w:rFonts w:ascii="Times New Roman" w:hAnsi="Times New Roman" w:cs="Times New Roman"/>
          <w:bCs/>
          <w:sz w:val="24"/>
          <w:szCs w:val="24"/>
        </w:rPr>
        <w:tab/>
      </w:r>
      <w:r>
        <w:rPr>
          <w:rFonts w:ascii="Times New Roman" w:hAnsi="Times New Roman" w:cs="Times New Roman"/>
          <w:bCs/>
          <w:sz w:val="24"/>
          <w:szCs w:val="24"/>
        </w:rPr>
        <w:t xml:space="preserve">This </w:t>
      </w:r>
      <w:r w:rsidR="00FA48C8">
        <w:rPr>
          <w:rFonts w:ascii="Times New Roman" w:hAnsi="Times New Roman" w:cs="Times New Roman"/>
          <w:bCs/>
          <w:sz w:val="24"/>
          <w:szCs w:val="24"/>
        </w:rPr>
        <w:t xml:space="preserve">is </w:t>
      </w:r>
      <w:r>
        <w:rPr>
          <w:rFonts w:ascii="Times New Roman" w:hAnsi="Times New Roman" w:cs="Times New Roman"/>
          <w:bCs/>
          <w:sz w:val="24"/>
          <w:szCs w:val="24"/>
        </w:rPr>
        <w:t xml:space="preserve">a court application for extension of time within which to file leave to appeal. </w:t>
      </w:r>
      <w:r w:rsidR="00FA48C8">
        <w:rPr>
          <w:rFonts w:ascii="Times New Roman" w:hAnsi="Times New Roman" w:cs="Times New Roman"/>
          <w:bCs/>
          <w:sz w:val="24"/>
          <w:szCs w:val="24"/>
        </w:rPr>
        <w:t>T</w:t>
      </w:r>
      <w:r w:rsidR="008159ED">
        <w:rPr>
          <w:rFonts w:ascii="Times New Roman" w:hAnsi="Times New Roman" w:cs="Times New Roman"/>
          <w:bCs/>
          <w:sz w:val="24"/>
          <w:szCs w:val="24"/>
        </w:rPr>
        <w:t xml:space="preserve">he application was filed on </w:t>
      </w:r>
      <w:r w:rsidR="00FA48C8">
        <w:rPr>
          <w:rFonts w:ascii="Times New Roman" w:hAnsi="Times New Roman" w:cs="Times New Roman"/>
          <w:bCs/>
          <w:sz w:val="24"/>
          <w:szCs w:val="24"/>
        </w:rPr>
        <w:t>6 October 2020. Res</w:t>
      </w:r>
      <w:r w:rsidR="00AB4117">
        <w:rPr>
          <w:rFonts w:ascii="Times New Roman" w:hAnsi="Times New Roman" w:cs="Times New Roman"/>
          <w:bCs/>
          <w:sz w:val="24"/>
          <w:szCs w:val="24"/>
        </w:rPr>
        <w:t xml:space="preserve">pondent filed a response on </w:t>
      </w:r>
      <w:r w:rsidR="00C61BF7">
        <w:rPr>
          <w:rFonts w:ascii="Times New Roman" w:hAnsi="Times New Roman" w:cs="Times New Roman"/>
          <w:bCs/>
          <w:sz w:val="24"/>
          <w:szCs w:val="24"/>
        </w:rPr>
        <w:t>20 October 2020. Applicant filed heads of argument on</w:t>
      </w:r>
      <w:r w:rsidR="008159ED">
        <w:rPr>
          <w:rFonts w:ascii="Times New Roman" w:hAnsi="Times New Roman" w:cs="Times New Roman"/>
          <w:bCs/>
          <w:sz w:val="24"/>
          <w:szCs w:val="24"/>
        </w:rPr>
        <w:t xml:space="preserve"> 23 </w:t>
      </w:r>
      <w:r w:rsidR="00C61BF7">
        <w:rPr>
          <w:rFonts w:ascii="Times New Roman" w:hAnsi="Times New Roman" w:cs="Times New Roman"/>
          <w:bCs/>
          <w:sz w:val="24"/>
          <w:szCs w:val="24"/>
        </w:rPr>
        <w:t xml:space="preserve">October 2020. </w:t>
      </w:r>
      <w:r w:rsidR="009744B7">
        <w:rPr>
          <w:rFonts w:ascii="Times New Roman" w:hAnsi="Times New Roman" w:cs="Times New Roman"/>
          <w:bCs/>
          <w:sz w:val="24"/>
          <w:szCs w:val="24"/>
        </w:rPr>
        <w:t xml:space="preserve">This </w:t>
      </w:r>
      <w:r w:rsidR="008159ED">
        <w:rPr>
          <w:rFonts w:ascii="Times New Roman" w:hAnsi="Times New Roman" w:cs="Times New Roman"/>
          <w:bCs/>
          <w:sz w:val="24"/>
          <w:szCs w:val="24"/>
        </w:rPr>
        <w:t xml:space="preserve">matter was set-down for </w:t>
      </w:r>
      <w:r w:rsidR="009744B7">
        <w:rPr>
          <w:rFonts w:ascii="Times New Roman" w:hAnsi="Times New Roman" w:cs="Times New Roman"/>
          <w:bCs/>
          <w:sz w:val="24"/>
          <w:szCs w:val="24"/>
        </w:rPr>
        <w:t>12 Novembe</w:t>
      </w:r>
      <w:r w:rsidR="008159ED">
        <w:rPr>
          <w:rFonts w:ascii="Times New Roman" w:hAnsi="Times New Roman" w:cs="Times New Roman"/>
          <w:bCs/>
          <w:sz w:val="24"/>
          <w:szCs w:val="24"/>
        </w:rPr>
        <w:t xml:space="preserve">r 2020. It was postponed to 26 November 2020. On </w:t>
      </w:r>
      <w:r w:rsidR="009744B7">
        <w:rPr>
          <w:rFonts w:ascii="Times New Roman" w:hAnsi="Times New Roman" w:cs="Times New Roman"/>
          <w:bCs/>
          <w:sz w:val="24"/>
          <w:szCs w:val="24"/>
        </w:rPr>
        <w:t>26 November</w:t>
      </w:r>
      <w:r w:rsidR="002F2456">
        <w:rPr>
          <w:rFonts w:ascii="Times New Roman" w:hAnsi="Times New Roman" w:cs="Times New Roman"/>
          <w:bCs/>
          <w:sz w:val="24"/>
          <w:szCs w:val="24"/>
        </w:rPr>
        <w:t>,</w:t>
      </w:r>
      <w:r w:rsidR="009744B7">
        <w:rPr>
          <w:rFonts w:ascii="Times New Roman" w:hAnsi="Times New Roman" w:cs="Times New Roman"/>
          <w:bCs/>
          <w:sz w:val="24"/>
          <w:szCs w:val="24"/>
        </w:rPr>
        <w:t xml:space="preserve"> the </w:t>
      </w:r>
      <w:r w:rsidR="008159ED">
        <w:rPr>
          <w:rFonts w:ascii="Times New Roman" w:hAnsi="Times New Roman" w:cs="Times New Roman"/>
          <w:bCs/>
          <w:sz w:val="24"/>
          <w:szCs w:val="24"/>
        </w:rPr>
        <w:t xml:space="preserve">matter did not take off. On </w:t>
      </w:r>
      <w:r w:rsidR="009744B7">
        <w:rPr>
          <w:rFonts w:ascii="Times New Roman" w:hAnsi="Times New Roman" w:cs="Times New Roman"/>
          <w:bCs/>
          <w:sz w:val="24"/>
          <w:szCs w:val="24"/>
        </w:rPr>
        <w:t xml:space="preserve">17 February 2021, I </w:t>
      </w:r>
      <w:r w:rsidR="002F2456">
        <w:rPr>
          <w:rFonts w:ascii="Times New Roman" w:hAnsi="Times New Roman" w:cs="Times New Roman"/>
          <w:bCs/>
          <w:sz w:val="24"/>
          <w:szCs w:val="24"/>
        </w:rPr>
        <w:t>in</w:t>
      </w:r>
      <w:r w:rsidR="009744B7">
        <w:rPr>
          <w:rFonts w:ascii="Times New Roman" w:hAnsi="Times New Roman" w:cs="Times New Roman"/>
          <w:bCs/>
          <w:sz w:val="24"/>
          <w:szCs w:val="24"/>
        </w:rPr>
        <w:t xml:space="preserve">formed the parties, </w:t>
      </w:r>
      <w:r w:rsidR="009744B7" w:rsidRPr="009744B7">
        <w:rPr>
          <w:rFonts w:ascii="Times New Roman" w:hAnsi="Times New Roman" w:cs="Times New Roman"/>
          <w:bCs/>
          <w:i/>
          <w:sz w:val="24"/>
          <w:szCs w:val="24"/>
        </w:rPr>
        <w:t xml:space="preserve">via </w:t>
      </w:r>
      <w:r w:rsidR="009744B7">
        <w:rPr>
          <w:rFonts w:ascii="Times New Roman" w:hAnsi="Times New Roman" w:cs="Times New Roman"/>
          <w:bCs/>
          <w:sz w:val="24"/>
          <w:szCs w:val="24"/>
        </w:rPr>
        <w:t>the</w:t>
      </w:r>
      <w:r w:rsidR="007224C5">
        <w:rPr>
          <w:rFonts w:ascii="Times New Roman" w:hAnsi="Times New Roman" w:cs="Times New Roman"/>
          <w:bCs/>
          <w:sz w:val="24"/>
          <w:szCs w:val="24"/>
        </w:rPr>
        <w:t xml:space="preserve"> office of the Registrar that I</w:t>
      </w:r>
      <w:r w:rsidR="009744B7">
        <w:rPr>
          <w:rFonts w:ascii="Times New Roman" w:hAnsi="Times New Roman" w:cs="Times New Roman"/>
          <w:bCs/>
          <w:sz w:val="24"/>
          <w:szCs w:val="24"/>
        </w:rPr>
        <w:t xml:space="preserve"> intend</w:t>
      </w:r>
      <w:r w:rsidR="002F2456">
        <w:rPr>
          <w:rFonts w:ascii="Times New Roman" w:hAnsi="Times New Roman" w:cs="Times New Roman"/>
          <w:bCs/>
          <w:sz w:val="24"/>
          <w:szCs w:val="24"/>
        </w:rPr>
        <w:t>ed</w:t>
      </w:r>
      <w:r w:rsidR="009744B7">
        <w:rPr>
          <w:rFonts w:ascii="Times New Roman" w:hAnsi="Times New Roman" w:cs="Times New Roman"/>
          <w:bCs/>
          <w:sz w:val="24"/>
          <w:szCs w:val="24"/>
        </w:rPr>
        <w:t xml:space="preserve"> to dispose of this matter on the</w:t>
      </w:r>
      <w:r w:rsidR="007224C5">
        <w:rPr>
          <w:rFonts w:ascii="Times New Roman" w:hAnsi="Times New Roman" w:cs="Times New Roman"/>
          <w:bCs/>
          <w:sz w:val="24"/>
          <w:szCs w:val="24"/>
        </w:rPr>
        <w:t xml:space="preserve"> papers, without oral submissions. </w:t>
      </w:r>
      <w:r w:rsidR="00E0699D">
        <w:rPr>
          <w:rFonts w:ascii="Times New Roman" w:hAnsi="Times New Roman" w:cs="Times New Roman"/>
          <w:bCs/>
          <w:sz w:val="24"/>
          <w:szCs w:val="24"/>
        </w:rPr>
        <w:t xml:space="preserve">I directed that parties file </w:t>
      </w:r>
      <w:r w:rsidR="00C61BF7">
        <w:rPr>
          <w:rFonts w:ascii="Times New Roman" w:hAnsi="Times New Roman" w:cs="Times New Roman"/>
          <w:bCs/>
          <w:sz w:val="24"/>
          <w:szCs w:val="24"/>
        </w:rPr>
        <w:t xml:space="preserve">further </w:t>
      </w:r>
      <w:r w:rsidR="00E0699D">
        <w:rPr>
          <w:rFonts w:ascii="Times New Roman" w:hAnsi="Times New Roman" w:cs="Times New Roman"/>
          <w:bCs/>
          <w:sz w:val="24"/>
          <w:szCs w:val="24"/>
        </w:rPr>
        <w:t>hea</w:t>
      </w:r>
      <w:r w:rsidR="008159ED">
        <w:rPr>
          <w:rFonts w:ascii="Times New Roman" w:hAnsi="Times New Roman" w:cs="Times New Roman"/>
          <w:bCs/>
          <w:sz w:val="24"/>
          <w:szCs w:val="24"/>
        </w:rPr>
        <w:t xml:space="preserve">ds of argument on or before </w:t>
      </w:r>
      <w:r w:rsidR="00E0699D">
        <w:rPr>
          <w:rFonts w:ascii="Times New Roman" w:hAnsi="Times New Roman" w:cs="Times New Roman"/>
          <w:bCs/>
          <w:sz w:val="24"/>
          <w:szCs w:val="24"/>
        </w:rPr>
        <w:t>23 February 2021. This directive was meant to ensure the parties file further heads</w:t>
      </w:r>
      <w:r w:rsidR="00FA48C8">
        <w:rPr>
          <w:rFonts w:ascii="Times New Roman" w:hAnsi="Times New Roman" w:cs="Times New Roman"/>
          <w:bCs/>
          <w:sz w:val="24"/>
          <w:szCs w:val="24"/>
        </w:rPr>
        <w:t xml:space="preserve"> of argument</w:t>
      </w:r>
      <w:r w:rsidR="00E0699D">
        <w:rPr>
          <w:rFonts w:ascii="Times New Roman" w:hAnsi="Times New Roman" w:cs="Times New Roman"/>
          <w:bCs/>
          <w:sz w:val="24"/>
          <w:szCs w:val="24"/>
        </w:rPr>
        <w:t>, should they wish to do so. N</w:t>
      </w:r>
      <w:r w:rsidR="007224C5">
        <w:rPr>
          <w:rFonts w:ascii="Times New Roman" w:hAnsi="Times New Roman" w:cs="Times New Roman"/>
          <w:bCs/>
          <w:sz w:val="24"/>
          <w:szCs w:val="24"/>
        </w:rPr>
        <w:t xml:space="preserve">one of the parties </w:t>
      </w:r>
      <w:r w:rsidR="002F2456">
        <w:rPr>
          <w:rFonts w:ascii="Times New Roman" w:hAnsi="Times New Roman" w:cs="Times New Roman"/>
          <w:bCs/>
          <w:sz w:val="24"/>
          <w:szCs w:val="24"/>
        </w:rPr>
        <w:t xml:space="preserve">filed </w:t>
      </w:r>
      <w:r w:rsidR="007224C5">
        <w:rPr>
          <w:rFonts w:ascii="Times New Roman" w:hAnsi="Times New Roman" w:cs="Times New Roman"/>
          <w:bCs/>
          <w:sz w:val="24"/>
          <w:szCs w:val="24"/>
        </w:rPr>
        <w:t>such</w:t>
      </w:r>
      <w:r w:rsidR="00E0699D">
        <w:rPr>
          <w:rFonts w:ascii="Times New Roman" w:hAnsi="Times New Roman" w:cs="Times New Roman"/>
          <w:bCs/>
          <w:sz w:val="24"/>
          <w:szCs w:val="24"/>
        </w:rPr>
        <w:t xml:space="preserve"> heads of argument</w:t>
      </w:r>
      <w:r w:rsidR="00E300BA">
        <w:rPr>
          <w:rFonts w:ascii="Times New Roman" w:hAnsi="Times New Roman" w:cs="Times New Roman"/>
          <w:bCs/>
          <w:sz w:val="24"/>
          <w:szCs w:val="24"/>
        </w:rPr>
        <w:t>.</w:t>
      </w:r>
      <w:r w:rsidR="002F2456">
        <w:rPr>
          <w:rFonts w:ascii="Times New Roman" w:hAnsi="Times New Roman" w:cs="Times New Roman"/>
          <w:bCs/>
          <w:sz w:val="24"/>
          <w:szCs w:val="24"/>
        </w:rPr>
        <w:t xml:space="preserve">  </w:t>
      </w:r>
      <w:r w:rsidR="00E300BA" w:rsidRPr="00E300BA">
        <w:rPr>
          <w:rFonts w:ascii="Times New Roman" w:hAnsi="Times New Roman" w:cs="Times New Roman"/>
          <w:sz w:val="24"/>
          <w:szCs w:val="24"/>
        </w:rPr>
        <w:t xml:space="preserve">The application was then considered on the papers and heads of argument filed by the parties without oral argument. </w:t>
      </w:r>
    </w:p>
    <w:p w:rsidR="00E300BA" w:rsidRPr="00E300BA" w:rsidRDefault="00E300BA" w:rsidP="009969B3">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7342E1" w:rsidRDefault="00FC693D" w:rsidP="009969B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brief background to this application is that on 17 July 2020, applicant was convicted for murder as defined in terms of section 47 (1) (b) of the Criminal Law (Codification and Reform Act) Chapter 9:23. He was sentenced to fifteen years imprisonment. </w:t>
      </w:r>
      <w:r w:rsidR="00E502B6">
        <w:rPr>
          <w:rFonts w:ascii="Times New Roman" w:hAnsi="Times New Roman" w:cs="Times New Roman"/>
          <w:sz w:val="24"/>
          <w:szCs w:val="24"/>
        </w:rPr>
        <w:t>Aggrieved by both the co</w:t>
      </w:r>
      <w:r w:rsidR="00E300BA">
        <w:rPr>
          <w:rFonts w:ascii="Times New Roman" w:hAnsi="Times New Roman" w:cs="Times New Roman"/>
          <w:sz w:val="24"/>
          <w:szCs w:val="24"/>
        </w:rPr>
        <w:t>nviction and sentence,</w:t>
      </w:r>
      <w:r w:rsidR="00E502B6">
        <w:rPr>
          <w:rFonts w:ascii="Times New Roman" w:hAnsi="Times New Roman" w:cs="Times New Roman"/>
          <w:sz w:val="24"/>
          <w:szCs w:val="24"/>
        </w:rPr>
        <w:t xml:space="preserve"> on </w:t>
      </w:r>
      <w:r w:rsidR="00BB0630">
        <w:rPr>
          <w:rFonts w:ascii="Times New Roman" w:hAnsi="Times New Roman" w:cs="Times New Roman"/>
          <w:sz w:val="24"/>
          <w:szCs w:val="24"/>
        </w:rPr>
        <w:t xml:space="preserve">22 </w:t>
      </w:r>
      <w:r w:rsidR="00E300BA">
        <w:rPr>
          <w:rFonts w:ascii="Times New Roman" w:hAnsi="Times New Roman" w:cs="Times New Roman"/>
          <w:sz w:val="24"/>
          <w:szCs w:val="24"/>
        </w:rPr>
        <w:t>July 2020,</w:t>
      </w:r>
      <w:r w:rsidR="00E502B6">
        <w:rPr>
          <w:rFonts w:ascii="Times New Roman" w:hAnsi="Times New Roman" w:cs="Times New Roman"/>
          <w:sz w:val="24"/>
          <w:szCs w:val="24"/>
        </w:rPr>
        <w:t xml:space="preserve"> filed a notice of appeal to the Supreme Court. The notice of appeal was followed by a bail application filed at the Supreme Court. On </w:t>
      </w:r>
      <w:r w:rsidR="00BB0630">
        <w:rPr>
          <w:rFonts w:ascii="Times New Roman" w:hAnsi="Times New Roman" w:cs="Times New Roman"/>
          <w:sz w:val="24"/>
          <w:szCs w:val="24"/>
        </w:rPr>
        <w:t xml:space="preserve">23 </w:t>
      </w:r>
      <w:r w:rsidR="00E502B6">
        <w:rPr>
          <w:rFonts w:ascii="Times New Roman" w:hAnsi="Times New Roman" w:cs="Times New Roman"/>
          <w:sz w:val="24"/>
          <w:szCs w:val="24"/>
        </w:rPr>
        <w:t xml:space="preserve">September 2020, the Supreme Court, struck off the </w:t>
      </w:r>
      <w:r w:rsidR="00E300BA">
        <w:rPr>
          <w:rFonts w:ascii="Times New Roman" w:hAnsi="Times New Roman" w:cs="Times New Roman"/>
          <w:sz w:val="24"/>
          <w:szCs w:val="24"/>
        </w:rPr>
        <w:t xml:space="preserve">roll the bail application </w:t>
      </w:r>
      <w:r w:rsidR="00E502B6">
        <w:rPr>
          <w:rFonts w:ascii="Times New Roman" w:hAnsi="Times New Roman" w:cs="Times New Roman"/>
          <w:sz w:val="24"/>
          <w:szCs w:val="24"/>
        </w:rPr>
        <w:t xml:space="preserve">for failure to comply with section 44(2) (b) of the High Court Act and rule 18(1) of the Supreme Court Rules Act, 2018. </w:t>
      </w:r>
      <w:r w:rsidR="00545D9A">
        <w:rPr>
          <w:rFonts w:ascii="Times New Roman" w:hAnsi="Times New Roman" w:cs="Times New Roman"/>
          <w:sz w:val="24"/>
          <w:szCs w:val="24"/>
        </w:rPr>
        <w:t xml:space="preserve">In essence the Supreme Court struck off the matter </w:t>
      </w:r>
      <w:r w:rsidR="00545D9A">
        <w:rPr>
          <w:rFonts w:ascii="Times New Roman" w:hAnsi="Times New Roman" w:cs="Times New Roman"/>
          <w:sz w:val="24"/>
          <w:szCs w:val="24"/>
        </w:rPr>
        <w:lastRenderedPageBreak/>
        <w:t xml:space="preserve">from the roll on the basis that applicant had not sought leave to appeal from this court, hence there was no valid </w:t>
      </w:r>
      <w:r w:rsidR="002F2456">
        <w:rPr>
          <w:rFonts w:ascii="Times New Roman" w:hAnsi="Times New Roman" w:cs="Times New Roman"/>
          <w:sz w:val="24"/>
          <w:szCs w:val="24"/>
        </w:rPr>
        <w:t xml:space="preserve">leave </w:t>
      </w:r>
      <w:r w:rsidR="00545D9A">
        <w:rPr>
          <w:rFonts w:ascii="Times New Roman" w:hAnsi="Times New Roman" w:cs="Times New Roman"/>
          <w:sz w:val="24"/>
          <w:szCs w:val="24"/>
        </w:rPr>
        <w:t xml:space="preserve">of appeal. </w:t>
      </w:r>
      <w:r w:rsidR="00233309">
        <w:rPr>
          <w:rFonts w:ascii="Times New Roman" w:hAnsi="Times New Roman" w:cs="Times New Roman"/>
          <w:sz w:val="24"/>
          <w:szCs w:val="24"/>
        </w:rPr>
        <w:t xml:space="preserve">The notice of appeal has since been withdrawn. </w:t>
      </w:r>
    </w:p>
    <w:p w:rsidR="00545D9A" w:rsidRDefault="00545D9A" w:rsidP="009969B3">
      <w:pPr>
        <w:autoSpaceDE w:val="0"/>
        <w:autoSpaceDN w:val="0"/>
        <w:adjustRightInd w:val="0"/>
        <w:spacing w:after="0" w:line="360" w:lineRule="auto"/>
        <w:ind w:firstLine="720"/>
        <w:jc w:val="both"/>
        <w:rPr>
          <w:rFonts w:ascii="Times New Roman" w:hAnsi="Times New Roman" w:cs="Times New Roman"/>
          <w:sz w:val="24"/>
          <w:szCs w:val="24"/>
        </w:rPr>
      </w:pPr>
    </w:p>
    <w:p w:rsidR="003859ED" w:rsidRPr="003859ED" w:rsidRDefault="00545D9A" w:rsidP="009969B3">
      <w:pPr>
        <w:autoSpaceDE w:val="0"/>
        <w:autoSpaceDN w:val="0"/>
        <w:adjustRightInd w:val="0"/>
        <w:spacing w:after="0" w:line="360" w:lineRule="auto"/>
        <w:ind w:firstLine="720"/>
        <w:jc w:val="both"/>
        <w:rPr>
          <w:rFonts w:ascii="Times New Roman" w:hAnsi="Times New Roman" w:cs="Times New Roman"/>
          <w:sz w:val="21"/>
          <w:szCs w:val="21"/>
        </w:rPr>
      </w:pPr>
      <w:r>
        <w:rPr>
          <w:rFonts w:ascii="Times New Roman" w:hAnsi="Times New Roman" w:cs="Times New Roman"/>
          <w:sz w:val="24"/>
          <w:szCs w:val="24"/>
        </w:rPr>
        <w:t xml:space="preserve">Applicant then turned to this court, to seek an </w:t>
      </w:r>
      <w:r>
        <w:rPr>
          <w:rFonts w:ascii="Times New Roman" w:hAnsi="Times New Roman" w:cs="Times New Roman"/>
          <w:bCs/>
          <w:sz w:val="24"/>
          <w:szCs w:val="24"/>
        </w:rPr>
        <w:t xml:space="preserve">extension of time within which to file an application for leave to appeal. </w:t>
      </w:r>
      <w:r w:rsidR="00E300BA">
        <w:rPr>
          <w:rFonts w:ascii="Times New Roman" w:hAnsi="Times New Roman" w:cs="Times New Roman"/>
          <w:bCs/>
          <w:sz w:val="24"/>
          <w:szCs w:val="24"/>
        </w:rPr>
        <w:t xml:space="preserve">In essence, this is an application for </w:t>
      </w:r>
      <w:proofErr w:type="spellStart"/>
      <w:r w:rsidR="00E300BA">
        <w:rPr>
          <w:rFonts w:ascii="Times New Roman" w:hAnsi="Times New Roman" w:cs="Times New Roman"/>
          <w:bCs/>
          <w:sz w:val="24"/>
          <w:szCs w:val="24"/>
        </w:rPr>
        <w:t>condonation</w:t>
      </w:r>
      <w:proofErr w:type="spellEnd"/>
      <w:r w:rsidR="00E300BA">
        <w:rPr>
          <w:rFonts w:ascii="Times New Roman" w:hAnsi="Times New Roman" w:cs="Times New Roman"/>
          <w:bCs/>
          <w:sz w:val="24"/>
          <w:szCs w:val="24"/>
        </w:rPr>
        <w:t xml:space="preserve">. </w:t>
      </w:r>
      <w:r w:rsidR="00177A3F">
        <w:rPr>
          <w:rFonts w:ascii="Times New Roman" w:hAnsi="Times New Roman" w:cs="Times New Roman"/>
          <w:bCs/>
          <w:sz w:val="24"/>
          <w:szCs w:val="24"/>
        </w:rPr>
        <w:t xml:space="preserve">The procedure and time lines for applying for leave to appeal are contained in section 41A of the High Court Act, as read with </w:t>
      </w:r>
      <w:r w:rsidR="0097603D">
        <w:rPr>
          <w:rFonts w:ascii="Times New Roman" w:hAnsi="Times New Roman" w:cs="Times New Roman"/>
          <w:bCs/>
          <w:sz w:val="24"/>
          <w:szCs w:val="24"/>
        </w:rPr>
        <w:t xml:space="preserve">Order 34 of the High Court Rules, 1971. </w:t>
      </w:r>
      <w:r w:rsidR="00637386" w:rsidRPr="00637386">
        <w:rPr>
          <w:rFonts w:ascii="Times New Roman" w:hAnsi="Times New Roman" w:cs="Times New Roman"/>
          <w:sz w:val="24"/>
          <w:szCs w:val="24"/>
          <w:lang w:val="en-GB"/>
        </w:rPr>
        <w:t xml:space="preserve"> A person who has been convicted by the High Court may apply for leave to appeal against such conviction and/or sentence, and must satisfy the court, on a balance of probabilities, that there are reasonable prospects of success on appeal.  Such application may be made orally at the end of the trial to the presiding Judge. Alternatively, the accused person may submit a written application for leave to appeal within a prescribed period. The procedure allows for </w:t>
      </w:r>
      <w:proofErr w:type="spellStart"/>
      <w:r w:rsidR="00637386" w:rsidRPr="00637386">
        <w:rPr>
          <w:rFonts w:ascii="Times New Roman" w:hAnsi="Times New Roman" w:cs="Times New Roman"/>
          <w:sz w:val="24"/>
          <w:szCs w:val="24"/>
          <w:lang w:val="en-GB"/>
        </w:rPr>
        <w:t>condonation</w:t>
      </w:r>
      <w:proofErr w:type="spellEnd"/>
      <w:r w:rsidR="00637386" w:rsidRPr="00637386">
        <w:rPr>
          <w:rFonts w:ascii="Times New Roman" w:hAnsi="Times New Roman" w:cs="Times New Roman"/>
          <w:sz w:val="24"/>
          <w:szCs w:val="24"/>
          <w:lang w:val="en-GB"/>
        </w:rPr>
        <w:t xml:space="preserve"> of late application</w:t>
      </w:r>
      <w:r w:rsidR="003859ED">
        <w:rPr>
          <w:rFonts w:ascii="Times New Roman" w:hAnsi="Times New Roman" w:cs="Times New Roman"/>
          <w:sz w:val="24"/>
          <w:szCs w:val="24"/>
          <w:lang w:val="en-GB"/>
        </w:rPr>
        <w:t>s in appropriate circumstances.</w:t>
      </w:r>
    </w:p>
    <w:p w:rsidR="00637386" w:rsidRDefault="00637386" w:rsidP="009969B3">
      <w:pPr>
        <w:autoSpaceDE w:val="0"/>
        <w:autoSpaceDN w:val="0"/>
        <w:adjustRightInd w:val="0"/>
        <w:spacing w:after="0" w:line="360" w:lineRule="auto"/>
        <w:jc w:val="both"/>
        <w:rPr>
          <w:rFonts w:ascii="Times New Roman" w:hAnsi="Times New Roman" w:cs="Times New Roman"/>
          <w:bCs/>
          <w:sz w:val="24"/>
          <w:szCs w:val="24"/>
        </w:rPr>
      </w:pPr>
    </w:p>
    <w:p w:rsidR="00A72548" w:rsidRDefault="0097603D" w:rsidP="009969B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97603D">
        <w:rPr>
          <w:rFonts w:ascii="Times New Roman" w:hAnsi="Times New Roman" w:cs="Times New Roman"/>
          <w:i/>
          <w:sz w:val="24"/>
          <w:szCs w:val="24"/>
        </w:rPr>
        <w:t>casu</w:t>
      </w:r>
      <w:proofErr w:type="spellEnd"/>
      <w:r>
        <w:rPr>
          <w:rFonts w:ascii="Times New Roman" w:hAnsi="Times New Roman" w:cs="Times New Roman"/>
          <w:sz w:val="24"/>
          <w:szCs w:val="24"/>
        </w:rPr>
        <w:t>,</w:t>
      </w:r>
      <w:r w:rsidR="00957136">
        <w:rPr>
          <w:rFonts w:ascii="Times New Roman" w:hAnsi="Times New Roman" w:cs="Times New Roman"/>
          <w:sz w:val="24"/>
          <w:szCs w:val="24"/>
        </w:rPr>
        <w:t xml:space="preserve"> no oral application was made for leave to appeal as required in terms of rule 262. No written application was made for leave to appea</w:t>
      </w:r>
      <w:r>
        <w:rPr>
          <w:rFonts w:ascii="Times New Roman" w:hAnsi="Times New Roman" w:cs="Times New Roman"/>
          <w:sz w:val="24"/>
          <w:szCs w:val="24"/>
        </w:rPr>
        <w:t>l within twelve</w:t>
      </w:r>
      <w:r w:rsidR="00957136">
        <w:rPr>
          <w:rFonts w:ascii="Times New Roman" w:hAnsi="Times New Roman" w:cs="Times New Roman"/>
          <w:sz w:val="24"/>
          <w:szCs w:val="24"/>
        </w:rPr>
        <w:t xml:space="preserve"> days of the passing of senten</w:t>
      </w:r>
      <w:r>
        <w:rPr>
          <w:rFonts w:ascii="Times New Roman" w:hAnsi="Times New Roman" w:cs="Times New Roman"/>
          <w:sz w:val="24"/>
          <w:szCs w:val="24"/>
        </w:rPr>
        <w:t>ce as required by rule 263. No application was made wi</w:t>
      </w:r>
      <w:r w:rsidR="000E5898">
        <w:rPr>
          <w:rFonts w:ascii="Times New Roman" w:hAnsi="Times New Roman" w:cs="Times New Roman"/>
          <w:sz w:val="24"/>
          <w:szCs w:val="24"/>
        </w:rPr>
        <w:t>thin twenty-four days after</w:t>
      </w:r>
      <w:r w:rsidR="00957136">
        <w:rPr>
          <w:rFonts w:ascii="Times New Roman" w:hAnsi="Times New Roman" w:cs="Times New Roman"/>
          <w:sz w:val="24"/>
          <w:szCs w:val="24"/>
        </w:rPr>
        <w:t xml:space="preserve"> the passing of sentence</w:t>
      </w:r>
      <w:r w:rsidR="000E5898">
        <w:rPr>
          <w:rFonts w:ascii="Times New Roman" w:hAnsi="Times New Roman" w:cs="Times New Roman"/>
          <w:sz w:val="24"/>
          <w:szCs w:val="24"/>
        </w:rPr>
        <w:t xml:space="preserve"> by this court. Applicant may</w:t>
      </w:r>
      <w:r w:rsidR="00926C1C">
        <w:rPr>
          <w:rFonts w:ascii="Times New Roman" w:hAnsi="Times New Roman" w:cs="Times New Roman"/>
          <w:sz w:val="24"/>
          <w:szCs w:val="24"/>
        </w:rPr>
        <w:t xml:space="preserve"> still</w:t>
      </w:r>
      <w:r w:rsidR="000E5898">
        <w:rPr>
          <w:rFonts w:ascii="Times New Roman" w:hAnsi="Times New Roman" w:cs="Times New Roman"/>
          <w:sz w:val="24"/>
          <w:szCs w:val="24"/>
        </w:rPr>
        <w:t xml:space="preserve">, in terms of section  41A(3) </w:t>
      </w:r>
      <w:r w:rsidR="000E5898" w:rsidRPr="0097603D">
        <w:rPr>
          <w:rFonts w:ascii="Times New Roman" w:hAnsi="Times New Roman" w:cs="Times New Roman"/>
          <w:sz w:val="24"/>
          <w:szCs w:val="24"/>
        </w:rPr>
        <w:t>of the High Court Act,</w:t>
      </w:r>
      <w:r w:rsidR="00233309">
        <w:rPr>
          <w:rFonts w:ascii="Times New Roman" w:hAnsi="Times New Roman" w:cs="Times New Roman"/>
          <w:sz w:val="24"/>
          <w:szCs w:val="24"/>
        </w:rPr>
        <w:t xml:space="preserve"> as read with rule 266 and 267 of the High Court Rules, apply for</w:t>
      </w:r>
      <w:r w:rsidR="000E5898">
        <w:rPr>
          <w:rFonts w:ascii="Times New Roman" w:hAnsi="Times New Roman" w:cs="Times New Roman"/>
          <w:sz w:val="24"/>
          <w:szCs w:val="24"/>
        </w:rPr>
        <w:t xml:space="preserve"> </w:t>
      </w:r>
      <w:proofErr w:type="spellStart"/>
      <w:r w:rsidR="000E5898">
        <w:rPr>
          <w:rFonts w:ascii="Times New Roman" w:hAnsi="Times New Roman" w:cs="Times New Roman"/>
          <w:sz w:val="24"/>
          <w:szCs w:val="24"/>
        </w:rPr>
        <w:t>condonation</w:t>
      </w:r>
      <w:proofErr w:type="spellEnd"/>
      <w:r w:rsidR="000E5898">
        <w:rPr>
          <w:rFonts w:ascii="Times New Roman" w:hAnsi="Times New Roman" w:cs="Times New Roman"/>
          <w:sz w:val="24"/>
          <w:szCs w:val="24"/>
        </w:rPr>
        <w:t xml:space="preserve"> for the late filing of an application for leave to appeal</w:t>
      </w:r>
      <w:r w:rsidR="00233309">
        <w:rPr>
          <w:rFonts w:ascii="Times New Roman" w:hAnsi="Times New Roman" w:cs="Times New Roman"/>
          <w:sz w:val="24"/>
          <w:szCs w:val="24"/>
        </w:rPr>
        <w:t xml:space="preserve">. </w:t>
      </w:r>
      <w:r w:rsidR="009429E7">
        <w:rPr>
          <w:rFonts w:ascii="Times New Roman" w:hAnsi="Times New Roman" w:cs="Times New Roman"/>
          <w:sz w:val="24"/>
          <w:szCs w:val="24"/>
          <w:lang w:val="en-GB"/>
        </w:rPr>
        <w:t xml:space="preserve">The grounds on which the courts will condone the late noting </w:t>
      </w:r>
      <w:r w:rsidR="00E300BA">
        <w:rPr>
          <w:rFonts w:ascii="Times New Roman" w:hAnsi="Times New Roman" w:cs="Times New Roman"/>
          <w:sz w:val="24"/>
          <w:szCs w:val="24"/>
          <w:lang w:val="en-GB"/>
        </w:rPr>
        <w:t xml:space="preserve">for </w:t>
      </w:r>
      <w:r w:rsidR="009429E7">
        <w:rPr>
          <w:rFonts w:ascii="Times New Roman" w:hAnsi="Times New Roman" w:cs="Times New Roman"/>
          <w:sz w:val="24"/>
          <w:szCs w:val="24"/>
          <w:lang w:val="en-GB"/>
        </w:rPr>
        <w:t xml:space="preserve">leave to appeal are in the discretion of the court. In </w:t>
      </w:r>
      <w:proofErr w:type="spellStart"/>
      <w:r w:rsidR="009429E7" w:rsidRPr="009429E7">
        <w:rPr>
          <w:rFonts w:ascii="Times New Roman" w:hAnsi="Times New Roman" w:cs="Times New Roman"/>
          <w:i/>
          <w:sz w:val="24"/>
          <w:szCs w:val="24"/>
          <w:lang w:val="en-GB"/>
        </w:rPr>
        <w:t>Rheeders</w:t>
      </w:r>
      <w:proofErr w:type="spellEnd"/>
      <w:r w:rsidR="009429E7" w:rsidRPr="009429E7">
        <w:rPr>
          <w:rFonts w:ascii="Times New Roman" w:hAnsi="Times New Roman" w:cs="Times New Roman"/>
          <w:i/>
          <w:sz w:val="24"/>
          <w:szCs w:val="24"/>
          <w:lang w:val="en-GB"/>
        </w:rPr>
        <w:t xml:space="preserve"> v </w:t>
      </w:r>
      <w:proofErr w:type="spellStart"/>
      <w:r w:rsidR="009429E7" w:rsidRPr="009429E7">
        <w:rPr>
          <w:rFonts w:ascii="Times New Roman" w:hAnsi="Times New Roman" w:cs="Times New Roman"/>
          <w:i/>
          <w:sz w:val="24"/>
          <w:szCs w:val="24"/>
          <w:lang w:val="en-GB"/>
        </w:rPr>
        <w:t>Jacobsz</w:t>
      </w:r>
      <w:proofErr w:type="spellEnd"/>
      <w:r w:rsidR="009429E7" w:rsidRPr="009429E7">
        <w:rPr>
          <w:rFonts w:ascii="Times New Roman" w:hAnsi="Times New Roman" w:cs="Times New Roman"/>
          <w:i/>
          <w:sz w:val="24"/>
          <w:szCs w:val="24"/>
          <w:lang w:val="en-GB"/>
        </w:rPr>
        <w:t xml:space="preserve"> </w:t>
      </w:r>
      <w:r w:rsidR="009429E7">
        <w:rPr>
          <w:rFonts w:ascii="Times New Roman" w:hAnsi="Times New Roman" w:cs="Times New Roman"/>
          <w:sz w:val="24"/>
          <w:szCs w:val="24"/>
          <w:lang w:val="en-GB"/>
        </w:rPr>
        <w:t xml:space="preserve">1942 AD 395, the court expressed its approval of the view ‘that the court will take a liberal view of the matter but must be careful to see in each instance that there is some reasonable ground for the exercise of its discretion in favour of the applicant.’ </w:t>
      </w:r>
      <w:r w:rsidR="00241639">
        <w:rPr>
          <w:rFonts w:ascii="Times New Roman" w:hAnsi="Times New Roman" w:cs="Times New Roman"/>
          <w:sz w:val="24"/>
          <w:szCs w:val="24"/>
          <w:lang w:val="en-GB"/>
        </w:rPr>
        <w:t xml:space="preserve">In </w:t>
      </w:r>
      <w:proofErr w:type="spellStart"/>
      <w:r w:rsidR="00241639" w:rsidRPr="00241639">
        <w:rPr>
          <w:rFonts w:ascii="Times New Roman" w:hAnsi="Times New Roman" w:cs="Times New Roman"/>
          <w:i/>
          <w:sz w:val="24"/>
          <w:szCs w:val="24"/>
          <w:lang w:val="en-GB"/>
        </w:rPr>
        <w:t>Mohlathe</w:t>
      </w:r>
      <w:proofErr w:type="spellEnd"/>
      <w:r w:rsidR="00241639">
        <w:rPr>
          <w:rFonts w:ascii="Times New Roman" w:hAnsi="Times New Roman" w:cs="Times New Roman"/>
          <w:sz w:val="24"/>
          <w:szCs w:val="24"/>
          <w:lang w:val="en-GB"/>
        </w:rPr>
        <w:t xml:space="preserve"> 2000 (2) SACR 530 (SCA), the court decided on the criteria to be applied when considering an application for </w:t>
      </w:r>
      <w:proofErr w:type="spellStart"/>
      <w:r w:rsidR="00241639">
        <w:rPr>
          <w:rFonts w:ascii="Times New Roman" w:hAnsi="Times New Roman" w:cs="Times New Roman"/>
          <w:sz w:val="24"/>
          <w:szCs w:val="24"/>
          <w:lang w:val="en-GB"/>
        </w:rPr>
        <w:t>condonation</w:t>
      </w:r>
      <w:proofErr w:type="spellEnd"/>
      <w:r w:rsidR="00241639">
        <w:rPr>
          <w:rFonts w:ascii="Times New Roman" w:hAnsi="Times New Roman" w:cs="Times New Roman"/>
          <w:sz w:val="24"/>
          <w:szCs w:val="24"/>
          <w:lang w:val="en-GB"/>
        </w:rPr>
        <w:t xml:space="preserve">, that whether an explanation is acceptable or not for the purpose of granting </w:t>
      </w:r>
      <w:proofErr w:type="spellStart"/>
      <w:r w:rsidR="00241639">
        <w:rPr>
          <w:rFonts w:ascii="Times New Roman" w:hAnsi="Times New Roman" w:cs="Times New Roman"/>
          <w:sz w:val="24"/>
          <w:szCs w:val="24"/>
          <w:lang w:val="en-GB"/>
        </w:rPr>
        <w:t>condonation</w:t>
      </w:r>
      <w:proofErr w:type="spellEnd"/>
      <w:r w:rsidR="00241639">
        <w:rPr>
          <w:rFonts w:ascii="Times New Roman" w:hAnsi="Times New Roman" w:cs="Times New Roman"/>
          <w:sz w:val="24"/>
          <w:szCs w:val="24"/>
          <w:lang w:val="en-GB"/>
        </w:rPr>
        <w:t xml:space="preserve"> is essentially a matter for the discretion of the court to be exercised judicially. Such discretion is exercised in the light of all the circumstances of the case, including the merits of the case; the degree of lateness; the explanation for it;</w:t>
      </w:r>
      <w:r w:rsidR="00153D7E">
        <w:rPr>
          <w:rFonts w:ascii="Times New Roman" w:hAnsi="Times New Roman" w:cs="Times New Roman"/>
          <w:sz w:val="24"/>
          <w:szCs w:val="24"/>
          <w:lang w:val="en-GB"/>
        </w:rPr>
        <w:t xml:space="preserve"> and the prospects of success</w:t>
      </w:r>
      <w:r w:rsidR="00241639">
        <w:rPr>
          <w:rFonts w:ascii="Times New Roman" w:hAnsi="Times New Roman" w:cs="Times New Roman"/>
          <w:sz w:val="24"/>
          <w:szCs w:val="24"/>
          <w:lang w:val="en-GB"/>
        </w:rPr>
        <w:t>. All the factors</w:t>
      </w:r>
      <w:r w:rsidR="00926C1C">
        <w:rPr>
          <w:rFonts w:ascii="Times New Roman" w:hAnsi="Times New Roman" w:cs="Times New Roman"/>
          <w:sz w:val="24"/>
          <w:szCs w:val="24"/>
          <w:lang w:val="en-GB"/>
        </w:rPr>
        <w:t xml:space="preserve"> are interrelated and not de</w:t>
      </w:r>
      <w:r w:rsidR="00E44E20">
        <w:rPr>
          <w:rFonts w:ascii="Times New Roman" w:hAnsi="Times New Roman" w:cs="Times New Roman"/>
          <w:sz w:val="24"/>
          <w:szCs w:val="24"/>
          <w:lang w:val="en-GB"/>
        </w:rPr>
        <w:t xml:space="preserve">cisive </w:t>
      </w:r>
      <w:r w:rsidR="00926C1C">
        <w:rPr>
          <w:rFonts w:ascii="Times New Roman" w:hAnsi="Times New Roman" w:cs="Times New Roman"/>
          <w:sz w:val="24"/>
          <w:szCs w:val="24"/>
          <w:lang w:val="en-GB"/>
        </w:rPr>
        <w:t>on their o</w:t>
      </w:r>
      <w:r w:rsidR="0097066C">
        <w:rPr>
          <w:rFonts w:ascii="Times New Roman" w:hAnsi="Times New Roman" w:cs="Times New Roman"/>
          <w:sz w:val="24"/>
          <w:szCs w:val="24"/>
          <w:lang w:val="en-GB"/>
        </w:rPr>
        <w:t xml:space="preserve">wn. See: </w:t>
      </w:r>
      <w:proofErr w:type="spellStart"/>
      <w:r w:rsidR="0097066C">
        <w:rPr>
          <w:rFonts w:ascii="Times New Roman" w:hAnsi="Times New Roman" w:cs="Times New Roman"/>
          <w:sz w:val="24"/>
          <w:szCs w:val="24"/>
          <w:lang w:val="en-GB"/>
        </w:rPr>
        <w:t>Geldenhuys</w:t>
      </w:r>
      <w:proofErr w:type="spellEnd"/>
      <w:r w:rsidR="0097066C">
        <w:rPr>
          <w:rFonts w:ascii="Times New Roman" w:hAnsi="Times New Roman" w:cs="Times New Roman"/>
          <w:sz w:val="24"/>
          <w:szCs w:val="24"/>
          <w:lang w:val="en-GB"/>
        </w:rPr>
        <w:t xml:space="preserve"> T </w:t>
      </w:r>
      <w:r w:rsidR="0097066C" w:rsidRPr="0097066C">
        <w:rPr>
          <w:rFonts w:ascii="Times New Roman" w:hAnsi="Times New Roman" w:cs="Times New Roman"/>
          <w:i/>
          <w:sz w:val="24"/>
          <w:szCs w:val="24"/>
          <w:lang w:val="en-GB"/>
        </w:rPr>
        <w:t>at al</w:t>
      </w:r>
      <w:r w:rsidR="00AB4117">
        <w:rPr>
          <w:rFonts w:ascii="Times New Roman" w:hAnsi="Times New Roman" w:cs="Times New Roman"/>
          <w:i/>
          <w:sz w:val="24"/>
          <w:szCs w:val="24"/>
          <w:lang w:val="en-GB"/>
        </w:rPr>
        <w:t xml:space="preserve"> </w:t>
      </w:r>
      <w:r w:rsidR="00926C1C" w:rsidRPr="00926C1C">
        <w:rPr>
          <w:rFonts w:ascii="Times New Roman" w:hAnsi="Times New Roman" w:cs="Times New Roman"/>
          <w:i/>
          <w:sz w:val="24"/>
          <w:szCs w:val="24"/>
          <w:lang w:val="en-GB"/>
        </w:rPr>
        <w:t>Criminal Procedure handbook</w:t>
      </w:r>
      <w:r w:rsidR="00AB4117">
        <w:rPr>
          <w:rFonts w:ascii="Times New Roman" w:hAnsi="Times New Roman" w:cs="Times New Roman"/>
          <w:i/>
          <w:sz w:val="24"/>
          <w:szCs w:val="24"/>
          <w:lang w:val="en-GB"/>
        </w:rPr>
        <w:t xml:space="preserve"> </w:t>
      </w:r>
      <w:r w:rsidR="00926C1C">
        <w:rPr>
          <w:rFonts w:ascii="Times New Roman" w:hAnsi="Times New Roman" w:cs="Times New Roman"/>
          <w:sz w:val="24"/>
          <w:szCs w:val="24"/>
          <w:lang w:val="en-GB"/>
        </w:rPr>
        <w:t>(</w:t>
      </w:r>
      <w:proofErr w:type="spellStart"/>
      <w:r w:rsidR="00926C1C">
        <w:rPr>
          <w:rFonts w:ascii="Times New Roman" w:hAnsi="Times New Roman" w:cs="Times New Roman"/>
          <w:sz w:val="24"/>
          <w:szCs w:val="24"/>
          <w:lang w:val="en-GB"/>
        </w:rPr>
        <w:t>Juta</w:t>
      </w:r>
      <w:proofErr w:type="spellEnd"/>
      <w:r w:rsidR="00926C1C">
        <w:rPr>
          <w:rFonts w:ascii="Times New Roman" w:hAnsi="Times New Roman" w:cs="Times New Roman"/>
          <w:sz w:val="24"/>
          <w:szCs w:val="24"/>
          <w:lang w:val="en-GB"/>
        </w:rPr>
        <w:t xml:space="preserve"> 10</w:t>
      </w:r>
      <w:r w:rsidR="00926C1C" w:rsidRPr="00926C1C">
        <w:rPr>
          <w:rFonts w:ascii="Times New Roman" w:hAnsi="Times New Roman" w:cs="Times New Roman"/>
          <w:sz w:val="24"/>
          <w:szCs w:val="24"/>
          <w:vertAlign w:val="superscript"/>
          <w:lang w:val="en-GB"/>
        </w:rPr>
        <w:t>th</w:t>
      </w:r>
      <w:r w:rsidR="00926C1C">
        <w:rPr>
          <w:rFonts w:ascii="Times New Roman" w:hAnsi="Times New Roman" w:cs="Times New Roman"/>
          <w:sz w:val="24"/>
          <w:szCs w:val="24"/>
          <w:lang w:val="en-GB"/>
        </w:rPr>
        <w:t xml:space="preserve"> Edition - 2011) p. 406. </w:t>
      </w:r>
    </w:p>
    <w:p w:rsidR="009C4941" w:rsidRPr="009C4941" w:rsidRDefault="009C4941" w:rsidP="009969B3">
      <w:pPr>
        <w:autoSpaceDE w:val="0"/>
        <w:autoSpaceDN w:val="0"/>
        <w:adjustRightInd w:val="0"/>
        <w:spacing w:after="0" w:line="360" w:lineRule="auto"/>
        <w:ind w:firstLine="720"/>
        <w:jc w:val="both"/>
        <w:rPr>
          <w:rFonts w:ascii="Times New Roman" w:hAnsi="Times New Roman" w:cs="Times New Roman"/>
          <w:sz w:val="24"/>
          <w:szCs w:val="24"/>
        </w:rPr>
      </w:pPr>
    </w:p>
    <w:p w:rsidR="00AB4117" w:rsidRDefault="00AB4117" w:rsidP="009969B3">
      <w:pPr>
        <w:tabs>
          <w:tab w:val="left" w:pos="-1440"/>
        </w:tabs>
        <w:spacing w:line="360" w:lineRule="auto"/>
        <w:jc w:val="both"/>
        <w:rPr>
          <w:rFonts w:ascii="Times New Roman" w:hAnsi="Times New Roman" w:cs="Times New Roman"/>
          <w:b/>
          <w:sz w:val="24"/>
          <w:szCs w:val="24"/>
          <w:lang w:val="en-GB"/>
        </w:rPr>
      </w:pPr>
    </w:p>
    <w:p w:rsidR="009C4941" w:rsidRDefault="00926C1C" w:rsidP="009969B3">
      <w:pPr>
        <w:tabs>
          <w:tab w:val="left" w:pos="-1440"/>
        </w:tabs>
        <w:spacing w:line="360" w:lineRule="auto"/>
        <w:jc w:val="both"/>
        <w:rPr>
          <w:rFonts w:ascii="Times New Roman" w:hAnsi="Times New Roman" w:cs="Times New Roman"/>
          <w:b/>
          <w:sz w:val="24"/>
          <w:szCs w:val="24"/>
          <w:lang w:val="en-GB"/>
        </w:rPr>
      </w:pPr>
      <w:r w:rsidRPr="00A72548">
        <w:rPr>
          <w:rFonts w:ascii="Times New Roman" w:hAnsi="Times New Roman" w:cs="Times New Roman"/>
          <w:b/>
          <w:sz w:val="24"/>
          <w:szCs w:val="24"/>
          <w:lang w:val="en-GB"/>
        </w:rPr>
        <w:lastRenderedPageBreak/>
        <w:t>The degree of lateness</w:t>
      </w:r>
      <w:r w:rsidR="00973280">
        <w:rPr>
          <w:rFonts w:ascii="Times New Roman" w:hAnsi="Times New Roman" w:cs="Times New Roman"/>
          <w:b/>
          <w:sz w:val="24"/>
          <w:szCs w:val="24"/>
          <w:lang w:val="en-GB"/>
        </w:rPr>
        <w:t xml:space="preserve"> and the explanation thereof </w:t>
      </w:r>
    </w:p>
    <w:p w:rsidR="0082039F" w:rsidRDefault="009C4941" w:rsidP="009969B3">
      <w:pPr>
        <w:tabs>
          <w:tab w:val="left" w:pos="-1440"/>
        </w:tabs>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ab/>
      </w:r>
      <w:r w:rsidR="00AB4117">
        <w:rPr>
          <w:rFonts w:ascii="Times New Roman" w:hAnsi="Times New Roman" w:cs="Times New Roman"/>
          <w:sz w:val="24"/>
          <w:szCs w:val="24"/>
          <w:lang w:val="en-GB"/>
        </w:rPr>
        <w:t xml:space="preserve">Applicant was sentenced on </w:t>
      </w:r>
      <w:r w:rsidR="00FD0FD4">
        <w:rPr>
          <w:rFonts w:ascii="Times New Roman" w:hAnsi="Times New Roman" w:cs="Times New Roman"/>
          <w:sz w:val="24"/>
          <w:szCs w:val="24"/>
          <w:lang w:val="en-GB"/>
        </w:rPr>
        <w:t xml:space="preserve">17 July 2020. This application was filed on the 6 October 2020. At the latest, in accordance with rule 267 of the High Court Rules, this application should have been filed within twenty-four days </w:t>
      </w:r>
      <w:r w:rsidR="00AB4117">
        <w:rPr>
          <w:rFonts w:ascii="Times New Roman" w:hAnsi="Times New Roman" w:cs="Times New Roman"/>
          <w:sz w:val="24"/>
          <w:szCs w:val="24"/>
          <w:lang w:val="en-GB"/>
        </w:rPr>
        <w:t xml:space="preserve">starting from </w:t>
      </w:r>
      <w:r w:rsidR="00FB7C30">
        <w:rPr>
          <w:rFonts w:ascii="Times New Roman" w:hAnsi="Times New Roman" w:cs="Times New Roman"/>
          <w:sz w:val="24"/>
          <w:szCs w:val="24"/>
          <w:lang w:val="en-GB"/>
        </w:rPr>
        <w:t xml:space="preserve">18 July 2020, which is by the end of August 2020. This application was filed approximately one month and a few days out of time. </w:t>
      </w:r>
      <w:r w:rsidR="00A72548">
        <w:rPr>
          <w:rFonts w:ascii="Times New Roman" w:hAnsi="Times New Roman" w:cs="Times New Roman"/>
          <w:sz w:val="24"/>
          <w:szCs w:val="24"/>
          <w:lang w:val="en-GB"/>
        </w:rPr>
        <w:t xml:space="preserve">It is apparent from applicant’s founding affidavit, as confirmed by the supporting affidavit of his legal practitioner, a </w:t>
      </w:r>
      <w:r w:rsidR="00A72548" w:rsidRPr="00D45EA0">
        <w:rPr>
          <w:rFonts w:ascii="Times New Roman" w:hAnsi="Times New Roman" w:cs="Times New Roman"/>
          <w:i/>
          <w:sz w:val="24"/>
          <w:szCs w:val="24"/>
          <w:lang w:val="en-GB"/>
        </w:rPr>
        <w:t xml:space="preserve">Mr M. </w:t>
      </w:r>
      <w:proofErr w:type="spellStart"/>
      <w:r w:rsidR="00A72548" w:rsidRPr="00D45EA0">
        <w:rPr>
          <w:rFonts w:ascii="Times New Roman" w:hAnsi="Times New Roman" w:cs="Times New Roman"/>
          <w:i/>
          <w:sz w:val="24"/>
          <w:szCs w:val="24"/>
          <w:lang w:val="en-GB"/>
        </w:rPr>
        <w:t>Mahaso</w:t>
      </w:r>
      <w:proofErr w:type="spellEnd"/>
      <w:r w:rsidR="00A72548">
        <w:rPr>
          <w:rFonts w:ascii="Times New Roman" w:hAnsi="Times New Roman" w:cs="Times New Roman"/>
          <w:sz w:val="24"/>
          <w:szCs w:val="24"/>
          <w:lang w:val="en-GB"/>
        </w:rPr>
        <w:t>, that he was led on a tangent by his legal practitioners. The legal practitioners did not familiarise themselves with the legislative framework and the jurisprudence on leave to appeal. Instead of applying for leave to appeal from this court, the lawyers merely filed with the Supreme Court a defective notice</w:t>
      </w:r>
      <w:r w:rsidR="0097066C">
        <w:rPr>
          <w:rFonts w:ascii="Times New Roman" w:hAnsi="Times New Roman" w:cs="Times New Roman"/>
          <w:sz w:val="24"/>
          <w:szCs w:val="24"/>
          <w:lang w:val="en-GB"/>
        </w:rPr>
        <w:t xml:space="preserve"> of appeal</w:t>
      </w:r>
      <w:r w:rsidR="00A72548">
        <w:rPr>
          <w:rFonts w:ascii="Times New Roman" w:hAnsi="Times New Roman" w:cs="Times New Roman"/>
          <w:sz w:val="24"/>
          <w:szCs w:val="24"/>
          <w:lang w:val="en-GB"/>
        </w:rPr>
        <w:t xml:space="preserve">.  </w:t>
      </w:r>
      <w:r w:rsidR="0082039F">
        <w:rPr>
          <w:rFonts w:ascii="Times New Roman" w:eastAsia="Times New Roman" w:hAnsi="Times New Roman" w:cs="Times New Roman"/>
          <w:color w:val="202020"/>
          <w:sz w:val="24"/>
          <w:szCs w:val="24"/>
          <w:lang w:val="en-US" w:eastAsia="en-ZW"/>
        </w:rPr>
        <w:t>T</w:t>
      </w:r>
      <w:r w:rsidR="0082039F" w:rsidRPr="00BF7600">
        <w:rPr>
          <w:rFonts w:ascii="Times New Roman" w:eastAsia="Times New Roman" w:hAnsi="Times New Roman" w:cs="Times New Roman"/>
          <w:color w:val="202020"/>
          <w:sz w:val="24"/>
          <w:szCs w:val="24"/>
          <w:lang w:val="en-US" w:eastAsia="en-ZW"/>
        </w:rPr>
        <w:t>here is a limit beyond which a litigant cannot escape the results of h</w:t>
      </w:r>
      <w:r w:rsidR="00973280">
        <w:rPr>
          <w:rFonts w:ascii="Times New Roman" w:eastAsia="Times New Roman" w:hAnsi="Times New Roman" w:cs="Times New Roman"/>
          <w:color w:val="202020"/>
          <w:sz w:val="24"/>
          <w:szCs w:val="24"/>
          <w:lang w:val="en-US" w:eastAsia="en-ZW"/>
        </w:rPr>
        <w:t xml:space="preserve">is attorney’s lack of diligence and </w:t>
      </w:r>
      <w:r w:rsidR="00973280">
        <w:rPr>
          <w:rFonts w:ascii="Times New Roman" w:hAnsi="Times New Roman" w:cs="Times New Roman"/>
          <w:sz w:val="24"/>
          <w:szCs w:val="24"/>
          <w:lang w:val="en-GB"/>
        </w:rPr>
        <w:t xml:space="preserve">the dilatoriness. </w:t>
      </w:r>
      <w:r w:rsidR="0097066C">
        <w:rPr>
          <w:rFonts w:ascii="Times New Roman" w:eastAsia="Times New Roman" w:hAnsi="Times New Roman" w:cs="Times New Roman"/>
          <w:color w:val="202020"/>
          <w:sz w:val="24"/>
          <w:szCs w:val="24"/>
          <w:lang w:val="en-US" w:eastAsia="en-ZW"/>
        </w:rPr>
        <w:t>(</w:t>
      </w:r>
      <w:r w:rsidR="00CA1EE1" w:rsidRPr="00BF7600">
        <w:rPr>
          <w:rFonts w:ascii="Times New Roman" w:hAnsi="Times New Roman" w:cs="Times New Roman"/>
          <w:sz w:val="24"/>
          <w:szCs w:val="24"/>
        </w:rPr>
        <w:t>See</w:t>
      </w:r>
      <w:r w:rsidR="00CA1EE1">
        <w:rPr>
          <w:rFonts w:ascii="Times New Roman" w:hAnsi="Times New Roman" w:cs="Times New Roman"/>
          <w:sz w:val="24"/>
          <w:szCs w:val="24"/>
        </w:rPr>
        <w:t>:</w:t>
      </w:r>
      <w:r w:rsidR="00AB4117">
        <w:rPr>
          <w:rFonts w:ascii="Times New Roman" w:hAnsi="Times New Roman" w:cs="Times New Roman"/>
          <w:sz w:val="24"/>
          <w:szCs w:val="24"/>
        </w:rPr>
        <w:t xml:space="preserve"> </w:t>
      </w:r>
      <w:r w:rsidR="00CA1EE1" w:rsidRPr="00BF7600">
        <w:rPr>
          <w:rFonts w:ascii="Times New Roman" w:hAnsi="Times New Roman" w:cs="Times New Roman"/>
          <w:bCs/>
          <w:i/>
          <w:sz w:val="24"/>
          <w:szCs w:val="24"/>
        </w:rPr>
        <w:t xml:space="preserve">S v </w:t>
      </w:r>
      <w:proofErr w:type="spellStart"/>
      <w:r w:rsidR="00CA1EE1" w:rsidRPr="00BF7600">
        <w:rPr>
          <w:rFonts w:ascii="Times New Roman" w:hAnsi="Times New Roman" w:cs="Times New Roman"/>
          <w:bCs/>
          <w:i/>
          <w:sz w:val="24"/>
          <w:szCs w:val="24"/>
        </w:rPr>
        <w:t>Tandwa</w:t>
      </w:r>
      <w:proofErr w:type="spellEnd"/>
      <w:r w:rsidR="00CA1EE1" w:rsidRPr="00BF7600">
        <w:rPr>
          <w:rFonts w:ascii="Times New Roman" w:hAnsi="Times New Roman" w:cs="Times New Roman"/>
          <w:bCs/>
          <w:sz w:val="24"/>
          <w:szCs w:val="24"/>
        </w:rPr>
        <w:t xml:space="preserve"> [2007] SCA 34 (RSA)</w:t>
      </w:r>
      <w:r w:rsidR="00CA1EE1">
        <w:rPr>
          <w:rFonts w:ascii="Times New Roman" w:hAnsi="Times New Roman" w:cs="Times New Roman"/>
          <w:bCs/>
          <w:sz w:val="24"/>
          <w:szCs w:val="24"/>
        </w:rPr>
        <w:t xml:space="preserve"> on the duty of legal practitioners</w:t>
      </w:r>
      <w:r w:rsidR="0097066C">
        <w:rPr>
          <w:rFonts w:ascii="Times New Roman" w:hAnsi="Times New Roman" w:cs="Times New Roman"/>
          <w:bCs/>
          <w:sz w:val="24"/>
          <w:szCs w:val="24"/>
        </w:rPr>
        <w:t xml:space="preserve"> to provide competent and effective legal representation).</w:t>
      </w:r>
      <w:r w:rsidR="0082039F" w:rsidRPr="00BF7600">
        <w:rPr>
          <w:rFonts w:ascii="Times New Roman" w:eastAsia="Times New Roman" w:hAnsi="Times New Roman" w:cs="Times New Roman"/>
          <w:color w:val="202020"/>
          <w:sz w:val="24"/>
          <w:szCs w:val="24"/>
          <w:lang w:val="en-US" w:eastAsia="en-ZW"/>
        </w:rPr>
        <w:t>To hold otherwise might have a disastrous eff</w:t>
      </w:r>
      <w:r w:rsidR="0082039F">
        <w:rPr>
          <w:rFonts w:ascii="Times New Roman" w:eastAsia="Times New Roman" w:hAnsi="Times New Roman" w:cs="Times New Roman"/>
          <w:color w:val="202020"/>
          <w:sz w:val="24"/>
          <w:szCs w:val="24"/>
          <w:lang w:val="en-US" w:eastAsia="en-ZW"/>
        </w:rPr>
        <w:t>ect upon the observance of the rules of this c</w:t>
      </w:r>
      <w:r w:rsidR="0082039F" w:rsidRPr="00BF7600">
        <w:rPr>
          <w:rFonts w:ascii="Times New Roman" w:eastAsia="Times New Roman" w:hAnsi="Times New Roman" w:cs="Times New Roman"/>
          <w:color w:val="202020"/>
          <w:sz w:val="24"/>
          <w:szCs w:val="24"/>
          <w:lang w:val="en-US" w:eastAsia="en-ZW"/>
        </w:rPr>
        <w:t>ourt.</w:t>
      </w:r>
      <w:r w:rsidR="007916E2">
        <w:rPr>
          <w:rFonts w:ascii="Times New Roman" w:eastAsia="Times New Roman" w:hAnsi="Times New Roman" w:cs="Times New Roman"/>
          <w:color w:val="202020"/>
          <w:sz w:val="24"/>
          <w:szCs w:val="24"/>
          <w:lang w:eastAsia="en-ZW"/>
        </w:rPr>
        <w:t>In</w:t>
      </w:r>
      <w:r w:rsidR="00AB4117">
        <w:rPr>
          <w:rFonts w:ascii="Times New Roman" w:eastAsia="Times New Roman" w:hAnsi="Times New Roman" w:cs="Times New Roman"/>
          <w:color w:val="202020"/>
          <w:sz w:val="24"/>
          <w:szCs w:val="24"/>
          <w:lang w:eastAsia="en-ZW"/>
        </w:rPr>
        <w:t xml:space="preserve"> </w:t>
      </w:r>
      <w:r w:rsidR="0082039F" w:rsidRPr="002F10FF">
        <w:rPr>
          <w:rFonts w:ascii="Times New Roman" w:eastAsia="Times New Roman" w:hAnsi="Times New Roman" w:cs="Times New Roman"/>
          <w:i/>
          <w:color w:val="202020"/>
          <w:sz w:val="24"/>
          <w:szCs w:val="24"/>
          <w:lang w:eastAsia="en-ZW"/>
        </w:rPr>
        <w:t xml:space="preserve">George </w:t>
      </w:r>
      <w:proofErr w:type="spellStart"/>
      <w:r w:rsidR="0082039F" w:rsidRPr="002F10FF">
        <w:rPr>
          <w:rFonts w:ascii="Times New Roman" w:eastAsia="Times New Roman" w:hAnsi="Times New Roman" w:cs="Times New Roman"/>
          <w:i/>
          <w:color w:val="202020"/>
          <w:sz w:val="24"/>
          <w:szCs w:val="24"/>
          <w:lang w:eastAsia="en-ZW"/>
        </w:rPr>
        <w:t>Tanyanyiwa</w:t>
      </w:r>
      <w:proofErr w:type="spellEnd"/>
      <w:r w:rsidR="0082039F" w:rsidRPr="002F10FF">
        <w:rPr>
          <w:rFonts w:ascii="Times New Roman" w:eastAsia="Times New Roman" w:hAnsi="Times New Roman" w:cs="Times New Roman"/>
          <w:i/>
          <w:color w:val="202020"/>
          <w:sz w:val="24"/>
          <w:szCs w:val="24"/>
          <w:lang w:eastAsia="en-ZW"/>
        </w:rPr>
        <w:t xml:space="preserve"> </w:t>
      </w:r>
      <w:proofErr w:type="spellStart"/>
      <w:r w:rsidR="0082039F" w:rsidRPr="002F10FF">
        <w:rPr>
          <w:rFonts w:ascii="Times New Roman" w:eastAsia="Times New Roman" w:hAnsi="Times New Roman" w:cs="Times New Roman"/>
          <w:i/>
          <w:color w:val="202020"/>
          <w:sz w:val="24"/>
          <w:szCs w:val="24"/>
          <w:lang w:eastAsia="en-ZW"/>
        </w:rPr>
        <w:t>Chikanga</w:t>
      </w:r>
      <w:proofErr w:type="spellEnd"/>
      <w:r w:rsidR="0082039F" w:rsidRPr="002F10FF">
        <w:rPr>
          <w:rFonts w:ascii="Times New Roman" w:eastAsia="Times New Roman" w:hAnsi="Times New Roman" w:cs="Times New Roman"/>
          <w:i/>
          <w:color w:val="202020"/>
          <w:sz w:val="24"/>
          <w:szCs w:val="24"/>
          <w:lang w:eastAsia="en-ZW"/>
        </w:rPr>
        <w:t xml:space="preserve"> v The State</w:t>
      </w:r>
      <w:r w:rsidR="00AB4117">
        <w:rPr>
          <w:rFonts w:ascii="Times New Roman" w:eastAsia="Times New Roman" w:hAnsi="Times New Roman" w:cs="Times New Roman"/>
          <w:i/>
          <w:color w:val="202020"/>
          <w:sz w:val="24"/>
          <w:szCs w:val="24"/>
          <w:lang w:eastAsia="en-ZW"/>
        </w:rPr>
        <w:t xml:space="preserve"> </w:t>
      </w:r>
      <w:r w:rsidR="007916E2">
        <w:rPr>
          <w:rFonts w:ascii="Times New Roman" w:eastAsia="Times New Roman" w:hAnsi="Times New Roman" w:cs="Times New Roman"/>
          <w:color w:val="202020"/>
          <w:sz w:val="24"/>
          <w:szCs w:val="24"/>
          <w:lang w:eastAsia="en-ZW"/>
        </w:rPr>
        <w:t xml:space="preserve">SC 93/04, the court said: </w:t>
      </w:r>
    </w:p>
    <w:p w:rsidR="007916E2" w:rsidRPr="007916E2" w:rsidRDefault="007916E2" w:rsidP="009969B3">
      <w:pPr>
        <w:pStyle w:val="western"/>
        <w:shd w:val="clear" w:color="auto" w:fill="FFFFFF"/>
        <w:spacing w:before="0" w:beforeAutospacing="0" w:after="168" w:afterAutospacing="0"/>
        <w:ind w:left="720"/>
        <w:jc w:val="both"/>
        <w:rPr>
          <w:color w:val="666666"/>
        </w:rPr>
      </w:pPr>
      <w:r w:rsidRPr="007916E2">
        <w:rPr>
          <w:color w:val="666666"/>
        </w:rPr>
        <w:t xml:space="preserve">In any event, even if I were to accept that that the legal practitioner was negligent in failing to note the appeal, because of the increase in applications for </w:t>
      </w:r>
      <w:proofErr w:type="spellStart"/>
      <w:r w:rsidRPr="007916E2">
        <w:rPr>
          <w:color w:val="666666"/>
        </w:rPr>
        <w:t>condonation</w:t>
      </w:r>
      <w:proofErr w:type="spellEnd"/>
      <w:r w:rsidRPr="007916E2">
        <w:rPr>
          <w:color w:val="666666"/>
        </w:rPr>
        <w:t xml:space="preserve"> on precisely this ground the courts are less inclined to take a same benevolent view of the negligence of applicant’s legal practitioner.</w:t>
      </w:r>
    </w:p>
    <w:p w:rsidR="0082039F" w:rsidRDefault="007916E2" w:rsidP="009969B3">
      <w:pPr>
        <w:pStyle w:val="western"/>
        <w:shd w:val="clear" w:color="auto" w:fill="FFFFFF"/>
        <w:spacing w:before="0" w:beforeAutospacing="0" w:after="168" w:afterAutospacing="0"/>
        <w:ind w:left="720"/>
        <w:jc w:val="both"/>
        <w:rPr>
          <w:color w:val="666666"/>
        </w:rPr>
      </w:pPr>
      <w:r w:rsidRPr="007916E2">
        <w:rPr>
          <w:color w:val="666666"/>
          <w:lang w:val="en-US"/>
        </w:rPr>
        <w:t>There is a limit beyond which a litigant cannot escape the results of his attorney’s lack of diligence or the insufficiency of the explanation tendered. To hold otherwise might have a disastrous effect upon the observance of the Rules of this Court. Considerations </w:t>
      </w:r>
      <w:r w:rsidRPr="007916E2">
        <w:rPr>
          <w:i/>
          <w:iCs/>
          <w:color w:val="666666"/>
        </w:rPr>
        <w:t>ad</w:t>
      </w:r>
      <w:r w:rsidRPr="007916E2">
        <w:rPr>
          <w:color w:val="666666"/>
        </w:rPr>
        <w:t> </w:t>
      </w:r>
      <w:proofErr w:type="spellStart"/>
      <w:r w:rsidRPr="007916E2">
        <w:rPr>
          <w:i/>
          <w:iCs/>
          <w:color w:val="666666"/>
        </w:rPr>
        <w:t>misericordiam</w:t>
      </w:r>
      <w:proofErr w:type="spellEnd"/>
      <w:r w:rsidRPr="007916E2">
        <w:rPr>
          <w:color w:val="666666"/>
        </w:rPr>
        <w:t xml:space="preserve"> should not be allowed to become an invitation to laxity. </w:t>
      </w:r>
    </w:p>
    <w:p w:rsidR="00956007" w:rsidRPr="00956007" w:rsidRDefault="00956007" w:rsidP="009969B3">
      <w:pPr>
        <w:pStyle w:val="western"/>
        <w:shd w:val="clear" w:color="auto" w:fill="FFFFFF"/>
        <w:spacing w:before="0" w:beforeAutospacing="0" w:after="168" w:afterAutospacing="0"/>
        <w:ind w:left="720"/>
        <w:jc w:val="both"/>
        <w:rPr>
          <w:color w:val="666666"/>
        </w:rPr>
      </w:pPr>
    </w:p>
    <w:p w:rsidR="00405B26" w:rsidRDefault="007916E2" w:rsidP="009969B3">
      <w:pPr>
        <w:tabs>
          <w:tab w:val="left" w:pos="-1440"/>
        </w:tabs>
        <w:spacing w:line="360" w:lineRule="auto"/>
        <w:jc w:val="both"/>
        <w:rPr>
          <w:rFonts w:ascii="Times New Roman" w:hAnsi="Times New Roman" w:cs="Times New Roman"/>
          <w:sz w:val="23"/>
          <w:szCs w:val="23"/>
        </w:rPr>
      </w:pPr>
      <w:r>
        <w:rPr>
          <w:rFonts w:ascii="Times New Roman" w:hAnsi="Times New Roman" w:cs="Times New Roman"/>
          <w:sz w:val="24"/>
          <w:szCs w:val="24"/>
          <w:lang w:val="en-GB"/>
        </w:rPr>
        <w:tab/>
        <w:t xml:space="preserve">Unlike in the </w:t>
      </w:r>
      <w:r w:rsidRPr="002F10FF">
        <w:rPr>
          <w:rFonts w:ascii="Times New Roman" w:eastAsia="Times New Roman" w:hAnsi="Times New Roman" w:cs="Times New Roman"/>
          <w:i/>
          <w:color w:val="202020"/>
          <w:sz w:val="24"/>
          <w:szCs w:val="24"/>
          <w:lang w:eastAsia="en-ZW"/>
        </w:rPr>
        <w:t xml:space="preserve">George </w:t>
      </w:r>
      <w:proofErr w:type="spellStart"/>
      <w:r w:rsidRPr="002F10FF">
        <w:rPr>
          <w:rFonts w:ascii="Times New Roman" w:eastAsia="Times New Roman" w:hAnsi="Times New Roman" w:cs="Times New Roman"/>
          <w:i/>
          <w:color w:val="202020"/>
          <w:sz w:val="24"/>
          <w:szCs w:val="24"/>
          <w:lang w:eastAsia="en-ZW"/>
        </w:rPr>
        <w:t>Tanyanyiwa</w:t>
      </w:r>
      <w:proofErr w:type="spellEnd"/>
      <w:r w:rsidRPr="002F10FF">
        <w:rPr>
          <w:rFonts w:ascii="Times New Roman" w:eastAsia="Times New Roman" w:hAnsi="Times New Roman" w:cs="Times New Roman"/>
          <w:i/>
          <w:color w:val="202020"/>
          <w:sz w:val="24"/>
          <w:szCs w:val="24"/>
          <w:lang w:eastAsia="en-ZW"/>
        </w:rPr>
        <w:t xml:space="preserve"> </w:t>
      </w:r>
      <w:proofErr w:type="spellStart"/>
      <w:r w:rsidRPr="002F10FF">
        <w:rPr>
          <w:rFonts w:ascii="Times New Roman" w:eastAsia="Times New Roman" w:hAnsi="Times New Roman" w:cs="Times New Roman"/>
          <w:i/>
          <w:color w:val="202020"/>
          <w:sz w:val="24"/>
          <w:szCs w:val="24"/>
          <w:lang w:eastAsia="en-ZW"/>
        </w:rPr>
        <w:t>Chikanga</w:t>
      </w:r>
      <w:r>
        <w:rPr>
          <w:rFonts w:ascii="Times New Roman" w:eastAsia="Times New Roman" w:hAnsi="Times New Roman" w:cs="Times New Roman"/>
          <w:color w:val="202020"/>
          <w:sz w:val="24"/>
          <w:szCs w:val="24"/>
          <w:lang w:eastAsia="en-ZW"/>
        </w:rPr>
        <w:t>case</w:t>
      </w:r>
      <w:proofErr w:type="spellEnd"/>
      <w:r>
        <w:rPr>
          <w:rFonts w:ascii="Times New Roman" w:eastAsia="Times New Roman" w:hAnsi="Times New Roman" w:cs="Times New Roman"/>
          <w:color w:val="202020"/>
          <w:sz w:val="24"/>
          <w:szCs w:val="24"/>
          <w:lang w:eastAsia="en-ZW"/>
        </w:rPr>
        <w:t xml:space="preserve">, where the errant legal practitioner did not file a supporting affidavit, and the delay was </w:t>
      </w:r>
      <w:r w:rsidR="00DD5013">
        <w:rPr>
          <w:rFonts w:ascii="Times New Roman" w:eastAsia="Times New Roman" w:hAnsi="Times New Roman" w:cs="Times New Roman"/>
          <w:color w:val="202020"/>
          <w:sz w:val="24"/>
          <w:szCs w:val="24"/>
          <w:lang w:eastAsia="en-ZW"/>
        </w:rPr>
        <w:t xml:space="preserve">nineteen months, which was </w:t>
      </w:r>
      <w:r>
        <w:rPr>
          <w:rFonts w:ascii="Times New Roman" w:eastAsia="Times New Roman" w:hAnsi="Times New Roman" w:cs="Times New Roman"/>
          <w:color w:val="202020"/>
          <w:sz w:val="24"/>
          <w:szCs w:val="24"/>
          <w:lang w:eastAsia="en-ZW"/>
        </w:rPr>
        <w:t xml:space="preserve">inordinate, in </w:t>
      </w:r>
      <w:proofErr w:type="spellStart"/>
      <w:r w:rsidRPr="007916E2">
        <w:rPr>
          <w:rFonts w:ascii="Times New Roman" w:eastAsia="Times New Roman" w:hAnsi="Times New Roman" w:cs="Times New Roman"/>
          <w:i/>
          <w:color w:val="202020"/>
          <w:sz w:val="24"/>
          <w:szCs w:val="24"/>
          <w:lang w:eastAsia="en-ZW"/>
        </w:rPr>
        <w:t>casu</w:t>
      </w:r>
      <w:proofErr w:type="spellEnd"/>
      <w:r>
        <w:rPr>
          <w:rFonts w:ascii="Times New Roman" w:eastAsia="Times New Roman" w:hAnsi="Times New Roman" w:cs="Times New Roman"/>
          <w:color w:val="202020"/>
          <w:sz w:val="24"/>
          <w:szCs w:val="24"/>
          <w:lang w:eastAsia="en-ZW"/>
        </w:rPr>
        <w:t>, the legal practitioner filed a supporting affidavit corroborating the version of the applicant</w:t>
      </w:r>
      <w:r w:rsidR="00DD5013">
        <w:rPr>
          <w:rFonts w:ascii="Times New Roman" w:eastAsia="Times New Roman" w:hAnsi="Times New Roman" w:cs="Times New Roman"/>
          <w:color w:val="202020"/>
          <w:sz w:val="24"/>
          <w:szCs w:val="24"/>
          <w:lang w:eastAsia="en-ZW"/>
        </w:rPr>
        <w:t xml:space="preserve">, and the delay is not inordinate. </w:t>
      </w:r>
      <w:r w:rsidR="00956007" w:rsidRPr="00956007">
        <w:rPr>
          <w:rFonts w:ascii="Times New Roman" w:eastAsia="Times New Roman" w:hAnsi="Times New Roman" w:cs="Times New Roman"/>
          <w:color w:val="202020"/>
          <w:sz w:val="24"/>
          <w:szCs w:val="24"/>
          <w:lang w:eastAsia="en-ZW"/>
        </w:rPr>
        <w:t>On the facts of this case, I am inclined to find that the delay is not inordinate, and</w:t>
      </w:r>
      <w:r w:rsidR="00956007" w:rsidRPr="00956007">
        <w:rPr>
          <w:rFonts w:ascii="Times New Roman" w:hAnsi="Times New Roman" w:cs="Times New Roman"/>
          <w:sz w:val="23"/>
          <w:szCs w:val="23"/>
        </w:rPr>
        <w:t xml:space="preserve"> it has been satisfactorily</w:t>
      </w:r>
      <w:r w:rsidR="00AB4117">
        <w:rPr>
          <w:rFonts w:ascii="Times New Roman" w:hAnsi="Times New Roman" w:cs="Times New Roman"/>
          <w:sz w:val="23"/>
          <w:szCs w:val="23"/>
        </w:rPr>
        <w:t xml:space="preserve"> </w:t>
      </w:r>
      <w:r w:rsidR="00956007" w:rsidRPr="00956007">
        <w:rPr>
          <w:rFonts w:ascii="Times New Roman" w:hAnsi="Times New Roman" w:cs="Times New Roman"/>
          <w:sz w:val="23"/>
          <w:szCs w:val="23"/>
        </w:rPr>
        <w:t xml:space="preserve">explained. </w:t>
      </w:r>
      <w:r w:rsidR="00956007">
        <w:rPr>
          <w:rFonts w:ascii="Times New Roman" w:hAnsi="Times New Roman" w:cs="Times New Roman"/>
          <w:sz w:val="23"/>
          <w:szCs w:val="23"/>
        </w:rPr>
        <w:t xml:space="preserve">However, this finding is not dispositive of the </w:t>
      </w:r>
      <w:proofErr w:type="gramStart"/>
      <w:r w:rsidR="00956007">
        <w:rPr>
          <w:rFonts w:ascii="Times New Roman" w:hAnsi="Times New Roman" w:cs="Times New Roman"/>
          <w:sz w:val="23"/>
          <w:szCs w:val="23"/>
        </w:rPr>
        <w:t>matter,</w:t>
      </w:r>
      <w:proofErr w:type="gramEnd"/>
      <w:r w:rsidR="00956007">
        <w:rPr>
          <w:rFonts w:ascii="Times New Roman" w:hAnsi="Times New Roman" w:cs="Times New Roman"/>
          <w:sz w:val="23"/>
          <w:szCs w:val="23"/>
        </w:rPr>
        <w:t xml:space="preserve"> I still have to consider other requirements. </w:t>
      </w:r>
    </w:p>
    <w:p w:rsidR="00BE2F29" w:rsidRDefault="00BE2F29" w:rsidP="009969B3">
      <w:pPr>
        <w:tabs>
          <w:tab w:val="left" w:pos="-1440"/>
        </w:tabs>
        <w:spacing w:line="360" w:lineRule="auto"/>
        <w:jc w:val="both"/>
        <w:rPr>
          <w:rFonts w:ascii="Times New Roman" w:hAnsi="Times New Roman" w:cs="Times New Roman"/>
          <w:sz w:val="23"/>
          <w:szCs w:val="23"/>
        </w:rPr>
      </w:pPr>
    </w:p>
    <w:p w:rsidR="00AB4117" w:rsidRDefault="00AB4117" w:rsidP="009969B3">
      <w:pPr>
        <w:tabs>
          <w:tab w:val="left" w:pos="-1440"/>
        </w:tabs>
        <w:spacing w:line="360" w:lineRule="auto"/>
        <w:jc w:val="both"/>
        <w:rPr>
          <w:rFonts w:ascii="Times New Roman" w:hAnsi="Times New Roman" w:cs="Times New Roman"/>
          <w:b/>
          <w:sz w:val="24"/>
          <w:szCs w:val="24"/>
          <w:lang w:val="en-GB"/>
        </w:rPr>
      </w:pPr>
    </w:p>
    <w:p w:rsidR="00405B26" w:rsidRPr="00BE2F29" w:rsidRDefault="00405B26" w:rsidP="009969B3">
      <w:pPr>
        <w:tabs>
          <w:tab w:val="left" w:pos="-1440"/>
        </w:tabs>
        <w:spacing w:line="360" w:lineRule="auto"/>
        <w:jc w:val="both"/>
        <w:rPr>
          <w:rFonts w:ascii="Times New Roman" w:eastAsia="Times New Roman" w:hAnsi="Times New Roman" w:cs="Times New Roman"/>
          <w:b/>
          <w:color w:val="202020"/>
          <w:sz w:val="24"/>
          <w:szCs w:val="24"/>
          <w:lang w:eastAsia="en-ZW"/>
        </w:rPr>
      </w:pPr>
      <w:r w:rsidRPr="00BE2F29">
        <w:rPr>
          <w:rFonts w:ascii="Times New Roman" w:hAnsi="Times New Roman" w:cs="Times New Roman"/>
          <w:b/>
          <w:sz w:val="24"/>
          <w:szCs w:val="24"/>
          <w:lang w:val="en-GB"/>
        </w:rPr>
        <w:lastRenderedPageBreak/>
        <w:t>The prospects of success</w:t>
      </w:r>
    </w:p>
    <w:p w:rsidR="0056300F" w:rsidRPr="00525101" w:rsidRDefault="00BE2F29" w:rsidP="009969B3">
      <w:pPr>
        <w:tabs>
          <w:tab w:val="left" w:pos="-1440"/>
        </w:tabs>
        <w:spacing w:line="360" w:lineRule="auto"/>
        <w:jc w:val="both"/>
        <w:rPr>
          <w:rFonts w:ascii="Times New Roman" w:hAnsi="Times New Roman" w:cs="Times New Roman"/>
          <w:bCs/>
          <w:sz w:val="24"/>
          <w:szCs w:val="24"/>
        </w:rPr>
      </w:pPr>
      <w:r>
        <w:rPr>
          <w:rFonts w:ascii="Times New Roman" w:hAnsi="Times New Roman" w:cs="Times New Roman"/>
          <w:sz w:val="24"/>
          <w:szCs w:val="24"/>
          <w:lang w:val="en-GB"/>
        </w:rPr>
        <w:tab/>
      </w:r>
      <w:r>
        <w:rPr>
          <w:rFonts w:ascii="Times New Roman" w:hAnsi="Times New Roman" w:cs="Times New Roman"/>
          <w:sz w:val="24"/>
          <w:szCs w:val="24"/>
        </w:rPr>
        <w:t xml:space="preserve">To exercise its discretion in favour of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applicant has a </w:t>
      </w:r>
      <w:r w:rsidR="0056300F" w:rsidRPr="00525101">
        <w:rPr>
          <w:rFonts w:ascii="Times New Roman" w:hAnsi="Times New Roman" w:cs="Times New Roman"/>
          <w:sz w:val="24"/>
          <w:szCs w:val="24"/>
        </w:rPr>
        <w:t xml:space="preserve">duty to prove that </w:t>
      </w:r>
      <w:r>
        <w:rPr>
          <w:rFonts w:ascii="Times New Roman" w:hAnsi="Times New Roman" w:cs="Times New Roman"/>
          <w:sz w:val="24"/>
          <w:szCs w:val="24"/>
        </w:rPr>
        <w:t>there are reasonable prospects of success on an appeal</w:t>
      </w:r>
      <w:r w:rsidR="0056300F" w:rsidRPr="00525101">
        <w:rPr>
          <w:rFonts w:ascii="Times New Roman" w:hAnsi="Times New Roman" w:cs="Times New Roman"/>
          <w:sz w:val="24"/>
          <w:szCs w:val="24"/>
        </w:rPr>
        <w:t xml:space="preserve">. </w:t>
      </w:r>
      <w:r w:rsidR="00525101" w:rsidRPr="00525101">
        <w:rPr>
          <w:rFonts w:ascii="Times New Roman" w:hAnsi="Times New Roman" w:cs="Times New Roman"/>
          <w:sz w:val="24"/>
          <w:szCs w:val="24"/>
          <w:lang w:val="en-GB"/>
        </w:rPr>
        <w:t>The test of reasonable prospects of success on appeal is lower than that which is applied in deciding whether the appeal ought to succeed or not.</w:t>
      </w:r>
      <w:r w:rsidR="00AB4117">
        <w:rPr>
          <w:rFonts w:ascii="Times New Roman" w:hAnsi="Times New Roman" w:cs="Times New Roman"/>
          <w:sz w:val="24"/>
          <w:szCs w:val="24"/>
          <w:lang w:val="en-GB"/>
        </w:rPr>
        <w:t xml:space="preserve">  </w:t>
      </w:r>
      <w:r w:rsidR="00525101" w:rsidRPr="00525101">
        <w:rPr>
          <w:rFonts w:ascii="Times New Roman" w:hAnsi="Times New Roman" w:cs="Times New Roman"/>
          <w:sz w:val="24"/>
          <w:szCs w:val="24"/>
          <w:lang w:val="en-GB"/>
        </w:rPr>
        <w:t xml:space="preserve">See: </w:t>
      </w:r>
      <w:r w:rsidR="00525101" w:rsidRPr="00525101">
        <w:rPr>
          <w:rFonts w:ascii="Times New Roman" w:hAnsi="Times New Roman" w:cs="Times New Roman"/>
          <w:i/>
          <w:sz w:val="24"/>
          <w:szCs w:val="24"/>
          <w:lang w:val="en-GB"/>
        </w:rPr>
        <w:t xml:space="preserve">S v N </w:t>
      </w:r>
      <w:r w:rsidR="00525101" w:rsidRPr="00525101">
        <w:rPr>
          <w:rFonts w:ascii="Times New Roman" w:hAnsi="Times New Roman" w:cs="Times New Roman"/>
          <w:sz w:val="24"/>
          <w:szCs w:val="24"/>
          <w:lang w:val="en-GB"/>
        </w:rPr>
        <w:t>1991 (2) SACR 10 (A) at 13 B - C.</w:t>
      </w:r>
      <w:r w:rsidR="0056300F" w:rsidRPr="00525101">
        <w:rPr>
          <w:rFonts w:ascii="Times New Roman" w:hAnsi="Times New Roman" w:cs="Times New Roman"/>
          <w:sz w:val="24"/>
          <w:szCs w:val="24"/>
        </w:rPr>
        <w:t xml:space="preserve">This test is expressed in </w:t>
      </w:r>
      <w:r w:rsidR="0056300F" w:rsidRPr="00525101">
        <w:rPr>
          <w:rFonts w:ascii="Times New Roman" w:hAnsi="Times New Roman" w:cs="Times New Roman"/>
          <w:i/>
          <w:iCs/>
          <w:sz w:val="24"/>
          <w:szCs w:val="24"/>
        </w:rPr>
        <w:t xml:space="preserve">S v Smith </w:t>
      </w:r>
      <w:r w:rsidR="0056300F" w:rsidRPr="00525101">
        <w:rPr>
          <w:rFonts w:ascii="Times New Roman" w:hAnsi="Times New Roman" w:cs="Times New Roman"/>
          <w:sz w:val="24"/>
          <w:szCs w:val="24"/>
        </w:rPr>
        <w:t xml:space="preserve">2021 (1) SACR 567 (SCA) as follows at </w:t>
      </w:r>
      <w:proofErr w:type="spellStart"/>
      <w:r w:rsidR="0056300F" w:rsidRPr="00525101">
        <w:rPr>
          <w:rFonts w:ascii="Times New Roman" w:hAnsi="Times New Roman" w:cs="Times New Roman"/>
          <w:sz w:val="24"/>
          <w:szCs w:val="24"/>
        </w:rPr>
        <w:t>para</w:t>
      </w:r>
      <w:proofErr w:type="spellEnd"/>
      <w:r w:rsidR="0056300F" w:rsidRPr="00525101">
        <w:rPr>
          <w:rFonts w:ascii="Times New Roman" w:hAnsi="Times New Roman" w:cs="Times New Roman"/>
          <w:sz w:val="24"/>
          <w:szCs w:val="24"/>
        </w:rPr>
        <w:t xml:space="preserve"> [7]: </w:t>
      </w:r>
    </w:p>
    <w:p w:rsidR="00BF7600" w:rsidRPr="00FB7564" w:rsidRDefault="0056300F" w:rsidP="009969B3">
      <w:pPr>
        <w:autoSpaceDE w:val="0"/>
        <w:autoSpaceDN w:val="0"/>
        <w:adjustRightInd w:val="0"/>
        <w:spacing w:after="0" w:line="276" w:lineRule="auto"/>
        <w:ind w:left="720"/>
        <w:jc w:val="both"/>
        <w:rPr>
          <w:rFonts w:ascii="Times New Roman" w:hAnsi="Times New Roman" w:cs="Times New Roman"/>
          <w:sz w:val="24"/>
          <w:szCs w:val="24"/>
        </w:rPr>
      </w:pPr>
      <w:r w:rsidRPr="00FB7564">
        <w:rPr>
          <w:rFonts w:ascii="Times New Roman" w:hAnsi="Times New Roman" w:cs="Times New Roman"/>
          <w:sz w:val="24"/>
          <w:szCs w:val="24"/>
        </w:rPr>
        <w:t xml:space="preserve">What the test of reasonable prospects of success postulates is a dispassionate decision, </w:t>
      </w:r>
      <w:r w:rsidR="00AB4117">
        <w:rPr>
          <w:rFonts w:ascii="Times New Roman" w:hAnsi="Times New Roman" w:cs="Times New Roman"/>
          <w:sz w:val="24"/>
          <w:szCs w:val="24"/>
        </w:rPr>
        <w:t xml:space="preserve">based on the facts and the </w:t>
      </w:r>
      <w:proofErr w:type="gramStart"/>
      <w:r w:rsidR="00AB4117">
        <w:rPr>
          <w:rFonts w:ascii="Times New Roman" w:hAnsi="Times New Roman" w:cs="Times New Roman"/>
          <w:sz w:val="24"/>
          <w:szCs w:val="24"/>
        </w:rPr>
        <w:t xml:space="preserve">law, </w:t>
      </w:r>
      <w:r w:rsidRPr="00FB7564">
        <w:rPr>
          <w:rFonts w:ascii="Times New Roman" w:hAnsi="Times New Roman" w:cs="Times New Roman"/>
          <w:sz w:val="24"/>
          <w:szCs w:val="24"/>
        </w:rPr>
        <w:t>that</w:t>
      </w:r>
      <w:proofErr w:type="gramEnd"/>
      <w:r w:rsidRPr="00FB7564">
        <w:rPr>
          <w:rFonts w:ascii="Times New Roman" w:hAnsi="Times New Roman" w:cs="Times New Roman"/>
          <w:sz w:val="24"/>
          <w:szCs w:val="24"/>
        </w:rPr>
        <w:t xml:space="preserve"> a court of appeal could reasonably arrive at a conclusion different to that of the trial court. In order to succeed, therefore, the appellant must convince this court in proper grounds that he has prospects of success on appeal and that those prospects are not remote, but have a rea</w:t>
      </w:r>
      <w:r w:rsidR="00FB7564" w:rsidRPr="00FB7564">
        <w:rPr>
          <w:rFonts w:ascii="Times New Roman" w:hAnsi="Times New Roman" w:cs="Times New Roman"/>
          <w:sz w:val="24"/>
          <w:szCs w:val="24"/>
        </w:rPr>
        <w:t>listic chance of succeeding. Mor</w:t>
      </w:r>
      <w:r w:rsidRPr="00FB7564">
        <w:rPr>
          <w:rFonts w:ascii="Times New Roman" w:hAnsi="Times New Roman" w:cs="Times New Roman"/>
          <w:sz w:val="24"/>
          <w:szCs w:val="24"/>
        </w:rPr>
        <w:t>e is required to be established than that there is a mere possibility of success, that the case is arguable on appeal or that the case cannot be categorised as hopeless. There must, in other words, be a sound, rational basis for the conclusion that there are prospects of success on appeal.</w:t>
      </w:r>
    </w:p>
    <w:p w:rsidR="0056300F" w:rsidRPr="00FB7564" w:rsidRDefault="0056300F" w:rsidP="009969B3">
      <w:pPr>
        <w:autoSpaceDE w:val="0"/>
        <w:autoSpaceDN w:val="0"/>
        <w:adjustRightInd w:val="0"/>
        <w:spacing w:after="0" w:line="276" w:lineRule="auto"/>
        <w:ind w:firstLine="720"/>
        <w:jc w:val="both"/>
        <w:rPr>
          <w:rFonts w:ascii="Times New Roman" w:hAnsi="Times New Roman" w:cs="Times New Roman"/>
          <w:sz w:val="24"/>
          <w:szCs w:val="24"/>
        </w:rPr>
      </w:pPr>
    </w:p>
    <w:p w:rsidR="007D302F" w:rsidRDefault="0056300F" w:rsidP="009969B3">
      <w:pPr>
        <w:autoSpaceDE w:val="0"/>
        <w:autoSpaceDN w:val="0"/>
        <w:adjustRightInd w:val="0"/>
        <w:spacing w:after="0" w:line="360" w:lineRule="auto"/>
        <w:ind w:firstLine="720"/>
        <w:jc w:val="both"/>
        <w:rPr>
          <w:rFonts w:ascii="Times New Roman" w:hAnsi="Times New Roman" w:cs="Times New Roman"/>
          <w:sz w:val="24"/>
          <w:szCs w:val="24"/>
        </w:rPr>
      </w:pPr>
      <w:r w:rsidRPr="007D302F">
        <w:rPr>
          <w:rFonts w:ascii="Times New Roman" w:hAnsi="Times New Roman" w:cs="Times New Roman"/>
          <w:sz w:val="24"/>
          <w:szCs w:val="24"/>
        </w:rPr>
        <w:t>The high wat</w:t>
      </w:r>
      <w:r w:rsidR="00FB7564" w:rsidRPr="007D302F">
        <w:rPr>
          <w:rFonts w:ascii="Times New Roman" w:hAnsi="Times New Roman" w:cs="Times New Roman"/>
          <w:sz w:val="24"/>
          <w:szCs w:val="24"/>
        </w:rPr>
        <w:t>er mark of this applica</w:t>
      </w:r>
      <w:r w:rsidR="007D302F">
        <w:rPr>
          <w:rFonts w:ascii="Times New Roman" w:hAnsi="Times New Roman" w:cs="Times New Roman"/>
          <w:sz w:val="24"/>
          <w:szCs w:val="24"/>
        </w:rPr>
        <w:t>tion</w:t>
      </w:r>
      <w:r w:rsidR="00FB7564" w:rsidRPr="007D302F">
        <w:rPr>
          <w:rFonts w:ascii="Times New Roman" w:hAnsi="Times New Roman" w:cs="Times New Roman"/>
          <w:sz w:val="24"/>
          <w:szCs w:val="24"/>
        </w:rPr>
        <w:t xml:space="preserve">, which is </w:t>
      </w:r>
      <w:r w:rsidR="00D45EA0">
        <w:rPr>
          <w:rFonts w:ascii="Times New Roman" w:hAnsi="Times New Roman" w:cs="Times New Roman"/>
          <w:sz w:val="24"/>
          <w:szCs w:val="24"/>
        </w:rPr>
        <w:t xml:space="preserve">in </w:t>
      </w:r>
      <w:r w:rsidR="00FB7564" w:rsidRPr="007D302F">
        <w:rPr>
          <w:rFonts w:ascii="Times New Roman" w:hAnsi="Times New Roman" w:cs="Times New Roman"/>
          <w:sz w:val="24"/>
          <w:szCs w:val="24"/>
        </w:rPr>
        <w:t xml:space="preserve">essence an application for </w:t>
      </w:r>
      <w:proofErr w:type="spellStart"/>
      <w:r w:rsidR="00FB7564" w:rsidRPr="007D302F">
        <w:rPr>
          <w:rFonts w:ascii="Times New Roman" w:hAnsi="Times New Roman" w:cs="Times New Roman"/>
          <w:sz w:val="24"/>
          <w:szCs w:val="24"/>
        </w:rPr>
        <w:t>condonation</w:t>
      </w:r>
      <w:proofErr w:type="spellEnd"/>
      <w:r w:rsidR="00FB7564" w:rsidRPr="007D302F">
        <w:rPr>
          <w:rFonts w:ascii="Times New Roman" w:hAnsi="Times New Roman" w:cs="Times New Roman"/>
          <w:sz w:val="24"/>
          <w:szCs w:val="24"/>
        </w:rPr>
        <w:t xml:space="preserve"> for the late application for leave to appeal, </w:t>
      </w:r>
      <w:r w:rsidRPr="007D302F">
        <w:rPr>
          <w:rFonts w:ascii="Times New Roman" w:hAnsi="Times New Roman" w:cs="Times New Roman"/>
          <w:sz w:val="24"/>
          <w:szCs w:val="24"/>
        </w:rPr>
        <w:t xml:space="preserve">is the criticism of the </w:t>
      </w:r>
      <w:r w:rsidR="007D302F" w:rsidRPr="007D302F">
        <w:rPr>
          <w:rFonts w:ascii="Times New Roman" w:hAnsi="Times New Roman" w:cs="Times New Roman"/>
          <w:sz w:val="24"/>
          <w:szCs w:val="24"/>
        </w:rPr>
        <w:t>factual findings of this court. I</w:t>
      </w:r>
      <w:r w:rsidRPr="007D302F">
        <w:rPr>
          <w:rFonts w:ascii="Times New Roman" w:hAnsi="Times New Roman" w:cs="Times New Roman"/>
          <w:sz w:val="24"/>
          <w:szCs w:val="24"/>
        </w:rPr>
        <w:t>t being contended that the version of the applicant ought to have been regar</w:t>
      </w:r>
      <w:r w:rsidR="007D302F" w:rsidRPr="007D302F">
        <w:rPr>
          <w:rFonts w:ascii="Times New Roman" w:hAnsi="Times New Roman" w:cs="Times New Roman"/>
          <w:sz w:val="24"/>
          <w:szCs w:val="24"/>
        </w:rPr>
        <w:t>d</w:t>
      </w:r>
      <w:r w:rsidR="007D302F">
        <w:rPr>
          <w:rFonts w:ascii="Times New Roman" w:hAnsi="Times New Roman" w:cs="Times New Roman"/>
          <w:sz w:val="24"/>
          <w:szCs w:val="24"/>
        </w:rPr>
        <w:t xml:space="preserve">ed as reasonably possibly true. </w:t>
      </w:r>
      <w:proofErr w:type="gramStart"/>
      <w:r w:rsidR="007D302F">
        <w:rPr>
          <w:rFonts w:ascii="Times New Roman" w:hAnsi="Times New Roman" w:cs="Times New Roman"/>
          <w:sz w:val="24"/>
          <w:szCs w:val="24"/>
        </w:rPr>
        <w:t>T</w:t>
      </w:r>
      <w:r w:rsidR="007D302F" w:rsidRPr="007D302F">
        <w:rPr>
          <w:rFonts w:ascii="Times New Roman" w:hAnsi="Times New Roman" w:cs="Times New Roman"/>
          <w:sz w:val="24"/>
          <w:szCs w:val="24"/>
        </w:rPr>
        <w:t xml:space="preserve">hat the evidence of Edith </w:t>
      </w:r>
      <w:proofErr w:type="spellStart"/>
      <w:r w:rsidR="007D302F" w:rsidRPr="007D302F">
        <w:rPr>
          <w:rFonts w:ascii="Times New Roman" w:hAnsi="Times New Roman" w:cs="Times New Roman"/>
          <w:sz w:val="24"/>
          <w:szCs w:val="24"/>
        </w:rPr>
        <w:t>Sibanda</w:t>
      </w:r>
      <w:proofErr w:type="spellEnd"/>
      <w:r w:rsidR="007D302F" w:rsidRPr="007D302F">
        <w:rPr>
          <w:rFonts w:ascii="Times New Roman" w:hAnsi="Times New Roman" w:cs="Times New Roman"/>
          <w:sz w:val="24"/>
          <w:szCs w:val="24"/>
        </w:rPr>
        <w:t xml:space="preserve"> and Jacob </w:t>
      </w:r>
      <w:proofErr w:type="spellStart"/>
      <w:r w:rsidR="007D302F">
        <w:rPr>
          <w:rFonts w:ascii="Times New Roman" w:hAnsi="Times New Roman" w:cs="Times New Roman"/>
          <w:sz w:val="24"/>
          <w:szCs w:val="24"/>
        </w:rPr>
        <w:t>Mwanga</w:t>
      </w:r>
      <w:proofErr w:type="spellEnd"/>
      <w:r w:rsidR="007D302F">
        <w:rPr>
          <w:rFonts w:ascii="Times New Roman" w:hAnsi="Times New Roman" w:cs="Times New Roman"/>
          <w:sz w:val="24"/>
          <w:szCs w:val="24"/>
        </w:rPr>
        <w:t xml:space="preserve"> contained contradictions, which can have a bearing on their credibility if analysed by a different court.</w:t>
      </w:r>
      <w:proofErr w:type="gramEnd"/>
      <w:r w:rsidR="007D302F">
        <w:rPr>
          <w:rFonts w:ascii="Times New Roman" w:hAnsi="Times New Roman" w:cs="Times New Roman"/>
          <w:sz w:val="24"/>
          <w:szCs w:val="24"/>
        </w:rPr>
        <w:t xml:space="preserve"> That the evidence of Dr </w:t>
      </w:r>
      <w:proofErr w:type="spellStart"/>
      <w:r w:rsidR="007D302F">
        <w:rPr>
          <w:rFonts w:ascii="Times New Roman" w:hAnsi="Times New Roman" w:cs="Times New Roman"/>
          <w:sz w:val="24"/>
          <w:szCs w:val="24"/>
        </w:rPr>
        <w:t>Jekenya</w:t>
      </w:r>
      <w:proofErr w:type="spellEnd"/>
      <w:r w:rsidR="007D302F">
        <w:rPr>
          <w:rFonts w:ascii="Times New Roman" w:hAnsi="Times New Roman" w:cs="Times New Roman"/>
          <w:sz w:val="24"/>
          <w:szCs w:val="24"/>
        </w:rPr>
        <w:t xml:space="preserve"> was challenged by the applicant, who led evidence from an expert witness, who is more senior and more qualified than the former. </w:t>
      </w:r>
      <w:r w:rsidR="0046639E">
        <w:rPr>
          <w:rFonts w:ascii="Times New Roman" w:hAnsi="Times New Roman" w:cs="Times New Roman"/>
          <w:sz w:val="24"/>
          <w:szCs w:val="24"/>
        </w:rPr>
        <w:t xml:space="preserve">That the court anchored the conviction on circumstantial evidence, and further made speculative findings.  </w:t>
      </w:r>
    </w:p>
    <w:p w:rsidR="007D302F" w:rsidRDefault="007D302F" w:rsidP="009969B3">
      <w:pPr>
        <w:autoSpaceDE w:val="0"/>
        <w:autoSpaceDN w:val="0"/>
        <w:adjustRightInd w:val="0"/>
        <w:spacing w:after="0" w:line="360" w:lineRule="auto"/>
        <w:ind w:firstLine="720"/>
        <w:jc w:val="both"/>
        <w:rPr>
          <w:rFonts w:ascii="Times New Roman" w:hAnsi="Times New Roman" w:cs="Times New Roman"/>
          <w:sz w:val="24"/>
          <w:szCs w:val="24"/>
        </w:rPr>
      </w:pPr>
    </w:p>
    <w:p w:rsidR="00B13C22" w:rsidRDefault="0046639E" w:rsidP="009969B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not persuaded by these</w:t>
      </w:r>
      <w:r w:rsidR="0056300F" w:rsidRPr="007D302F">
        <w:rPr>
          <w:rFonts w:ascii="Times New Roman" w:hAnsi="Times New Roman" w:cs="Times New Roman"/>
          <w:sz w:val="24"/>
          <w:szCs w:val="24"/>
        </w:rPr>
        <w:t xml:space="preserve"> contention</w:t>
      </w:r>
      <w:r w:rsidR="006C6993">
        <w:rPr>
          <w:rFonts w:ascii="Times New Roman" w:hAnsi="Times New Roman" w:cs="Times New Roman"/>
          <w:sz w:val="24"/>
          <w:szCs w:val="24"/>
        </w:rPr>
        <w:t>s</w:t>
      </w:r>
      <w:r w:rsidR="0056300F" w:rsidRPr="007D302F">
        <w:rPr>
          <w:rFonts w:ascii="Times New Roman" w:hAnsi="Times New Roman" w:cs="Times New Roman"/>
          <w:sz w:val="24"/>
          <w:szCs w:val="24"/>
        </w:rPr>
        <w:t>. I re-it</w:t>
      </w:r>
      <w:r>
        <w:rPr>
          <w:rFonts w:ascii="Times New Roman" w:hAnsi="Times New Roman" w:cs="Times New Roman"/>
          <w:sz w:val="24"/>
          <w:szCs w:val="24"/>
        </w:rPr>
        <w:t xml:space="preserve">erate the factual findings made in the </w:t>
      </w:r>
      <w:r w:rsidR="0031735F">
        <w:rPr>
          <w:rFonts w:ascii="Times New Roman" w:hAnsi="Times New Roman" w:cs="Times New Roman"/>
          <w:sz w:val="24"/>
          <w:szCs w:val="24"/>
        </w:rPr>
        <w:t xml:space="preserve">main </w:t>
      </w:r>
      <w:r w:rsidR="0056300F" w:rsidRPr="007D302F">
        <w:rPr>
          <w:rFonts w:ascii="Times New Roman" w:hAnsi="Times New Roman" w:cs="Times New Roman"/>
          <w:sz w:val="24"/>
          <w:szCs w:val="24"/>
        </w:rPr>
        <w:t>judgm</w:t>
      </w:r>
      <w:r>
        <w:rPr>
          <w:rFonts w:ascii="Times New Roman" w:hAnsi="Times New Roman" w:cs="Times New Roman"/>
          <w:sz w:val="24"/>
          <w:szCs w:val="24"/>
        </w:rPr>
        <w:t xml:space="preserve">ent; </w:t>
      </w:r>
      <w:r w:rsidR="00B4117E">
        <w:rPr>
          <w:rFonts w:ascii="Times New Roman" w:hAnsi="Times New Roman" w:cs="Times New Roman"/>
          <w:sz w:val="24"/>
          <w:szCs w:val="24"/>
        </w:rPr>
        <w:t>that when the applicant caught up with the deceased on the 22</w:t>
      </w:r>
      <w:r w:rsidR="00B4117E" w:rsidRPr="00B4117E">
        <w:rPr>
          <w:rFonts w:ascii="Times New Roman" w:hAnsi="Times New Roman" w:cs="Times New Roman"/>
          <w:sz w:val="24"/>
          <w:szCs w:val="24"/>
          <w:vertAlign w:val="superscript"/>
        </w:rPr>
        <w:t>nd</w:t>
      </w:r>
      <w:r w:rsidR="00B4117E">
        <w:rPr>
          <w:rFonts w:ascii="Times New Roman" w:hAnsi="Times New Roman" w:cs="Times New Roman"/>
          <w:sz w:val="24"/>
          <w:szCs w:val="24"/>
        </w:rPr>
        <w:t xml:space="preserve"> May 2019, deceased had no injuries. He disappeared with the deceased, according to the time-line, from approximately 8 p.m. and returned with her at approximately 11: 40 pm. a perio</w:t>
      </w:r>
      <w:r w:rsidR="00D45EA0">
        <w:rPr>
          <w:rFonts w:ascii="Times New Roman" w:hAnsi="Times New Roman" w:cs="Times New Roman"/>
          <w:sz w:val="24"/>
          <w:szCs w:val="24"/>
        </w:rPr>
        <w:t xml:space="preserve">d of approximately three and a </w:t>
      </w:r>
      <w:r w:rsidR="00B4117E">
        <w:rPr>
          <w:rFonts w:ascii="Times New Roman" w:hAnsi="Times New Roman" w:cs="Times New Roman"/>
          <w:sz w:val="24"/>
          <w:szCs w:val="24"/>
        </w:rPr>
        <w:t xml:space="preserve">half hours. </w:t>
      </w:r>
      <w:r w:rsidR="00C91D0A">
        <w:rPr>
          <w:rFonts w:ascii="Times New Roman" w:hAnsi="Times New Roman" w:cs="Times New Roman"/>
          <w:sz w:val="24"/>
          <w:szCs w:val="24"/>
        </w:rPr>
        <w:t xml:space="preserve">When he emerged with the deceased, she was now stark naked and unconscious. She could not talk. She was only groaning. </w:t>
      </w:r>
      <w:r w:rsidR="006C6993">
        <w:rPr>
          <w:rFonts w:ascii="Times New Roman" w:hAnsi="Times New Roman" w:cs="Times New Roman"/>
          <w:sz w:val="24"/>
          <w:szCs w:val="24"/>
        </w:rPr>
        <w:t xml:space="preserve">She remained in this comatose position until she died on the 25 May 2019. </w:t>
      </w:r>
      <w:r w:rsidR="00B44028" w:rsidRPr="006C6993">
        <w:rPr>
          <w:rFonts w:ascii="Times New Roman" w:hAnsi="Times New Roman" w:cs="Times New Roman"/>
          <w:sz w:val="24"/>
          <w:szCs w:val="24"/>
        </w:rPr>
        <w:t>Applicant had someone stark naked in the back seat of his car.</w:t>
      </w:r>
      <w:r w:rsidR="00D45EA0">
        <w:rPr>
          <w:rFonts w:ascii="Times New Roman" w:hAnsi="Times New Roman" w:cs="Times New Roman"/>
          <w:sz w:val="24"/>
          <w:szCs w:val="24"/>
        </w:rPr>
        <w:t xml:space="preserve"> </w:t>
      </w:r>
      <w:proofErr w:type="gramStart"/>
      <w:r w:rsidR="00D45EA0">
        <w:rPr>
          <w:rFonts w:ascii="Times New Roman" w:hAnsi="Times New Roman" w:cs="Times New Roman"/>
          <w:sz w:val="24"/>
          <w:szCs w:val="24"/>
        </w:rPr>
        <w:t>A person who suffered serious</w:t>
      </w:r>
      <w:r w:rsidR="00B44028" w:rsidRPr="006C6993">
        <w:rPr>
          <w:rFonts w:ascii="Times New Roman" w:hAnsi="Times New Roman" w:cs="Times New Roman"/>
          <w:sz w:val="24"/>
          <w:szCs w:val="24"/>
        </w:rPr>
        <w:t xml:space="preserve"> injuries.</w:t>
      </w:r>
      <w:proofErr w:type="gramEnd"/>
      <w:r w:rsidR="00B44028" w:rsidRPr="006C6993">
        <w:rPr>
          <w:rFonts w:ascii="Times New Roman" w:hAnsi="Times New Roman" w:cs="Times New Roman"/>
          <w:sz w:val="24"/>
          <w:szCs w:val="24"/>
        </w:rPr>
        <w:t xml:space="preserve"> Does not tell Edith </w:t>
      </w:r>
      <w:proofErr w:type="spellStart"/>
      <w:r w:rsidR="00B44028" w:rsidRPr="006C6993">
        <w:rPr>
          <w:rFonts w:ascii="Times New Roman" w:hAnsi="Times New Roman" w:cs="Times New Roman"/>
          <w:sz w:val="24"/>
          <w:szCs w:val="24"/>
        </w:rPr>
        <w:t>Sibanda</w:t>
      </w:r>
      <w:proofErr w:type="spellEnd"/>
      <w:r w:rsidR="00B44028" w:rsidRPr="006C6993">
        <w:rPr>
          <w:rFonts w:ascii="Times New Roman" w:hAnsi="Times New Roman" w:cs="Times New Roman"/>
          <w:sz w:val="24"/>
          <w:szCs w:val="24"/>
        </w:rPr>
        <w:t>, he pretends everything is normal until Edith hears groans from t</w:t>
      </w:r>
      <w:r w:rsidR="00D45EA0">
        <w:rPr>
          <w:rFonts w:ascii="Times New Roman" w:hAnsi="Times New Roman" w:cs="Times New Roman"/>
          <w:sz w:val="24"/>
          <w:szCs w:val="24"/>
        </w:rPr>
        <w:t xml:space="preserve">he back seat. He decided to </w:t>
      </w:r>
      <w:r w:rsidR="00D45EA0">
        <w:rPr>
          <w:rFonts w:ascii="Times New Roman" w:hAnsi="Times New Roman" w:cs="Times New Roman"/>
          <w:sz w:val="24"/>
          <w:szCs w:val="24"/>
        </w:rPr>
        <w:lastRenderedPageBreak/>
        <w:t>keep</w:t>
      </w:r>
      <w:r w:rsidR="00B44028" w:rsidRPr="006C6993">
        <w:rPr>
          <w:rFonts w:ascii="Times New Roman" w:hAnsi="Times New Roman" w:cs="Times New Roman"/>
          <w:sz w:val="24"/>
          <w:szCs w:val="24"/>
        </w:rPr>
        <w:t xml:space="preserve"> a very injured person, first </w:t>
      </w:r>
      <w:r w:rsidR="00D45EA0">
        <w:rPr>
          <w:rFonts w:ascii="Times New Roman" w:hAnsi="Times New Roman" w:cs="Times New Roman"/>
          <w:sz w:val="24"/>
          <w:szCs w:val="24"/>
        </w:rPr>
        <w:t xml:space="preserve">in the car, and second </w:t>
      </w:r>
      <w:r w:rsidR="00B44028" w:rsidRPr="006C6993">
        <w:rPr>
          <w:rFonts w:ascii="Times New Roman" w:hAnsi="Times New Roman" w:cs="Times New Roman"/>
          <w:sz w:val="24"/>
          <w:szCs w:val="24"/>
        </w:rPr>
        <w:t xml:space="preserve">at home the whole night. On the morning of </w:t>
      </w:r>
      <w:r w:rsidR="00AB4117">
        <w:rPr>
          <w:rFonts w:ascii="Times New Roman" w:hAnsi="Times New Roman" w:cs="Times New Roman"/>
          <w:sz w:val="24"/>
          <w:szCs w:val="24"/>
        </w:rPr>
        <w:t xml:space="preserve">23 </w:t>
      </w:r>
      <w:r w:rsidR="00B44028" w:rsidRPr="006C6993">
        <w:rPr>
          <w:rFonts w:ascii="Times New Roman" w:hAnsi="Times New Roman" w:cs="Times New Roman"/>
          <w:sz w:val="24"/>
          <w:szCs w:val="24"/>
        </w:rPr>
        <w:t xml:space="preserve">May 2019, he left the deceased home and went to </w:t>
      </w:r>
      <w:proofErr w:type="spellStart"/>
      <w:r w:rsidR="00B44028" w:rsidRPr="006C6993">
        <w:rPr>
          <w:rFonts w:ascii="Times New Roman" w:hAnsi="Times New Roman" w:cs="Times New Roman"/>
          <w:sz w:val="24"/>
          <w:szCs w:val="24"/>
        </w:rPr>
        <w:t>Marondera</w:t>
      </w:r>
      <w:proofErr w:type="spellEnd"/>
      <w:r w:rsidR="00B44028" w:rsidRPr="006C6993">
        <w:rPr>
          <w:rFonts w:ascii="Times New Roman" w:hAnsi="Times New Roman" w:cs="Times New Roman"/>
          <w:sz w:val="24"/>
          <w:szCs w:val="24"/>
        </w:rPr>
        <w:t xml:space="preserve"> Polyclinic, to look for a private doctor. Deceased was only taken to </w:t>
      </w:r>
      <w:proofErr w:type="spellStart"/>
      <w:r w:rsidR="00B44028" w:rsidRPr="006C6993">
        <w:rPr>
          <w:rFonts w:ascii="Times New Roman" w:hAnsi="Times New Roman" w:cs="Times New Roman"/>
          <w:sz w:val="24"/>
          <w:szCs w:val="24"/>
        </w:rPr>
        <w:t>Mpilo</w:t>
      </w:r>
      <w:proofErr w:type="spellEnd"/>
      <w:r w:rsidR="00B44028" w:rsidRPr="006C6993">
        <w:rPr>
          <w:rFonts w:ascii="Times New Roman" w:hAnsi="Times New Roman" w:cs="Times New Roman"/>
          <w:sz w:val="24"/>
          <w:szCs w:val="24"/>
        </w:rPr>
        <w:t xml:space="preserve"> Hospital, as a result of the intervention of the landlady. </w:t>
      </w:r>
      <w:r w:rsidR="00D45EA0">
        <w:rPr>
          <w:rFonts w:ascii="Times New Roman" w:hAnsi="Times New Roman" w:cs="Times New Roman"/>
          <w:sz w:val="24"/>
          <w:szCs w:val="24"/>
        </w:rPr>
        <w:t xml:space="preserve"> </w:t>
      </w:r>
      <w:proofErr w:type="gramStart"/>
      <w:r w:rsidR="00B44028" w:rsidRPr="006C6993">
        <w:rPr>
          <w:rFonts w:ascii="Times New Roman" w:hAnsi="Times New Roman" w:cs="Times New Roman"/>
          <w:sz w:val="24"/>
          <w:szCs w:val="24"/>
        </w:rPr>
        <w:t>Got a fake police report to avoid an arrest.</w:t>
      </w:r>
      <w:proofErr w:type="gramEnd"/>
    </w:p>
    <w:p w:rsidR="00B13C22" w:rsidRDefault="00B13C22" w:rsidP="009969B3">
      <w:pPr>
        <w:autoSpaceDE w:val="0"/>
        <w:autoSpaceDN w:val="0"/>
        <w:adjustRightInd w:val="0"/>
        <w:spacing w:after="0" w:line="360" w:lineRule="auto"/>
        <w:jc w:val="both"/>
        <w:rPr>
          <w:rFonts w:ascii="Times New Roman" w:hAnsi="Times New Roman" w:cs="Times New Roman"/>
          <w:sz w:val="24"/>
          <w:szCs w:val="24"/>
        </w:rPr>
      </w:pPr>
    </w:p>
    <w:p w:rsidR="00F36695" w:rsidRPr="009F5B77" w:rsidRDefault="00C91D0A" w:rsidP="009969B3">
      <w:pPr>
        <w:autoSpaceDE w:val="0"/>
        <w:autoSpaceDN w:val="0"/>
        <w:adjustRightInd w:val="0"/>
        <w:spacing w:after="0" w:line="360" w:lineRule="auto"/>
        <w:ind w:firstLine="720"/>
        <w:jc w:val="both"/>
        <w:rPr>
          <w:rFonts w:ascii="Times New Roman" w:hAnsi="Times New Roman" w:cs="Times New Roman"/>
          <w:sz w:val="24"/>
          <w:szCs w:val="24"/>
        </w:rPr>
      </w:pPr>
      <w:r w:rsidRPr="00B13C22">
        <w:rPr>
          <w:rFonts w:ascii="Times New Roman" w:hAnsi="Times New Roman" w:cs="Times New Roman"/>
          <w:sz w:val="24"/>
          <w:szCs w:val="24"/>
        </w:rPr>
        <w:t>This court had a post m</w:t>
      </w:r>
      <w:r w:rsidR="00153D7E">
        <w:rPr>
          <w:rFonts w:ascii="Times New Roman" w:hAnsi="Times New Roman" w:cs="Times New Roman"/>
          <w:sz w:val="24"/>
          <w:szCs w:val="24"/>
        </w:rPr>
        <w:t>ortem report before it. The report</w:t>
      </w:r>
      <w:r w:rsidRPr="00B13C22">
        <w:rPr>
          <w:rFonts w:ascii="Times New Roman" w:hAnsi="Times New Roman" w:cs="Times New Roman"/>
          <w:sz w:val="24"/>
          <w:szCs w:val="24"/>
        </w:rPr>
        <w:t xml:space="preserve"> described the external marks of violence observed by the doctor on the body of the deceased.</w:t>
      </w:r>
      <w:r w:rsidR="00D45EA0">
        <w:rPr>
          <w:rFonts w:ascii="Times New Roman" w:hAnsi="Times New Roman" w:cs="Times New Roman"/>
          <w:sz w:val="24"/>
          <w:szCs w:val="24"/>
        </w:rPr>
        <w:t xml:space="preserve">  </w:t>
      </w:r>
      <w:r w:rsidRPr="00B13C22">
        <w:rPr>
          <w:rFonts w:ascii="Times New Roman" w:hAnsi="Times New Roman" w:cs="Times New Roman"/>
          <w:sz w:val="24"/>
          <w:szCs w:val="24"/>
        </w:rPr>
        <w:t>According to the post mortem report the deceased’s body exhi</w:t>
      </w:r>
      <w:r w:rsidR="00B13C22" w:rsidRPr="00B13C22">
        <w:rPr>
          <w:rFonts w:ascii="Times New Roman" w:hAnsi="Times New Roman" w:cs="Times New Roman"/>
          <w:sz w:val="24"/>
          <w:szCs w:val="24"/>
        </w:rPr>
        <w:t xml:space="preserve">bited serious marks of violence, and that </w:t>
      </w:r>
      <w:r w:rsidR="00B13C22">
        <w:rPr>
          <w:rFonts w:ascii="Times New Roman" w:hAnsi="Times New Roman" w:cs="Times New Roman"/>
          <w:sz w:val="24"/>
          <w:szCs w:val="24"/>
        </w:rPr>
        <w:t>severe force was used to inflict such</w:t>
      </w:r>
      <w:r w:rsidRPr="00B13C22">
        <w:rPr>
          <w:rFonts w:ascii="Times New Roman" w:hAnsi="Times New Roman" w:cs="Times New Roman"/>
          <w:sz w:val="24"/>
          <w:szCs w:val="24"/>
        </w:rPr>
        <w:t xml:space="preserve"> multiple injuries.</w:t>
      </w:r>
      <w:r w:rsidR="00B13C22" w:rsidRPr="00B13C22">
        <w:rPr>
          <w:rFonts w:ascii="Times New Roman" w:hAnsi="Times New Roman" w:cs="Times New Roman"/>
          <w:sz w:val="24"/>
          <w:szCs w:val="24"/>
        </w:rPr>
        <w:t xml:space="preserve"> S</w:t>
      </w:r>
      <w:r w:rsidRPr="00B13C22">
        <w:rPr>
          <w:rFonts w:ascii="Times New Roman" w:hAnsi="Times New Roman" w:cs="Times New Roman"/>
          <w:sz w:val="24"/>
          <w:szCs w:val="24"/>
        </w:rPr>
        <w:t>uch injuries, which the doctor described as callous, could not have been caused by the beatings as described by the accused.</w:t>
      </w:r>
      <w:r w:rsidR="00B13C22" w:rsidRPr="00B13C22">
        <w:rPr>
          <w:rFonts w:ascii="Times New Roman" w:hAnsi="Times New Roman" w:cs="Times New Roman"/>
          <w:sz w:val="24"/>
          <w:szCs w:val="24"/>
        </w:rPr>
        <w:t xml:space="preserve"> According to Dr. I </w:t>
      </w:r>
      <w:proofErr w:type="spellStart"/>
      <w:r w:rsidR="00B13C22" w:rsidRPr="00B13C22">
        <w:rPr>
          <w:rFonts w:ascii="Times New Roman" w:hAnsi="Times New Roman" w:cs="Times New Roman"/>
          <w:sz w:val="24"/>
          <w:szCs w:val="24"/>
        </w:rPr>
        <w:t>Jekenya</w:t>
      </w:r>
      <w:proofErr w:type="spellEnd"/>
      <w:r w:rsidR="00B13C22">
        <w:rPr>
          <w:rFonts w:ascii="Times New Roman" w:hAnsi="Times New Roman" w:cs="Times New Roman"/>
          <w:sz w:val="24"/>
          <w:szCs w:val="24"/>
        </w:rPr>
        <w:t xml:space="preserve">, whose evidence the court accepted, </w:t>
      </w:r>
      <w:r w:rsidR="00B13C22" w:rsidRPr="00B13C22">
        <w:rPr>
          <w:rFonts w:ascii="Times New Roman" w:hAnsi="Times New Roman" w:cs="Times New Roman"/>
          <w:sz w:val="24"/>
          <w:szCs w:val="24"/>
        </w:rPr>
        <w:t>the causes of death are intracranial haemorrhages, head and multiple injuries and callous assault. Furthermore, according to the doctor, the head injuries observed on the body of the deceased were consistent with assault, and not jumping f</w:t>
      </w:r>
      <w:r w:rsidR="00B13C22">
        <w:rPr>
          <w:rFonts w:ascii="Times New Roman" w:hAnsi="Times New Roman" w:cs="Times New Roman"/>
          <w:sz w:val="24"/>
          <w:szCs w:val="24"/>
        </w:rPr>
        <w:t>rom a moving motor</w:t>
      </w:r>
      <w:r w:rsidR="00D45EA0">
        <w:rPr>
          <w:rFonts w:ascii="Times New Roman" w:hAnsi="Times New Roman" w:cs="Times New Roman"/>
          <w:sz w:val="24"/>
          <w:szCs w:val="24"/>
        </w:rPr>
        <w:t xml:space="preserve"> vehicle</w:t>
      </w:r>
      <w:r w:rsidR="00B13C22">
        <w:rPr>
          <w:rFonts w:ascii="Times New Roman" w:hAnsi="Times New Roman" w:cs="Times New Roman"/>
          <w:sz w:val="24"/>
          <w:szCs w:val="24"/>
        </w:rPr>
        <w:t xml:space="preserve">. </w:t>
      </w:r>
      <w:r w:rsidR="00B13C22" w:rsidRPr="00B13C22">
        <w:rPr>
          <w:rFonts w:ascii="Times New Roman" w:hAnsi="Times New Roman" w:cs="Times New Roman"/>
          <w:sz w:val="24"/>
          <w:szCs w:val="24"/>
        </w:rPr>
        <w:t xml:space="preserve"> The </w:t>
      </w:r>
      <w:proofErr w:type="gramStart"/>
      <w:r w:rsidR="00B13C22" w:rsidRPr="00B13C22">
        <w:rPr>
          <w:rFonts w:ascii="Times New Roman" w:hAnsi="Times New Roman" w:cs="Times New Roman"/>
          <w:sz w:val="24"/>
          <w:szCs w:val="24"/>
        </w:rPr>
        <w:t>doctor</w:t>
      </w:r>
      <w:proofErr w:type="gramEnd"/>
      <w:r w:rsidR="00B13C22" w:rsidRPr="00B13C22">
        <w:rPr>
          <w:rFonts w:ascii="Times New Roman" w:hAnsi="Times New Roman" w:cs="Times New Roman"/>
          <w:sz w:val="24"/>
          <w:szCs w:val="24"/>
        </w:rPr>
        <w:t xml:space="preserve"> who examined the body of the deceas</w:t>
      </w:r>
      <w:r w:rsidR="00D45EA0">
        <w:rPr>
          <w:rFonts w:ascii="Times New Roman" w:hAnsi="Times New Roman" w:cs="Times New Roman"/>
          <w:sz w:val="24"/>
          <w:szCs w:val="24"/>
        </w:rPr>
        <w:t xml:space="preserve">ed, ruled out or discounted </w:t>
      </w:r>
      <w:r w:rsidR="00B13C22" w:rsidRPr="00B13C22">
        <w:rPr>
          <w:rFonts w:ascii="Times New Roman" w:hAnsi="Times New Roman" w:cs="Times New Roman"/>
          <w:sz w:val="24"/>
          <w:szCs w:val="24"/>
        </w:rPr>
        <w:t>jumping from a moving vehicle. He found that the deceased did not jump from a moving motor car.</w:t>
      </w:r>
      <w:r w:rsidR="00D45EA0">
        <w:rPr>
          <w:rFonts w:ascii="Times New Roman" w:hAnsi="Times New Roman" w:cs="Times New Roman"/>
          <w:sz w:val="24"/>
          <w:szCs w:val="24"/>
        </w:rPr>
        <w:t xml:space="preserve"> </w:t>
      </w:r>
      <w:r w:rsidR="00B44028" w:rsidRPr="00B44028">
        <w:rPr>
          <w:rFonts w:ascii="Times New Roman" w:hAnsi="Times New Roman" w:cs="Times New Roman"/>
          <w:sz w:val="24"/>
          <w:szCs w:val="24"/>
        </w:rPr>
        <w:t xml:space="preserve">What is apparent is that the injuries were too severe. </w:t>
      </w:r>
      <w:proofErr w:type="gramStart"/>
      <w:r w:rsidR="00B44028" w:rsidRPr="00B44028">
        <w:rPr>
          <w:rFonts w:ascii="Times New Roman" w:hAnsi="Times New Roman" w:cs="Times New Roman"/>
          <w:sz w:val="24"/>
          <w:szCs w:val="24"/>
        </w:rPr>
        <w:t xml:space="preserve">Inflicted with severe force as observed by Dr </w:t>
      </w:r>
      <w:proofErr w:type="spellStart"/>
      <w:r w:rsidR="00B44028" w:rsidRPr="00B44028">
        <w:rPr>
          <w:rFonts w:ascii="Times New Roman" w:hAnsi="Times New Roman" w:cs="Times New Roman"/>
          <w:sz w:val="24"/>
          <w:szCs w:val="24"/>
        </w:rPr>
        <w:t>Jekenya</w:t>
      </w:r>
      <w:proofErr w:type="spellEnd"/>
      <w:r w:rsidR="00B44028" w:rsidRPr="00B44028">
        <w:rPr>
          <w:rFonts w:ascii="Times New Roman" w:hAnsi="Times New Roman" w:cs="Times New Roman"/>
          <w:sz w:val="24"/>
          <w:szCs w:val="24"/>
        </w:rPr>
        <w:t>, e.g. multiple bruises, whiplashes and scratches of the head, upper limbs, lower limbs, buttocks, back and chest wall.</w:t>
      </w:r>
      <w:proofErr w:type="gramEnd"/>
      <w:r w:rsidR="00B44028" w:rsidRPr="00B44028">
        <w:rPr>
          <w:rFonts w:ascii="Times New Roman" w:hAnsi="Times New Roman" w:cs="Times New Roman"/>
          <w:sz w:val="24"/>
          <w:szCs w:val="24"/>
        </w:rPr>
        <w:t xml:space="preserve"> These and many more could not have been caused by four mere beatings on the face and five moderate beatings with a belt. These could not have been caused by jumping from a moving vehicle. </w:t>
      </w:r>
      <w:r w:rsidR="00F36695" w:rsidRPr="009F5B77">
        <w:rPr>
          <w:rFonts w:ascii="Times New Roman" w:hAnsi="Times New Roman" w:cs="Times New Roman"/>
          <w:sz w:val="24"/>
          <w:szCs w:val="24"/>
        </w:rPr>
        <w:t>The grounds of attack raised by the applicant do not raise reasonable prospects of success on appeal.</w:t>
      </w:r>
    </w:p>
    <w:p w:rsidR="00F36695" w:rsidRDefault="00F36695" w:rsidP="009969B3">
      <w:pPr>
        <w:autoSpaceDE w:val="0"/>
        <w:autoSpaceDN w:val="0"/>
        <w:adjustRightInd w:val="0"/>
        <w:spacing w:after="0" w:line="360" w:lineRule="auto"/>
        <w:ind w:firstLine="720"/>
        <w:jc w:val="both"/>
        <w:rPr>
          <w:rFonts w:ascii="Times New Roman" w:hAnsi="Times New Roman" w:cs="Times New Roman"/>
          <w:sz w:val="24"/>
          <w:szCs w:val="24"/>
        </w:rPr>
      </w:pPr>
    </w:p>
    <w:p w:rsidR="009C4941" w:rsidRPr="00153D7E" w:rsidRDefault="007D7EF4" w:rsidP="009969B3">
      <w:pPr>
        <w:pStyle w:val="ListParagraph"/>
        <w:spacing w:line="360" w:lineRule="auto"/>
        <w:ind w:left="0" w:firstLine="720"/>
        <w:jc w:val="both"/>
        <w:rPr>
          <w:rFonts w:eastAsiaTheme="minorHAnsi"/>
          <w:color w:val="000000"/>
          <w:lang w:val="en-ZW"/>
        </w:rPr>
      </w:pPr>
      <w:r>
        <w:rPr>
          <w:lang w:val="en-GB"/>
        </w:rPr>
        <w:t>In conclusion</w:t>
      </w:r>
      <w:r w:rsidR="00CA1EE1">
        <w:rPr>
          <w:lang w:val="en-GB"/>
        </w:rPr>
        <w:t>,</w:t>
      </w:r>
      <w:r>
        <w:rPr>
          <w:lang w:val="en-GB"/>
        </w:rPr>
        <w:t xml:space="preserve"> it is submitted that the right to appeal against conviction and sentence is constitutionally guaranteed, and cannot be easily discarded. Applicant who is currently incarcerated ought to be afforded an opportunity to test the correctness of the decision which sent him to prison. Reliance is placed on section 70(5) of the Constitution of Zimbabwe Amendmen</w:t>
      </w:r>
      <w:r w:rsidR="00C852FB">
        <w:rPr>
          <w:lang w:val="en-GB"/>
        </w:rPr>
        <w:t>t (No.20) Act, 2013,</w:t>
      </w:r>
      <w:r w:rsidR="00C852FB" w:rsidRPr="00C852FB">
        <w:rPr>
          <w:lang w:val="en-GB"/>
        </w:rPr>
        <w:t xml:space="preserve"> which says</w:t>
      </w:r>
      <w:r w:rsidR="00C852FB" w:rsidRPr="00C852FB">
        <w:rPr>
          <w:color w:val="000000"/>
        </w:rPr>
        <w:t xml:space="preserve"> any person who has been tried and convicted of an offence has the </w:t>
      </w:r>
      <w:r w:rsidR="0097066C">
        <w:rPr>
          <w:color w:val="000000"/>
        </w:rPr>
        <w:t>right, subject to reasonable re</w:t>
      </w:r>
      <w:r w:rsidR="00C852FB" w:rsidRPr="00C852FB">
        <w:rPr>
          <w:color w:val="000000"/>
        </w:rPr>
        <w:t xml:space="preserve">strictions that may be prescribed by law, to—  </w:t>
      </w:r>
      <w:r w:rsidR="00C852FB" w:rsidRPr="00C852FB">
        <w:rPr>
          <w:rFonts w:eastAsiaTheme="minorHAnsi"/>
          <w:color w:val="000000"/>
          <w:lang w:val="en-ZW"/>
        </w:rPr>
        <w:t>(</w:t>
      </w:r>
      <w:r w:rsidR="00C852FB" w:rsidRPr="00C852FB">
        <w:rPr>
          <w:rFonts w:eastAsiaTheme="minorHAnsi"/>
          <w:i/>
          <w:iCs/>
          <w:color w:val="000000"/>
          <w:lang w:val="en-ZW"/>
        </w:rPr>
        <w:t>b</w:t>
      </w:r>
      <w:r w:rsidR="00C852FB" w:rsidRPr="00C852FB">
        <w:rPr>
          <w:rFonts w:eastAsiaTheme="minorHAnsi"/>
          <w:color w:val="000000"/>
          <w:lang w:val="en-ZW"/>
        </w:rPr>
        <w:t>) appeal to a higher court against the conviction and sentence.</w:t>
      </w:r>
      <w:r w:rsidR="00153D7E" w:rsidRPr="00153D7E">
        <w:rPr>
          <w:bCs/>
          <w:lang w:val="en-GB"/>
        </w:rPr>
        <w:t xml:space="preserve">This point is without merit. </w:t>
      </w:r>
      <w:r w:rsidR="00637386" w:rsidRPr="00FA2F62">
        <w:rPr>
          <w:lang w:val="en-GB"/>
        </w:rPr>
        <w:t xml:space="preserve">Section 70(5) </w:t>
      </w:r>
      <w:r w:rsidR="00172838" w:rsidRPr="00FA2F62">
        <w:rPr>
          <w:lang w:val="en-GB"/>
        </w:rPr>
        <w:t xml:space="preserve">of the Constitution </w:t>
      </w:r>
      <w:r w:rsidR="00637386" w:rsidRPr="00FA2F62">
        <w:rPr>
          <w:lang w:val="en-GB"/>
        </w:rPr>
        <w:t>does</w:t>
      </w:r>
      <w:r w:rsidR="00FA2F62">
        <w:rPr>
          <w:lang w:val="en-GB"/>
        </w:rPr>
        <w:t xml:space="preserve"> not</w:t>
      </w:r>
      <w:r w:rsidR="00172838" w:rsidRPr="00FA2F62">
        <w:rPr>
          <w:lang w:val="en-GB"/>
        </w:rPr>
        <w:t xml:space="preserve"> confer an absolute right of appeal on a convicted person, or </w:t>
      </w:r>
      <w:r w:rsidR="002F2023">
        <w:rPr>
          <w:lang w:val="en-GB"/>
        </w:rPr>
        <w:t xml:space="preserve">an </w:t>
      </w:r>
      <w:r w:rsidR="00172838" w:rsidRPr="00FA2F62">
        <w:rPr>
          <w:lang w:val="en-GB"/>
        </w:rPr>
        <w:t>unlimited constitutional</w:t>
      </w:r>
      <w:r w:rsidR="00FA2F62">
        <w:rPr>
          <w:lang w:val="en-GB"/>
        </w:rPr>
        <w:t xml:space="preserve"> right of appeal on such a person</w:t>
      </w:r>
      <w:r w:rsidR="00172838" w:rsidRPr="00FA2F62">
        <w:rPr>
          <w:lang w:val="en-GB"/>
        </w:rPr>
        <w:t xml:space="preserve">. </w:t>
      </w:r>
      <w:r w:rsidR="00FA2F62" w:rsidRPr="004712DC">
        <w:t>It is a reasonable restriction to impose reasonable time limitation</w:t>
      </w:r>
      <w:r w:rsidR="00FA2F62">
        <w:t>s</w:t>
      </w:r>
      <w:r w:rsidR="00FA2F62" w:rsidRPr="004712DC">
        <w:t xml:space="preserve"> for noting appeals and appl</w:t>
      </w:r>
      <w:r w:rsidR="00FA2F62">
        <w:t>y</w:t>
      </w:r>
      <w:r w:rsidR="00FA2F62" w:rsidRPr="004712DC">
        <w:t xml:space="preserve">ing for </w:t>
      </w:r>
      <w:proofErr w:type="spellStart"/>
      <w:r w:rsidR="00FA2F62" w:rsidRPr="004712DC">
        <w:lastRenderedPageBreak/>
        <w:t>condonation</w:t>
      </w:r>
      <w:proofErr w:type="spellEnd"/>
      <w:r w:rsidR="00FA2F62" w:rsidRPr="004712DC">
        <w:t xml:space="preserve"> of failure to abide </w:t>
      </w:r>
      <w:r w:rsidR="002F2023">
        <w:t xml:space="preserve">with </w:t>
      </w:r>
      <w:r w:rsidR="00FA2F62">
        <w:t xml:space="preserve">the </w:t>
      </w:r>
      <w:r w:rsidR="00FA2F62" w:rsidRPr="004712DC">
        <w:t>time limitation</w:t>
      </w:r>
      <w:r w:rsidR="00FA2F62">
        <w:t>s</w:t>
      </w:r>
      <w:r w:rsidR="00FA2F62" w:rsidRPr="004712DC">
        <w:t>.</w:t>
      </w:r>
      <w:r w:rsidR="009C4941">
        <w:t xml:space="preserve"> See: </w:t>
      </w:r>
      <w:proofErr w:type="spellStart"/>
      <w:r w:rsidR="009C4941" w:rsidRPr="009C4941">
        <w:rPr>
          <w:i/>
        </w:rPr>
        <w:t>Tendai</w:t>
      </w:r>
      <w:proofErr w:type="spellEnd"/>
      <w:r w:rsidR="009C4941" w:rsidRPr="009C4941">
        <w:rPr>
          <w:i/>
        </w:rPr>
        <w:t xml:space="preserve"> Richman </w:t>
      </w:r>
      <w:proofErr w:type="spellStart"/>
      <w:r w:rsidR="009C4941" w:rsidRPr="009C4941">
        <w:rPr>
          <w:i/>
        </w:rPr>
        <w:t>Chigodora</w:t>
      </w:r>
      <w:proofErr w:type="spellEnd"/>
      <w:r w:rsidR="00D45EA0">
        <w:rPr>
          <w:i/>
        </w:rPr>
        <w:t xml:space="preserve"> </w:t>
      </w:r>
      <w:r w:rsidR="009C4941" w:rsidRPr="009C4941">
        <w:rPr>
          <w:i/>
        </w:rPr>
        <w:t>v The State</w:t>
      </w:r>
      <w:r w:rsidR="00D45EA0">
        <w:rPr>
          <w:i/>
        </w:rPr>
        <w:t xml:space="preserve"> </w:t>
      </w:r>
      <w:r w:rsidR="009C4941">
        <w:t xml:space="preserve">HH 47/20. </w:t>
      </w:r>
    </w:p>
    <w:p w:rsidR="00AB4117" w:rsidRDefault="00AB4117" w:rsidP="009969B3">
      <w:pPr>
        <w:spacing w:line="360" w:lineRule="auto"/>
        <w:ind w:left="720" w:hanging="720"/>
        <w:jc w:val="both"/>
        <w:rPr>
          <w:rFonts w:ascii="Times New Roman" w:hAnsi="Times New Roman"/>
          <w:b/>
          <w:sz w:val="24"/>
          <w:szCs w:val="24"/>
        </w:rPr>
      </w:pPr>
    </w:p>
    <w:p w:rsidR="009F5B77" w:rsidRDefault="009F5B77" w:rsidP="009969B3">
      <w:pPr>
        <w:spacing w:line="360" w:lineRule="auto"/>
        <w:ind w:left="720" w:hanging="720"/>
        <w:jc w:val="both"/>
        <w:rPr>
          <w:rFonts w:ascii="Times New Roman" w:hAnsi="Times New Roman"/>
          <w:b/>
          <w:sz w:val="24"/>
          <w:szCs w:val="24"/>
        </w:rPr>
      </w:pPr>
      <w:r w:rsidRPr="006F1D13">
        <w:rPr>
          <w:rFonts w:ascii="Times New Roman" w:hAnsi="Times New Roman"/>
          <w:b/>
          <w:sz w:val="24"/>
          <w:szCs w:val="24"/>
        </w:rPr>
        <w:t xml:space="preserve">Disposition </w:t>
      </w:r>
    </w:p>
    <w:p w:rsidR="006D65C2" w:rsidRPr="009137BD" w:rsidRDefault="009F5B77" w:rsidP="009969B3">
      <w:pPr>
        <w:suppressAutoHyphens/>
        <w:spacing w:line="360" w:lineRule="auto"/>
        <w:ind w:firstLine="720"/>
        <w:jc w:val="both"/>
        <w:rPr>
          <w:rFonts w:ascii="Times New Roman" w:hAnsi="Times New Roman" w:cs="Times New Roman"/>
          <w:sz w:val="24"/>
          <w:szCs w:val="24"/>
          <w:lang w:val="en-GB"/>
        </w:rPr>
      </w:pPr>
      <w:r w:rsidRPr="009137BD">
        <w:rPr>
          <w:rFonts w:ascii="Times New Roman" w:hAnsi="Times New Roman" w:cs="Times New Roman"/>
          <w:sz w:val="24"/>
          <w:szCs w:val="24"/>
          <w:lang w:val="en-GB"/>
        </w:rPr>
        <w:t xml:space="preserve">In the result, I am not satisfied that the applicant has made out a case that warrants the granting of the application for </w:t>
      </w:r>
      <w:proofErr w:type="spellStart"/>
      <w:r w:rsidRPr="009137BD">
        <w:rPr>
          <w:rFonts w:ascii="Times New Roman" w:hAnsi="Times New Roman" w:cs="Times New Roman"/>
          <w:sz w:val="24"/>
          <w:szCs w:val="24"/>
          <w:lang w:val="en-GB"/>
        </w:rPr>
        <w:t>condonation</w:t>
      </w:r>
      <w:proofErr w:type="spellEnd"/>
      <w:r w:rsidRPr="009137BD">
        <w:rPr>
          <w:rFonts w:ascii="Times New Roman" w:hAnsi="Times New Roman" w:cs="Times New Roman"/>
          <w:sz w:val="24"/>
          <w:szCs w:val="24"/>
          <w:lang w:val="en-GB"/>
        </w:rPr>
        <w:t xml:space="preserve"> for the filing of an application for leave to appeal</w:t>
      </w:r>
      <w:bookmarkStart w:id="0" w:name="_GoBack"/>
      <w:bookmarkEnd w:id="0"/>
      <w:r w:rsidRPr="009137BD">
        <w:rPr>
          <w:rFonts w:ascii="Times New Roman" w:hAnsi="Times New Roman" w:cs="Times New Roman"/>
          <w:sz w:val="24"/>
          <w:szCs w:val="24"/>
          <w:lang w:val="en-GB"/>
        </w:rPr>
        <w:t xml:space="preserve">.  </w:t>
      </w:r>
      <w:r w:rsidR="009137BD" w:rsidRPr="009137BD">
        <w:rPr>
          <w:rFonts w:ascii="Times New Roman" w:hAnsi="Times New Roman" w:cs="Times New Roman"/>
          <w:sz w:val="24"/>
          <w:szCs w:val="24"/>
          <w:lang w:val="en-GB"/>
        </w:rPr>
        <w:t>T</w:t>
      </w:r>
      <w:r w:rsidR="00CF060C">
        <w:rPr>
          <w:rFonts w:ascii="Times New Roman" w:hAnsi="Times New Roman" w:cs="Times New Roman"/>
          <w:sz w:val="24"/>
          <w:szCs w:val="24"/>
          <w:lang w:val="en-GB"/>
        </w:rPr>
        <w:t>here are</w:t>
      </w:r>
      <w:r w:rsidR="009137BD" w:rsidRPr="009137BD">
        <w:rPr>
          <w:rFonts w:ascii="Times New Roman" w:hAnsi="Times New Roman" w:cs="Times New Roman"/>
          <w:sz w:val="24"/>
          <w:szCs w:val="24"/>
          <w:lang w:val="en-GB"/>
        </w:rPr>
        <w:t xml:space="preserve"> no reasonable prospect</w:t>
      </w:r>
      <w:r w:rsidR="002F2023">
        <w:rPr>
          <w:rFonts w:ascii="Times New Roman" w:hAnsi="Times New Roman" w:cs="Times New Roman"/>
          <w:sz w:val="24"/>
          <w:szCs w:val="24"/>
          <w:lang w:val="en-GB"/>
        </w:rPr>
        <w:t>s</w:t>
      </w:r>
      <w:r w:rsidR="009137BD" w:rsidRPr="009137BD">
        <w:rPr>
          <w:rFonts w:ascii="Times New Roman" w:hAnsi="Times New Roman" w:cs="Times New Roman"/>
          <w:sz w:val="24"/>
          <w:szCs w:val="24"/>
          <w:lang w:val="en-GB"/>
        </w:rPr>
        <w:t xml:space="preserve"> of another court reversing the conviction or interfering with the sentence of imprisonment</w:t>
      </w:r>
      <w:r w:rsidRPr="009137BD">
        <w:rPr>
          <w:rFonts w:ascii="Times New Roman" w:hAnsi="Times New Roman" w:cs="Times New Roman"/>
          <w:sz w:val="24"/>
          <w:szCs w:val="24"/>
          <w:lang w:val="en-GB"/>
        </w:rPr>
        <w:t xml:space="preserve">. </w:t>
      </w:r>
      <w:r w:rsidR="006D65C2" w:rsidRPr="009137BD">
        <w:rPr>
          <w:rFonts w:ascii="Times New Roman" w:hAnsi="Times New Roman" w:cs="Times New Roman"/>
          <w:sz w:val="24"/>
          <w:szCs w:val="24"/>
        </w:rPr>
        <w:t xml:space="preserve">In the result, I order as follows: </w:t>
      </w:r>
      <w:r w:rsidR="00ED0703" w:rsidRPr="009137BD">
        <w:rPr>
          <w:rFonts w:ascii="Times New Roman" w:hAnsi="Times New Roman" w:cs="Times New Roman"/>
          <w:color w:val="242121"/>
          <w:sz w:val="24"/>
          <w:szCs w:val="24"/>
        </w:rPr>
        <w:t>t</w:t>
      </w:r>
      <w:r w:rsidR="006D65C2" w:rsidRPr="009137BD">
        <w:rPr>
          <w:rFonts w:ascii="Times New Roman" w:hAnsi="Times New Roman" w:cs="Times New Roman"/>
          <w:color w:val="242121"/>
          <w:sz w:val="24"/>
          <w:szCs w:val="24"/>
        </w:rPr>
        <w:t xml:space="preserve">he </w:t>
      </w:r>
      <w:r w:rsidR="00ED0703" w:rsidRPr="009137BD">
        <w:rPr>
          <w:rFonts w:ascii="Times New Roman" w:hAnsi="Times New Roman" w:cs="Times New Roman"/>
          <w:color w:val="242121"/>
          <w:sz w:val="24"/>
          <w:szCs w:val="24"/>
        </w:rPr>
        <w:t>application is accordingly dismissed.</w:t>
      </w:r>
    </w:p>
    <w:p w:rsidR="006D65C2" w:rsidRPr="009137BD" w:rsidRDefault="006D65C2" w:rsidP="009969B3">
      <w:pPr>
        <w:spacing w:line="360" w:lineRule="auto"/>
        <w:ind w:left="720" w:hanging="720"/>
        <w:jc w:val="both"/>
        <w:rPr>
          <w:rFonts w:ascii="Times New Roman" w:hAnsi="Times New Roman" w:cs="Times New Roman"/>
          <w:sz w:val="24"/>
          <w:szCs w:val="24"/>
        </w:rPr>
      </w:pPr>
    </w:p>
    <w:p w:rsidR="00AC3F19" w:rsidRPr="00ED0703" w:rsidRDefault="00AC3F19" w:rsidP="009969B3">
      <w:pPr>
        <w:spacing w:line="360" w:lineRule="auto"/>
        <w:ind w:left="720" w:hanging="720"/>
        <w:jc w:val="both"/>
        <w:rPr>
          <w:rFonts w:ascii="Times New Roman" w:hAnsi="Times New Roman" w:cs="Times New Roman"/>
          <w:sz w:val="24"/>
          <w:szCs w:val="24"/>
        </w:rPr>
      </w:pPr>
    </w:p>
    <w:p w:rsidR="006D65C2" w:rsidRPr="00AD4078" w:rsidRDefault="00ED0703" w:rsidP="009969B3">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i/>
          <w:iCs/>
          <w:color w:val="000000"/>
          <w:sz w:val="23"/>
          <w:szCs w:val="23"/>
        </w:rPr>
        <w:t xml:space="preserve">Tanaka Law Chambers, </w:t>
      </w:r>
      <w:r w:rsidR="006D65C2">
        <w:rPr>
          <w:rFonts w:ascii="Times New Roman" w:hAnsi="Times New Roman"/>
          <w:color w:val="000000"/>
          <w:sz w:val="23"/>
          <w:szCs w:val="23"/>
        </w:rPr>
        <w:t>applicant’s</w:t>
      </w:r>
      <w:r w:rsidR="006D65C2" w:rsidRPr="00AD4078">
        <w:rPr>
          <w:rFonts w:ascii="Times New Roman" w:hAnsi="Times New Roman"/>
          <w:color w:val="000000"/>
          <w:sz w:val="23"/>
          <w:szCs w:val="23"/>
        </w:rPr>
        <w:t xml:space="preserve"> legal practitioners </w:t>
      </w:r>
    </w:p>
    <w:p w:rsidR="006D65C2" w:rsidRPr="00AD4078" w:rsidRDefault="006D65C2" w:rsidP="009969B3">
      <w:pPr>
        <w:spacing w:line="360" w:lineRule="auto"/>
        <w:ind w:left="720" w:hanging="720"/>
        <w:jc w:val="both"/>
        <w:rPr>
          <w:rFonts w:ascii="Times New Roman" w:hAnsi="Times New Roman"/>
          <w:sz w:val="24"/>
          <w:szCs w:val="24"/>
        </w:rPr>
      </w:pPr>
      <w:r w:rsidRPr="00AD4078">
        <w:rPr>
          <w:rFonts w:ascii="Times New Roman" w:hAnsi="Times New Roman"/>
          <w:i/>
          <w:iCs/>
          <w:color w:val="000000"/>
          <w:sz w:val="23"/>
          <w:szCs w:val="23"/>
        </w:rPr>
        <w:t>Prosecutor-General’s Office</w:t>
      </w:r>
      <w:r w:rsidRPr="00AD4078">
        <w:rPr>
          <w:rFonts w:ascii="Times New Roman" w:hAnsi="Times New Roman"/>
          <w:color w:val="000000"/>
          <w:sz w:val="23"/>
          <w:szCs w:val="23"/>
        </w:rPr>
        <w:t>, respondent’s legal practitioners</w:t>
      </w:r>
    </w:p>
    <w:p w:rsidR="006D65C2" w:rsidRPr="002F10FF" w:rsidRDefault="006D65C2" w:rsidP="009969B3">
      <w:pPr>
        <w:autoSpaceDE w:val="0"/>
        <w:autoSpaceDN w:val="0"/>
        <w:adjustRightInd w:val="0"/>
        <w:spacing w:after="0" w:line="360" w:lineRule="auto"/>
        <w:ind w:firstLine="720"/>
        <w:jc w:val="both"/>
        <w:rPr>
          <w:rFonts w:ascii="Times New Roman" w:hAnsi="Times New Roman" w:cs="Times New Roman"/>
          <w:sz w:val="24"/>
          <w:szCs w:val="24"/>
        </w:rPr>
      </w:pPr>
    </w:p>
    <w:sectPr w:rsidR="006D65C2" w:rsidRPr="002F10FF" w:rsidSect="00002F8B">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6D8" w:rsidRDefault="00FB76D8" w:rsidP="00637386">
      <w:pPr>
        <w:spacing w:after="0" w:line="240" w:lineRule="auto"/>
      </w:pPr>
      <w:r>
        <w:separator/>
      </w:r>
    </w:p>
  </w:endnote>
  <w:endnote w:type="continuationSeparator" w:id="1">
    <w:p w:rsidR="00FB76D8" w:rsidRDefault="00FB76D8" w:rsidP="006373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6D8" w:rsidRDefault="00FB76D8" w:rsidP="00637386">
      <w:pPr>
        <w:spacing w:after="0" w:line="240" w:lineRule="auto"/>
      </w:pPr>
      <w:r>
        <w:separator/>
      </w:r>
    </w:p>
  </w:footnote>
  <w:footnote w:type="continuationSeparator" w:id="1">
    <w:p w:rsidR="00FB76D8" w:rsidRDefault="00FB76D8" w:rsidP="006373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49259"/>
      <w:docPartObj>
        <w:docPartGallery w:val="Page Numbers (Top of Page)"/>
        <w:docPartUnique/>
      </w:docPartObj>
    </w:sdtPr>
    <w:sdtEndPr>
      <w:rPr>
        <w:rFonts w:ascii="Times New Roman" w:hAnsi="Times New Roman" w:cs="Times New Roman"/>
        <w:sz w:val="24"/>
        <w:szCs w:val="24"/>
      </w:rPr>
    </w:sdtEndPr>
    <w:sdtContent>
      <w:p w:rsidR="009969B3" w:rsidRPr="002F2456" w:rsidRDefault="00AE45CA">
        <w:pPr>
          <w:pStyle w:val="Header"/>
          <w:jc w:val="right"/>
          <w:rPr>
            <w:rFonts w:ascii="Times New Roman" w:hAnsi="Times New Roman" w:cs="Times New Roman"/>
            <w:sz w:val="24"/>
            <w:szCs w:val="24"/>
          </w:rPr>
        </w:pPr>
        <w:r w:rsidRPr="002F2456">
          <w:rPr>
            <w:rFonts w:ascii="Times New Roman" w:hAnsi="Times New Roman" w:cs="Times New Roman"/>
            <w:sz w:val="24"/>
            <w:szCs w:val="24"/>
          </w:rPr>
          <w:fldChar w:fldCharType="begin"/>
        </w:r>
        <w:r w:rsidR="009969B3" w:rsidRPr="002F2456">
          <w:rPr>
            <w:rFonts w:ascii="Times New Roman" w:hAnsi="Times New Roman" w:cs="Times New Roman"/>
            <w:sz w:val="24"/>
            <w:szCs w:val="24"/>
          </w:rPr>
          <w:instrText xml:space="preserve"> PAGE   \* MERGEFORMAT </w:instrText>
        </w:r>
        <w:r w:rsidRPr="002F2456">
          <w:rPr>
            <w:rFonts w:ascii="Times New Roman" w:hAnsi="Times New Roman" w:cs="Times New Roman"/>
            <w:sz w:val="24"/>
            <w:szCs w:val="24"/>
          </w:rPr>
          <w:fldChar w:fldCharType="separate"/>
        </w:r>
        <w:r w:rsidR="00301DC0">
          <w:rPr>
            <w:rFonts w:ascii="Times New Roman" w:hAnsi="Times New Roman" w:cs="Times New Roman"/>
            <w:noProof/>
            <w:sz w:val="24"/>
            <w:szCs w:val="24"/>
          </w:rPr>
          <w:t>6</w:t>
        </w:r>
        <w:r w:rsidRPr="002F2456">
          <w:rPr>
            <w:rFonts w:ascii="Times New Roman" w:hAnsi="Times New Roman" w:cs="Times New Roman"/>
            <w:sz w:val="24"/>
            <w:szCs w:val="24"/>
          </w:rPr>
          <w:fldChar w:fldCharType="end"/>
        </w:r>
      </w:p>
      <w:p w:rsidR="009969B3" w:rsidRPr="002F2456" w:rsidRDefault="009969B3">
        <w:pPr>
          <w:pStyle w:val="Header"/>
          <w:jc w:val="right"/>
          <w:rPr>
            <w:rFonts w:ascii="Times New Roman" w:hAnsi="Times New Roman" w:cs="Times New Roman"/>
            <w:sz w:val="24"/>
            <w:szCs w:val="24"/>
          </w:rPr>
        </w:pPr>
        <w:r w:rsidRPr="002F2456">
          <w:rPr>
            <w:rFonts w:ascii="Times New Roman" w:hAnsi="Times New Roman" w:cs="Times New Roman"/>
            <w:sz w:val="24"/>
            <w:szCs w:val="24"/>
          </w:rPr>
          <w:t>HB</w:t>
        </w:r>
        <w:r w:rsidR="00444C6E" w:rsidRPr="002F2456">
          <w:rPr>
            <w:rFonts w:ascii="Times New Roman" w:hAnsi="Times New Roman" w:cs="Times New Roman"/>
            <w:sz w:val="24"/>
            <w:szCs w:val="24"/>
          </w:rPr>
          <w:t xml:space="preserve"> 39/21</w:t>
        </w:r>
      </w:p>
      <w:p w:rsidR="002F2456" w:rsidRDefault="009969B3">
        <w:pPr>
          <w:pStyle w:val="Header"/>
          <w:jc w:val="right"/>
          <w:rPr>
            <w:rFonts w:ascii="Times New Roman" w:hAnsi="Times New Roman" w:cs="Times New Roman"/>
            <w:sz w:val="24"/>
            <w:szCs w:val="24"/>
          </w:rPr>
        </w:pPr>
        <w:r w:rsidRPr="002F2456">
          <w:rPr>
            <w:rFonts w:ascii="Times New Roman" w:hAnsi="Times New Roman" w:cs="Times New Roman"/>
            <w:sz w:val="24"/>
            <w:szCs w:val="24"/>
          </w:rPr>
          <w:t>HCA (COND) 37/20</w:t>
        </w:r>
      </w:p>
      <w:p w:rsidR="009969B3" w:rsidRPr="002F2456" w:rsidRDefault="00AE45CA">
        <w:pPr>
          <w:pStyle w:val="Header"/>
          <w:jc w:val="right"/>
          <w:rPr>
            <w:rFonts w:ascii="Times New Roman" w:hAnsi="Times New Roman" w:cs="Times New Roman"/>
            <w:sz w:val="24"/>
            <w:szCs w:val="24"/>
          </w:rP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36614B"/>
    <w:multiLevelType w:val="hybridMultilevel"/>
    <w:tmpl w:val="695454A2"/>
    <w:lvl w:ilvl="0" w:tplc="6E5AF890">
      <w:start w:val="1"/>
      <w:numFmt w:val="decimal"/>
      <w:lvlText w:val="%1."/>
      <w:lvlJc w:val="left"/>
      <w:pPr>
        <w:ind w:left="720" w:hanging="360"/>
      </w:pPr>
      <w:rPr>
        <w:rFonts w:ascii="Courier New" w:hAnsi="Courier New" w:cs="Courier New"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1717D"/>
    <w:rsid w:val="00002F8B"/>
    <w:rsid w:val="000179C9"/>
    <w:rsid w:val="000E33DF"/>
    <w:rsid w:val="000E5898"/>
    <w:rsid w:val="00141D0F"/>
    <w:rsid w:val="00153D7E"/>
    <w:rsid w:val="00172838"/>
    <w:rsid w:val="00177A3F"/>
    <w:rsid w:val="00191B02"/>
    <w:rsid w:val="001F5094"/>
    <w:rsid w:val="00200323"/>
    <w:rsid w:val="00233309"/>
    <w:rsid w:val="00241639"/>
    <w:rsid w:val="002F10FF"/>
    <w:rsid w:val="002F2023"/>
    <w:rsid w:val="002F2456"/>
    <w:rsid w:val="00301DC0"/>
    <w:rsid w:val="0031735F"/>
    <w:rsid w:val="003859ED"/>
    <w:rsid w:val="00405B26"/>
    <w:rsid w:val="00416372"/>
    <w:rsid w:val="00444C6E"/>
    <w:rsid w:val="0046639E"/>
    <w:rsid w:val="004F2214"/>
    <w:rsid w:val="00525101"/>
    <w:rsid w:val="00545D9A"/>
    <w:rsid w:val="0056300F"/>
    <w:rsid w:val="005632D2"/>
    <w:rsid w:val="005743E5"/>
    <w:rsid w:val="00637386"/>
    <w:rsid w:val="00685704"/>
    <w:rsid w:val="006C6993"/>
    <w:rsid w:val="006D65C2"/>
    <w:rsid w:val="007224C5"/>
    <w:rsid w:val="007342E1"/>
    <w:rsid w:val="00775807"/>
    <w:rsid w:val="0078728F"/>
    <w:rsid w:val="007916E2"/>
    <w:rsid w:val="007D302F"/>
    <w:rsid w:val="007D7EF4"/>
    <w:rsid w:val="008159ED"/>
    <w:rsid w:val="0082039F"/>
    <w:rsid w:val="00865FF4"/>
    <w:rsid w:val="008E2C4E"/>
    <w:rsid w:val="00901615"/>
    <w:rsid w:val="009137BD"/>
    <w:rsid w:val="00926C1C"/>
    <w:rsid w:val="009429E7"/>
    <w:rsid w:val="00956007"/>
    <w:rsid w:val="00957136"/>
    <w:rsid w:val="0097066C"/>
    <w:rsid w:val="00973280"/>
    <w:rsid w:val="009744B7"/>
    <w:rsid w:val="0097603D"/>
    <w:rsid w:val="009948CF"/>
    <w:rsid w:val="009969B3"/>
    <w:rsid w:val="009C4941"/>
    <w:rsid w:val="009F5B77"/>
    <w:rsid w:val="00A1717D"/>
    <w:rsid w:val="00A72548"/>
    <w:rsid w:val="00AB4117"/>
    <w:rsid w:val="00AC3F19"/>
    <w:rsid w:val="00AE36BE"/>
    <w:rsid w:val="00AE45CA"/>
    <w:rsid w:val="00B13C22"/>
    <w:rsid w:val="00B4117E"/>
    <w:rsid w:val="00B44028"/>
    <w:rsid w:val="00BB0630"/>
    <w:rsid w:val="00BE2F29"/>
    <w:rsid w:val="00BF7600"/>
    <w:rsid w:val="00C61BF7"/>
    <w:rsid w:val="00C669FC"/>
    <w:rsid w:val="00C852FB"/>
    <w:rsid w:val="00C91D0A"/>
    <w:rsid w:val="00CA1EE1"/>
    <w:rsid w:val="00CB548C"/>
    <w:rsid w:val="00CD637D"/>
    <w:rsid w:val="00CF060C"/>
    <w:rsid w:val="00D45EA0"/>
    <w:rsid w:val="00DC0C2A"/>
    <w:rsid w:val="00DD5013"/>
    <w:rsid w:val="00E0699D"/>
    <w:rsid w:val="00E300BA"/>
    <w:rsid w:val="00E44E20"/>
    <w:rsid w:val="00E502B6"/>
    <w:rsid w:val="00ED0703"/>
    <w:rsid w:val="00F36695"/>
    <w:rsid w:val="00FA2F62"/>
    <w:rsid w:val="00FA48C8"/>
    <w:rsid w:val="00FB7564"/>
    <w:rsid w:val="00FB76D8"/>
    <w:rsid w:val="00FB7C30"/>
    <w:rsid w:val="00FC693D"/>
    <w:rsid w:val="00FD0FD4"/>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F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0FF"/>
    <w:pPr>
      <w:spacing w:after="0" w:line="240" w:lineRule="auto"/>
      <w:ind w:left="720"/>
    </w:pPr>
    <w:rPr>
      <w:rFonts w:ascii="Times New Roman" w:eastAsia="Times New Roman" w:hAnsi="Times New Roman" w:cs="Times New Roman"/>
      <w:sz w:val="24"/>
      <w:szCs w:val="24"/>
      <w:lang w:val="en-US"/>
    </w:rPr>
  </w:style>
  <w:style w:type="paragraph" w:styleId="NoSpacing">
    <w:name w:val="No Spacing"/>
    <w:uiPriority w:val="1"/>
    <w:qFormat/>
    <w:rsid w:val="00C669FC"/>
    <w:pPr>
      <w:keepLines/>
      <w:spacing w:before="100" w:beforeAutospacing="1" w:after="100" w:afterAutospacing="1" w:line="240" w:lineRule="auto"/>
      <w:contextualSpacing/>
    </w:pPr>
    <w:rPr>
      <w:sz w:val="24"/>
      <w:lang w:val="en-US"/>
    </w:rPr>
  </w:style>
  <w:style w:type="paragraph" w:customStyle="1" w:styleId="Default">
    <w:name w:val="Default"/>
    <w:rsid w:val="0056300F"/>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rsid w:val="00637386"/>
    <w:rPr>
      <w:rFonts w:cs="Times New Roman"/>
    </w:rPr>
  </w:style>
  <w:style w:type="paragraph" w:styleId="FootnoteText">
    <w:name w:val="footnote text"/>
    <w:basedOn w:val="Normal"/>
    <w:link w:val="FootnoteTextChar"/>
    <w:uiPriority w:val="99"/>
    <w:semiHidden/>
    <w:unhideWhenUsed/>
    <w:rsid w:val="003859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59ED"/>
    <w:rPr>
      <w:sz w:val="20"/>
      <w:szCs w:val="20"/>
    </w:rPr>
  </w:style>
  <w:style w:type="paragraph" w:customStyle="1" w:styleId="western">
    <w:name w:val="western"/>
    <w:basedOn w:val="Normal"/>
    <w:rsid w:val="007916E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Header">
    <w:name w:val="header"/>
    <w:basedOn w:val="Normal"/>
    <w:link w:val="HeaderChar"/>
    <w:uiPriority w:val="99"/>
    <w:unhideWhenUsed/>
    <w:rsid w:val="009969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9B3"/>
  </w:style>
  <w:style w:type="paragraph" w:styleId="Footer">
    <w:name w:val="footer"/>
    <w:basedOn w:val="Normal"/>
    <w:link w:val="FooterChar"/>
    <w:uiPriority w:val="99"/>
    <w:semiHidden/>
    <w:unhideWhenUsed/>
    <w:rsid w:val="009969B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969B3"/>
  </w:style>
</w:styles>
</file>

<file path=word/webSettings.xml><?xml version="1.0" encoding="utf-8"?>
<w:webSettings xmlns:r="http://schemas.openxmlformats.org/officeDocument/2006/relationships" xmlns:w="http://schemas.openxmlformats.org/wordprocessingml/2006/main">
  <w:divs>
    <w:div w:id="73590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7BF6E-36C4-49D6-99B2-434B5766A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6</Pages>
  <Words>1942</Words>
  <Characters>11072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70</cp:revision>
  <dcterms:created xsi:type="dcterms:W3CDTF">2020-11-03T23:11:00Z</dcterms:created>
  <dcterms:modified xsi:type="dcterms:W3CDTF">2021-03-12T07:05:00Z</dcterms:modified>
</cp:coreProperties>
</file>