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330ED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ENOCK PANGANAI</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7F1A2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330ED9">
        <w:rPr>
          <w:rFonts w:ascii="Times New Roman" w:hAnsi="Times New Roman" w:cs="Times New Roman"/>
          <w:sz w:val="24"/>
          <w:szCs w:val="24"/>
        </w:rPr>
        <w:t>5 June</w:t>
      </w:r>
      <w:r w:rsidR="0014309E">
        <w:rPr>
          <w:rFonts w:ascii="Times New Roman" w:hAnsi="Times New Roman" w:cs="Times New Roman"/>
          <w:sz w:val="24"/>
          <w:szCs w:val="24"/>
        </w:rPr>
        <w:t xml:space="preserve"> </w:t>
      </w:r>
      <w:r w:rsidR="001E1ABD">
        <w:rPr>
          <w:rFonts w:ascii="Times New Roman" w:hAnsi="Times New Roman" w:cs="Times New Roman"/>
          <w:sz w:val="24"/>
          <w:szCs w:val="24"/>
        </w:rPr>
        <w:t xml:space="preserve">and 20 </w:t>
      </w:r>
      <w:r w:rsidR="0014309E">
        <w:rPr>
          <w:rFonts w:ascii="Times New Roman" w:hAnsi="Times New Roman" w:cs="Times New Roman"/>
          <w:sz w:val="24"/>
          <w:szCs w:val="24"/>
        </w:rPr>
        <w:t>June</w:t>
      </w:r>
      <w:r w:rsidR="00D3244F">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Pr="00C81001" w:rsidRDefault="00330ED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330ED9">
        <w:rPr>
          <w:rFonts w:ascii="Times New Roman" w:hAnsi="Times New Roman" w:cs="Times New Roman"/>
          <w:i/>
          <w:sz w:val="24"/>
          <w:szCs w:val="24"/>
        </w:rPr>
        <w:t xml:space="preserve">E </w:t>
      </w:r>
      <w:proofErr w:type="spellStart"/>
      <w:r w:rsidRPr="00330ED9">
        <w:rPr>
          <w:rFonts w:ascii="Times New Roman" w:hAnsi="Times New Roman" w:cs="Times New Roman"/>
          <w:i/>
          <w:sz w:val="24"/>
          <w:szCs w:val="24"/>
        </w:rPr>
        <w:t>Ngorima</w:t>
      </w:r>
      <w:proofErr w:type="spellEnd"/>
      <w:r>
        <w:rPr>
          <w:rFonts w:ascii="Times New Roman" w:hAnsi="Times New Roman" w:cs="Times New Roman"/>
          <w:sz w:val="24"/>
          <w:szCs w:val="24"/>
        </w:rPr>
        <w:t>, for the Appellant</w:t>
      </w:r>
    </w:p>
    <w:p w:rsidR="004F245B" w:rsidRDefault="00D708DD"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 </w:t>
      </w:r>
      <w:r w:rsidR="00330ED9">
        <w:rPr>
          <w:rFonts w:ascii="Times New Roman" w:hAnsi="Times New Roman" w:cs="Times New Roman"/>
          <w:i/>
          <w:sz w:val="24"/>
          <w:szCs w:val="24"/>
        </w:rPr>
        <w:t xml:space="preserve">J </w:t>
      </w:r>
      <w:proofErr w:type="spellStart"/>
      <w:r w:rsidR="00330ED9">
        <w:rPr>
          <w:rFonts w:ascii="Times New Roman" w:hAnsi="Times New Roman" w:cs="Times New Roman"/>
          <w:i/>
          <w:sz w:val="24"/>
          <w:szCs w:val="24"/>
        </w:rPr>
        <w:t>Chingwinyiso</w:t>
      </w:r>
      <w:proofErr w:type="spellEnd"/>
      <w:r w:rsidR="00B678E7">
        <w:rPr>
          <w:rFonts w:ascii="Times New Roman" w:hAnsi="Times New Roman" w:cs="Times New Roman"/>
          <w:sz w:val="24"/>
          <w:szCs w:val="24"/>
        </w:rPr>
        <w:t xml:space="preserve">, for the </w:t>
      </w:r>
      <w:r w:rsidR="002D046F">
        <w:rPr>
          <w:rFonts w:ascii="Times New Roman" w:hAnsi="Times New Roman" w:cs="Times New Roman"/>
          <w:sz w:val="24"/>
          <w:szCs w:val="24"/>
        </w:rPr>
        <w:t xml:space="preserve">Respondent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330ED9" w:rsidRDefault="00AC2609" w:rsidP="00330E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330ED9">
        <w:rPr>
          <w:rFonts w:ascii="Times New Roman" w:hAnsi="Times New Roman" w:cs="Times New Roman"/>
          <w:sz w:val="24"/>
          <w:szCs w:val="24"/>
        </w:rPr>
        <w:t>On 20 December 2018, the appellan</w:t>
      </w:r>
      <w:r w:rsidR="00D91DED">
        <w:rPr>
          <w:rFonts w:ascii="Times New Roman" w:hAnsi="Times New Roman" w:cs="Times New Roman"/>
          <w:sz w:val="24"/>
          <w:szCs w:val="24"/>
        </w:rPr>
        <w:t>t appeared before the Provincia</w:t>
      </w:r>
      <w:r w:rsidR="00330ED9">
        <w:rPr>
          <w:rFonts w:ascii="Times New Roman" w:hAnsi="Times New Roman" w:cs="Times New Roman"/>
          <w:sz w:val="24"/>
          <w:szCs w:val="24"/>
        </w:rPr>
        <w:t>l Magistrate Mutare facing Robbery as defined in s 126</w:t>
      </w:r>
      <w:r w:rsidR="007F1A23">
        <w:rPr>
          <w:rFonts w:ascii="Times New Roman" w:hAnsi="Times New Roman" w:cs="Times New Roman"/>
          <w:sz w:val="24"/>
          <w:szCs w:val="24"/>
        </w:rPr>
        <w:t xml:space="preserve"> of the Criminal Law (Codification and Reform) Act [</w:t>
      </w:r>
      <w:r w:rsidR="007F1A23">
        <w:rPr>
          <w:rFonts w:ascii="Times New Roman" w:hAnsi="Times New Roman" w:cs="Times New Roman"/>
          <w:i/>
          <w:sz w:val="24"/>
          <w:szCs w:val="24"/>
        </w:rPr>
        <w:t>Chapter 9:23</w:t>
      </w:r>
      <w:r w:rsidR="00330ED9">
        <w:rPr>
          <w:rFonts w:ascii="Times New Roman" w:hAnsi="Times New Roman" w:cs="Times New Roman"/>
          <w:sz w:val="24"/>
          <w:szCs w:val="24"/>
        </w:rPr>
        <w:t xml:space="preserve">]. The State alleged that on 1 August 2018 and at </w:t>
      </w:r>
      <w:proofErr w:type="spellStart"/>
      <w:r w:rsidR="00330ED9">
        <w:rPr>
          <w:rFonts w:ascii="Times New Roman" w:hAnsi="Times New Roman" w:cs="Times New Roman"/>
          <w:sz w:val="24"/>
          <w:szCs w:val="24"/>
        </w:rPr>
        <w:t>Zimunya</w:t>
      </w:r>
      <w:proofErr w:type="spellEnd"/>
      <w:r w:rsidR="00330ED9">
        <w:rPr>
          <w:rFonts w:ascii="Times New Roman" w:hAnsi="Times New Roman" w:cs="Times New Roman"/>
          <w:sz w:val="24"/>
          <w:szCs w:val="24"/>
        </w:rPr>
        <w:t xml:space="preserve"> Business Centre, Mutare, the appellant and other unknown accomplices all and each one or more of them unlawfully pulled Ronald Mhlanga to the ground, hit him with a metal object on the neck forcibly grabbed his neck in order to steal Ronald Mhlanga’s black shoes, solar light, sun hat and $13.50. He pleaded not guilty but was convicted after a full trial. He was sentenced on 31 January 2019 to 5 years imprisonment</w:t>
      </w:r>
      <w:r w:rsidR="00D91DED">
        <w:rPr>
          <w:rFonts w:ascii="Times New Roman" w:hAnsi="Times New Roman" w:cs="Times New Roman"/>
          <w:sz w:val="24"/>
          <w:szCs w:val="24"/>
        </w:rPr>
        <w:t xml:space="preserve"> of which 1 year imprisonment</w:t>
      </w:r>
      <w:r w:rsidR="00330ED9">
        <w:rPr>
          <w:rFonts w:ascii="Times New Roman" w:hAnsi="Times New Roman" w:cs="Times New Roman"/>
          <w:sz w:val="24"/>
          <w:szCs w:val="24"/>
        </w:rPr>
        <w:t xml:space="preserve"> was suspended for 5 years on the usual </w:t>
      </w:r>
      <w:r w:rsidR="006526EB">
        <w:rPr>
          <w:rFonts w:ascii="Times New Roman" w:hAnsi="Times New Roman" w:cs="Times New Roman"/>
          <w:sz w:val="24"/>
          <w:szCs w:val="24"/>
        </w:rPr>
        <w:t>conditions</w:t>
      </w:r>
      <w:r w:rsidR="00330ED9">
        <w:rPr>
          <w:rFonts w:ascii="Times New Roman" w:hAnsi="Times New Roman" w:cs="Times New Roman"/>
          <w:sz w:val="24"/>
          <w:szCs w:val="24"/>
        </w:rPr>
        <w:t xml:space="preserve"> of future good behaviour.</w:t>
      </w:r>
    </w:p>
    <w:p w:rsidR="00330ED9" w:rsidRDefault="00330ED9" w:rsidP="00330E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 February 2019 the appellant filed an appeal against conviction and outlined the grounds of appeal as follows:</w:t>
      </w:r>
    </w:p>
    <w:p w:rsidR="00330ED9" w:rsidRPr="0060018F" w:rsidRDefault="00330ED9" w:rsidP="0060018F">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60018F">
        <w:rPr>
          <w:rFonts w:ascii="Times New Roman" w:hAnsi="Times New Roman" w:cs="Times New Roman"/>
        </w:rPr>
        <w:t>1.</w:t>
      </w:r>
      <w:r w:rsidRPr="0060018F">
        <w:rPr>
          <w:rFonts w:ascii="Times New Roman" w:hAnsi="Times New Roman" w:cs="Times New Roman"/>
        </w:rPr>
        <w:tab/>
        <w:t>The learned trial Magistrate erred and misdirected himself at law by failing to properly and judiciously consider the issue of alibi raised in applicant’s defence.</w:t>
      </w:r>
    </w:p>
    <w:p w:rsidR="00330ED9" w:rsidRPr="0060018F" w:rsidRDefault="00330ED9" w:rsidP="0060018F">
      <w:pPr>
        <w:spacing w:after="0" w:line="240" w:lineRule="auto"/>
        <w:ind w:left="1440" w:hanging="720"/>
        <w:jc w:val="both"/>
        <w:rPr>
          <w:rFonts w:ascii="Times New Roman" w:hAnsi="Times New Roman" w:cs="Times New Roman"/>
        </w:rPr>
      </w:pPr>
      <w:r w:rsidRPr="0060018F">
        <w:rPr>
          <w:rFonts w:ascii="Times New Roman" w:hAnsi="Times New Roman" w:cs="Times New Roman"/>
        </w:rPr>
        <w:t>2.</w:t>
      </w:r>
      <w:r w:rsidRPr="0060018F">
        <w:rPr>
          <w:rFonts w:ascii="Times New Roman" w:hAnsi="Times New Roman" w:cs="Times New Roman"/>
        </w:rPr>
        <w:tab/>
        <w:t>The learned trial Magistrate erred and misdirected himself when he failed to apply his mind to the inherent dangers of accepting the complainant’s testimony (without corroboration) as a single witness to the incident. Ultimately he failed to apply caution to that evidence.</w:t>
      </w:r>
    </w:p>
    <w:p w:rsidR="008D671B" w:rsidRDefault="00330ED9" w:rsidP="0060018F">
      <w:pPr>
        <w:spacing w:after="0" w:line="240" w:lineRule="auto"/>
        <w:ind w:left="1440" w:hanging="720"/>
        <w:jc w:val="both"/>
        <w:rPr>
          <w:rFonts w:ascii="Times New Roman" w:hAnsi="Times New Roman" w:cs="Times New Roman"/>
          <w:sz w:val="24"/>
          <w:szCs w:val="24"/>
        </w:rPr>
      </w:pPr>
      <w:r w:rsidRPr="0060018F">
        <w:rPr>
          <w:rFonts w:ascii="Times New Roman" w:hAnsi="Times New Roman" w:cs="Times New Roman"/>
        </w:rPr>
        <w:t>3.</w:t>
      </w:r>
      <w:r w:rsidRPr="0060018F">
        <w:rPr>
          <w:rFonts w:ascii="Times New Roman" w:hAnsi="Times New Roman" w:cs="Times New Roman"/>
        </w:rPr>
        <w:tab/>
      </w:r>
      <w:r w:rsidR="0060018F" w:rsidRPr="0060018F">
        <w:rPr>
          <w:rFonts w:ascii="Times New Roman" w:hAnsi="Times New Roman" w:cs="Times New Roman"/>
        </w:rPr>
        <w:t xml:space="preserve">The learned trial Magistrate erred and misdirected himself when he rejected the evidence of the appellant’s </w:t>
      </w:r>
      <w:proofErr w:type="gramStart"/>
      <w:r w:rsidR="0060018F" w:rsidRPr="0060018F">
        <w:rPr>
          <w:rFonts w:ascii="Times New Roman" w:hAnsi="Times New Roman" w:cs="Times New Roman"/>
        </w:rPr>
        <w:t>witness(</w:t>
      </w:r>
      <w:proofErr w:type="spellStart"/>
      <w:proofErr w:type="gramEnd"/>
      <w:r w:rsidR="0060018F" w:rsidRPr="0060018F">
        <w:rPr>
          <w:rFonts w:ascii="Times New Roman" w:hAnsi="Times New Roman" w:cs="Times New Roman"/>
        </w:rPr>
        <w:t>es</w:t>
      </w:r>
      <w:proofErr w:type="spellEnd"/>
      <w:r w:rsidR="0060018F" w:rsidRPr="0060018F">
        <w:rPr>
          <w:rFonts w:ascii="Times New Roman" w:hAnsi="Times New Roman" w:cs="Times New Roman"/>
        </w:rPr>
        <w:t>)</w:t>
      </w:r>
      <w:r w:rsidR="0060018F">
        <w:rPr>
          <w:rFonts w:ascii="Times New Roman" w:hAnsi="Times New Roman" w:cs="Times New Roman"/>
          <w:sz w:val="24"/>
          <w:szCs w:val="24"/>
        </w:rPr>
        <w:t>.</w:t>
      </w:r>
      <w:r>
        <w:rPr>
          <w:rFonts w:ascii="Times New Roman" w:hAnsi="Times New Roman" w:cs="Times New Roman"/>
          <w:sz w:val="24"/>
          <w:szCs w:val="24"/>
        </w:rPr>
        <w:t xml:space="preserve">” </w:t>
      </w:r>
    </w:p>
    <w:p w:rsidR="0060018F" w:rsidRDefault="0060018F" w:rsidP="0060018F">
      <w:pPr>
        <w:spacing w:after="0" w:line="360" w:lineRule="auto"/>
        <w:jc w:val="both"/>
        <w:rPr>
          <w:rFonts w:ascii="Times New Roman" w:hAnsi="Times New Roman" w:cs="Times New Roman"/>
          <w:sz w:val="24"/>
          <w:szCs w:val="24"/>
        </w:rPr>
      </w:pPr>
    </w:p>
    <w:p w:rsidR="0060018F" w:rsidRDefault="0060018F" w:rsidP="00C11D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the matter are that appellant and the complainant are neighbours at </w:t>
      </w:r>
      <w:proofErr w:type="spellStart"/>
      <w:r>
        <w:rPr>
          <w:rFonts w:ascii="Times New Roman" w:hAnsi="Times New Roman" w:cs="Times New Roman"/>
          <w:sz w:val="24"/>
          <w:szCs w:val="24"/>
        </w:rPr>
        <w:t>Temberere</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Zimunya</w:t>
      </w:r>
      <w:proofErr w:type="spellEnd"/>
      <w:r>
        <w:rPr>
          <w:rFonts w:ascii="Times New Roman" w:hAnsi="Times New Roman" w:cs="Times New Roman"/>
          <w:sz w:val="24"/>
          <w:szCs w:val="24"/>
        </w:rPr>
        <w:t xml:space="preserve">, Mutare. On 1 August 2018 at around 1900 hours at </w:t>
      </w:r>
      <w:proofErr w:type="spellStart"/>
      <w:r>
        <w:rPr>
          <w:rFonts w:ascii="Times New Roman" w:hAnsi="Times New Roman" w:cs="Times New Roman"/>
          <w:sz w:val="24"/>
          <w:szCs w:val="24"/>
        </w:rPr>
        <w:t>Zimunya</w:t>
      </w:r>
      <w:proofErr w:type="spellEnd"/>
      <w:r>
        <w:rPr>
          <w:rFonts w:ascii="Times New Roman" w:hAnsi="Times New Roman" w:cs="Times New Roman"/>
          <w:sz w:val="24"/>
          <w:szCs w:val="24"/>
        </w:rPr>
        <w:t xml:space="preserve"> Business Centre, one of the accused’s alleged accomplice approached complainant asking</w:t>
      </w:r>
      <w:r w:rsidR="00C11DB3">
        <w:rPr>
          <w:rFonts w:ascii="Times New Roman" w:hAnsi="Times New Roman" w:cs="Times New Roman"/>
          <w:sz w:val="24"/>
          <w:szCs w:val="24"/>
        </w:rPr>
        <w:t xml:space="preserve"> for some money and was given </w:t>
      </w:r>
      <w:r w:rsidR="001E1ABD">
        <w:rPr>
          <w:rFonts w:ascii="Times New Roman" w:hAnsi="Times New Roman" w:cs="Times New Roman"/>
          <w:sz w:val="24"/>
          <w:szCs w:val="24"/>
        </w:rPr>
        <w:t>0.</w:t>
      </w:r>
      <w:r w:rsidR="00C11DB3">
        <w:rPr>
          <w:rFonts w:ascii="Times New Roman" w:hAnsi="Times New Roman" w:cs="Times New Roman"/>
          <w:sz w:val="24"/>
          <w:szCs w:val="24"/>
        </w:rPr>
        <w:t xml:space="preserve">50c. The complainant and that person then parted </w:t>
      </w:r>
      <w:r w:rsidR="00C11DB3">
        <w:rPr>
          <w:rFonts w:ascii="Times New Roman" w:hAnsi="Times New Roman" w:cs="Times New Roman"/>
          <w:sz w:val="24"/>
          <w:szCs w:val="24"/>
        </w:rPr>
        <w:lastRenderedPageBreak/>
        <w:t xml:space="preserve">ways. The person who had been given 50c followed complainant and walked together proceeding to </w:t>
      </w:r>
      <w:proofErr w:type="spellStart"/>
      <w:r w:rsidR="00C11DB3">
        <w:rPr>
          <w:rFonts w:ascii="Times New Roman" w:hAnsi="Times New Roman" w:cs="Times New Roman"/>
          <w:sz w:val="24"/>
          <w:szCs w:val="24"/>
        </w:rPr>
        <w:t>Temberere</w:t>
      </w:r>
      <w:proofErr w:type="spellEnd"/>
      <w:r w:rsidR="00C11DB3">
        <w:rPr>
          <w:rFonts w:ascii="Times New Roman" w:hAnsi="Times New Roman" w:cs="Times New Roman"/>
          <w:sz w:val="24"/>
          <w:szCs w:val="24"/>
        </w:rPr>
        <w:t xml:space="preserve"> Village. When the complainant and that outstanding accomplice</w:t>
      </w:r>
      <w:r w:rsidR="006526EB">
        <w:rPr>
          <w:rFonts w:ascii="Times New Roman" w:hAnsi="Times New Roman" w:cs="Times New Roman"/>
          <w:sz w:val="24"/>
          <w:szCs w:val="24"/>
        </w:rPr>
        <w:t xml:space="preserve"> had crossed the Mutare-</w:t>
      </w:r>
      <w:proofErr w:type="spellStart"/>
      <w:r w:rsidR="006526EB">
        <w:rPr>
          <w:rFonts w:ascii="Times New Roman" w:hAnsi="Times New Roman" w:cs="Times New Roman"/>
          <w:sz w:val="24"/>
          <w:szCs w:val="24"/>
        </w:rPr>
        <w:t>Masvingo</w:t>
      </w:r>
      <w:proofErr w:type="spellEnd"/>
      <w:r w:rsidR="006526EB">
        <w:rPr>
          <w:rFonts w:ascii="Times New Roman" w:hAnsi="Times New Roman" w:cs="Times New Roman"/>
          <w:sz w:val="24"/>
          <w:szCs w:val="24"/>
        </w:rPr>
        <w:t xml:space="preserve"> road, appellant and the third accomplice came from behind running. Appellant tripped the complainant to the ground, forcibly</w:t>
      </w:r>
      <w:r w:rsidR="00CA31F0">
        <w:rPr>
          <w:rFonts w:ascii="Times New Roman" w:hAnsi="Times New Roman" w:cs="Times New Roman"/>
          <w:sz w:val="24"/>
          <w:szCs w:val="24"/>
        </w:rPr>
        <w:t xml:space="preserve"> sto</w:t>
      </w:r>
      <w:r w:rsidR="006526EB">
        <w:rPr>
          <w:rFonts w:ascii="Times New Roman" w:hAnsi="Times New Roman" w:cs="Times New Roman"/>
          <w:sz w:val="24"/>
          <w:szCs w:val="24"/>
        </w:rPr>
        <w:t xml:space="preserve">pped </w:t>
      </w:r>
      <w:r w:rsidR="00CA31F0">
        <w:rPr>
          <w:rFonts w:ascii="Times New Roman" w:hAnsi="Times New Roman" w:cs="Times New Roman"/>
          <w:sz w:val="24"/>
          <w:szCs w:val="24"/>
        </w:rPr>
        <w:t>and grabbed the complainant’s neck. The second accomplice sat on the complainant’s stomach whilst the 3</w:t>
      </w:r>
      <w:r w:rsidR="00CA31F0" w:rsidRPr="00CA31F0">
        <w:rPr>
          <w:rFonts w:ascii="Times New Roman" w:hAnsi="Times New Roman" w:cs="Times New Roman"/>
          <w:sz w:val="24"/>
          <w:szCs w:val="24"/>
          <w:vertAlign w:val="superscript"/>
        </w:rPr>
        <w:t>rd</w:t>
      </w:r>
      <w:r w:rsidR="00CA31F0">
        <w:rPr>
          <w:rFonts w:ascii="Times New Roman" w:hAnsi="Times New Roman" w:cs="Times New Roman"/>
          <w:sz w:val="24"/>
          <w:szCs w:val="24"/>
        </w:rPr>
        <w:t xml:space="preserve"> accomplice was holding legs and appellant assaulting the complainant using an unidentified metal objec</w:t>
      </w:r>
      <w:r w:rsidR="00D91DED">
        <w:rPr>
          <w:rFonts w:ascii="Times New Roman" w:hAnsi="Times New Roman" w:cs="Times New Roman"/>
          <w:sz w:val="24"/>
          <w:szCs w:val="24"/>
        </w:rPr>
        <w:t>t on the face several times, hit</w:t>
      </w:r>
      <w:r w:rsidR="00CA31F0">
        <w:rPr>
          <w:rFonts w:ascii="Times New Roman" w:hAnsi="Times New Roman" w:cs="Times New Roman"/>
          <w:sz w:val="24"/>
          <w:szCs w:val="24"/>
        </w:rPr>
        <w:t>ting complainant on the mouth and forehead using fists. The complainant became unconscious and later regained due to cold weather. He discovered that his black shoes, solar light, sun hat and cash were missing. Complainant was medically examined and he sustained a painful neck and chest, bruised eyes and had a headache due to the assault.</w:t>
      </w:r>
    </w:p>
    <w:p w:rsidR="00CA31F0" w:rsidRDefault="00CA31F0" w:rsidP="00CA31F0">
      <w:pPr>
        <w:spacing w:after="0" w:line="360" w:lineRule="auto"/>
        <w:jc w:val="both"/>
        <w:rPr>
          <w:rFonts w:ascii="Times New Roman" w:hAnsi="Times New Roman" w:cs="Times New Roman"/>
          <w:sz w:val="24"/>
          <w:szCs w:val="24"/>
        </w:rPr>
      </w:pPr>
    </w:p>
    <w:p w:rsidR="00CA31F0" w:rsidRDefault="00CA31F0" w:rsidP="00CA31F0">
      <w:pPr>
        <w:spacing w:after="0" w:line="360" w:lineRule="auto"/>
        <w:jc w:val="both"/>
        <w:rPr>
          <w:rFonts w:ascii="Times New Roman" w:hAnsi="Times New Roman" w:cs="Times New Roman"/>
          <w:sz w:val="24"/>
          <w:szCs w:val="24"/>
          <w:u w:val="single"/>
        </w:rPr>
      </w:pPr>
      <w:r w:rsidRPr="00CA31F0">
        <w:rPr>
          <w:rFonts w:ascii="Times New Roman" w:hAnsi="Times New Roman" w:cs="Times New Roman"/>
          <w:sz w:val="24"/>
          <w:szCs w:val="24"/>
          <w:u w:val="single"/>
        </w:rPr>
        <w:t>WHETHER THE TRIAL COURT FAILED TO PROPERLY AND JUDICIOUSLY CONSIDER THE ISSUE OF ALIBI RAISED IN APPELLANT’S DEFENCE</w:t>
      </w:r>
    </w:p>
    <w:p w:rsidR="00C651A5" w:rsidRPr="00CA31F0" w:rsidRDefault="00C651A5" w:rsidP="00CA31F0">
      <w:pPr>
        <w:spacing w:after="0" w:line="360" w:lineRule="auto"/>
        <w:jc w:val="both"/>
        <w:rPr>
          <w:rFonts w:ascii="Times New Roman" w:hAnsi="Times New Roman" w:cs="Times New Roman"/>
          <w:sz w:val="24"/>
          <w:szCs w:val="24"/>
          <w:u w:val="single"/>
        </w:rPr>
      </w:pPr>
    </w:p>
    <w:p w:rsidR="00CA31F0" w:rsidRDefault="00CA31F0" w:rsidP="00CA31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reasons for judgment, the learned Provincial Magistrate did not directly deal with appellant’s alibi </w:t>
      </w:r>
      <w:proofErr w:type="spellStart"/>
      <w:r w:rsidRPr="00CA31F0">
        <w:rPr>
          <w:rFonts w:ascii="Times New Roman" w:hAnsi="Times New Roman" w:cs="Times New Roman"/>
          <w:i/>
          <w:sz w:val="24"/>
          <w:szCs w:val="24"/>
        </w:rPr>
        <w:t>perse</w:t>
      </w:r>
      <w:proofErr w:type="spellEnd"/>
      <w:r>
        <w:rPr>
          <w:rFonts w:ascii="Times New Roman" w:hAnsi="Times New Roman" w:cs="Times New Roman"/>
          <w:sz w:val="24"/>
          <w:szCs w:val="24"/>
        </w:rPr>
        <w:t xml:space="preserve">. Instead it </w:t>
      </w:r>
      <w:r w:rsidR="00D91DED">
        <w:rPr>
          <w:rFonts w:ascii="Times New Roman" w:hAnsi="Times New Roman" w:cs="Times New Roman"/>
          <w:sz w:val="24"/>
          <w:szCs w:val="24"/>
        </w:rPr>
        <w:t>dwelt</w:t>
      </w:r>
      <w:r>
        <w:rPr>
          <w:rFonts w:ascii="Times New Roman" w:hAnsi="Times New Roman" w:cs="Times New Roman"/>
          <w:sz w:val="24"/>
          <w:szCs w:val="24"/>
        </w:rPr>
        <w:t xml:space="preserve"> much on the fact that the complainant who was a neighbour could not have been mistaken about appellant. Complainant has seen appellant earlier on at the business centre and he had torched appellant’s face at the scene of the offence. During the attack complainant had also managed to identify the appellant. The court </w:t>
      </w:r>
      <w:r w:rsidRPr="00CA31F0">
        <w:rPr>
          <w:rFonts w:ascii="Times New Roman" w:hAnsi="Times New Roman" w:cs="Times New Roman"/>
          <w:i/>
          <w:sz w:val="24"/>
          <w:szCs w:val="24"/>
        </w:rPr>
        <w:t>a quo</w:t>
      </w:r>
      <w:r>
        <w:rPr>
          <w:rFonts w:ascii="Times New Roman" w:hAnsi="Times New Roman" w:cs="Times New Roman"/>
          <w:sz w:val="24"/>
          <w:szCs w:val="24"/>
        </w:rPr>
        <w:t xml:space="preserve"> disbelieved the appellant as well as his witnesses’ evidence on the aspect that appellant was in </w:t>
      </w:r>
      <w:proofErr w:type="spellStart"/>
      <w:r w:rsidR="00C651A5">
        <w:rPr>
          <w:rFonts w:ascii="Times New Roman" w:hAnsi="Times New Roman" w:cs="Times New Roman"/>
          <w:sz w:val="24"/>
          <w:szCs w:val="24"/>
        </w:rPr>
        <w:t>Revesai</w:t>
      </w:r>
      <w:proofErr w:type="spellEnd"/>
      <w:r w:rsidR="00C651A5">
        <w:rPr>
          <w:rFonts w:ascii="Times New Roman" w:hAnsi="Times New Roman" w:cs="Times New Roman"/>
          <w:sz w:val="24"/>
          <w:szCs w:val="24"/>
        </w:rPr>
        <w:t xml:space="preserve"> Village at the time of the alleged robbery. The court </w:t>
      </w:r>
      <w:r w:rsidR="00C651A5" w:rsidRPr="00C651A5">
        <w:rPr>
          <w:rFonts w:ascii="Times New Roman" w:hAnsi="Times New Roman" w:cs="Times New Roman"/>
          <w:i/>
          <w:sz w:val="24"/>
          <w:szCs w:val="24"/>
        </w:rPr>
        <w:t>a quo</w:t>
      </w:r>
      <w:r w:rsidR="00C651A5">
        <w:rPr>
          <w:rFonts w:ascii="Times New Roman" w:hAnsi="Times New Roman" w:cs="Times New Roman"/>
          <w:sz w:val="24"/>
          <w:szCs w:val="24"/>
        </w:rPr>
        <w:t xml:space="preserve"> went on to compare the evidence of identification led by the State and based on credibility dismissed appellant’s version.</w:t>
      </w:r>
    </w:p>
    <w:p w:rsidR="00C651A5" w:rsidRDefault="00C651A5" w:rsidP="00CA31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C651A5">
        <w:rPr>
          <w:rFonts w:ascii="Times New Roman" w:hAnsi="Times New Roman" w:cs="Times New Roman"/>
          <w:i/>
          <w:sz w:val="24"/>
          <w:szCs w:val="24"/>
        </w:rPr>
        <w:t xml:space="preserve">Stephen </w:t>
      </w:r>
      <w:proofErr w:type="spellStart"/>
      <w:r w:rsidRPr="00C651A5">
        <w:rPr>
          <w:rFonts w:ascii="Times New Roman" w:hAnsi="Times New Roman" w:cs="Times New Roman"/>
          <w:i/>
          <w:sz w:val="24"/>
          <w:szCs w:val="24"/>
        </w:rPr>
        <w:t>Mhlobo</w:t>
      </w:r>
      <w:proofErr w:type="spellEnd"/>
      <w:r w:rsidRPr="00C651A5">
        <w:rPr>
          <w:rFonts w:ascii="Times New Roman" w:hAnsi="Times New Roman" w:cs="Times New Roman"/>
          <w:i/>
          <w:sz w:val="24"/>
          <w:szCs w:val="24"/>
        </w:rPr>
        <w:t xml:space="preserve"> </w:t>
      </w:r>
      <w:proofErr w:type="spellStart"/>
      <w:r w:rsidRPr="00C651A5">
        <w:rPr>
          <w:rFonts w:ascii="Times New Roman" w:hAnsi="Times New Roman" w:cs="Times New Roman"/>
          <w:i/>
          <w:sz w:val="24"/>
          <w:szCs w:val="24"/>
        </w:rPr>
        <w:t>Nkomo</w:t>
      </w:r>
      <w:proofErr w:type="spellEnd"/>
      <w:r w:rsidRPr="00C651A5">
        <w:rPr>
          <w:rFonts w:ascii="Times New Roman" w:hAnsi="Times New Roman" w:cs="Times New Roman"/>
          <w:i/>
          <w:sz w:val="24"/>
          <w:szCs w:val="24"/>
        </w:rPr>
        <w:t xml:space="preserve"> v The State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spellStart"/>
      <w:r w:rsidRPr="00C651A5">
        <w:rPr>
          <w:rFonts w:ascii="Times New Roman" w:hAnsi="Times New Roman" w:cs="Times New Roman"/>
          <w:smallCaps/>
        </w:rPr>
        <w:t>Mc</w:t>
      </w:r>
      <w:proofErr w:type="spellEnd"/>
      <w:r w:rsidRPr="00C651A5">
        <w:rPr>
          <w:rFonts w:ascii="Times New Roman" w:hAnsi="Times New Roman" w:cs="Times New Roman"/>
          <w:smallCaps/>
        </w:rPr>
        <w:t xml:space="preserve"> </w:t>
      </w:r>
      <w:proofErr w:type="spellStart"/>
      <w:r w:rsidRPr="00C651A5">
        <w:rPr>
          <w:rFonts w:ascii="Times New Roman" w:hAnsi="Times New Roman" w:cs="Times New Roman"/>
          <w:smallCaps/>
        </w:rPr>
        <w:t>Nally</w:t>
      </w:r>
      <w:proofErr w:type="spellEnd"/>
      <w:r w:rsidRPr="00C651A5">
        <w:rPr>
          <w:rFonts w:ascii="Times New Roman" w:hAnsi="Times New Roman" w:cs="Times New Roman"/>
          <w:smallCaps/>
        </w:rPr>
        <w:t xml:space="preserve"> </w:t>
      </w:r>
      <w:proofErr w:type="spellStart"/>
      <w:r w:rsidRPr="00C651A5">
        <w:rPr>
          <w:rFonts w:ascii="Times New Roman" w:hAnsi="Times New Roman" w:cs="Times New Roman"/>
          <w:smallCaps/>
        </w:rPr>
        <w:t>ja</w:t>
      </w:r>
      <w:proofErr w:type="spellEnd"/>
      <w:r>
        <w:rPr>
          <w:rFonts w:ascii="Times New Roman" w:hAnsi="Times New Roman" w:cs="Times New Roman"/>
          <w:sz w:val="24"/>
          <w:szCs w:val="24"/>
        </w:rPr>
        <w:t xml:space="preserve"> quoting the English case of R v Turnbull</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had this to say:</w:t>
      </w:r>
    </w:p>
    <w:p w:rsidR="00C651A5" w:rsidRDefault="00C651A5" w:rsidP="00E450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45016">
        <w:rPr>
          <w:rFonts w:ascii="Times New Roman" w:hAnsi="Times New Roman" w:cs="Times New Roman"/>
        </w:rPr>
        <w:t xml:space="preserve">Very broadly speaking the judgment of Lord </w:t>
      </w:r>
      <w:proofErr w:type="spellStart"/>
      <w:r w:rsidRPr="00E45016">
        <w:rPr>
          <w:rFonts w:ascii="Times New Roman" w:hAnsi="Times New Roman" w:cs="Times New Roman"/>
        </w:rPr>
        <w:t>Widgery</w:t>
      </w:r>
      <w:proofErr w:type="spellEnd"/>
      <w:r w:rsidRPr="00E45016">
        <w:rPr>
          <w:rFonts w:ascii="Times New Roman" w:hAnsi="Times New Roman" w:cs="Times New Roman"/>
        </w:rPr>
        <w:t xml:space="preserve"> was to the effect that good identification does not </w:t>
      </w:r>
      <w:r w:rsidR="00D91DED">
        <w:rPr>
          <w:rFonts w:ascii="Times New Roman" w:hAnsi="Times New Roman" w:cs="Times New Roman"/>
        </w:rPr>
        <w:t xml:space="preserve">need </w:t>
      </w:r>
      <w:r w:rsidRPr="00E45016">
        <w:rPr>
          <w:rFonts w:ascii="Times New Roman" w:hAnsi="Times New Roman" w:cs="Times New Roman"/>
        </w:rPr>
        <w:t xml:space="preserve">corroboration or support, but pour identification does. Good identification he defined by examples. (1) </w:t>
      </w:r>
      <w:proofErr w:type="gramStart"/>
      <w:r w:rsidRPr="00E45016">
        <w:rPr>
          <w:rFonts w:ascii="Times New Roman" w:hAnsi="Times New Roman" w:cs="Times New Roman"/>
        </w:rPr>
        <w:t>a</w:t>
      </w:r>
      <w:proofErr w:type="gramEnd"/>
      <w:r w:rsidRPr="00E45016">
        <w:rPr>
          <w:rFonts w:ascii="Times New Roman" w:hAnsi="Times New Roman" w:cs="Times New Roman"/>
        </w:rPr>
        <w:t xml:space="preserve"> kidnapped person kept for ma</w:t>
      </w:r>
      <w:r w:rsidR="00D91DED">
        <w:rPr>
          <w:rFonts w:ascii="Times New Roman" w:hAnsi="Times New Roman" w:cs="Times New Roman"/>
        </w:rPr>
        <w:t>n</w:t>
      </w:r>
      <w:r w:rsidRPr="00E45016">
        <w:rPr>
          <w:rFonts w:ascii="Times New Roman" w:hAnsi="Times New Roman" w:cs="Times New Roman"/>
        </w:rPr>
        <w:t xml:space="preserve">y days in the company of his kidnapper, who identifies him without hesitation months later. (2) </w:t>
      </w:r>
      <w:proofErr w:type="gramStart"/>
      <w:r w:rsidRPr="00E45016">
        <w:rPr>
          <w:rFonts w:ascii="Times New Roman" w:hAnsi="Times New Roman" w:cs="Times New Roman"/>
        </w:rPr>
        <w:t>a</w:t>
      </w:r>
      <w:proofErr w:type="gramEnd"/>
      <w:r w:rsidRPr="00E45016">
        <w:rPr>
          <w:rFonts w:ascii="Times New Roman" w:hAnsi="Times New Roman" w:cs="Times New Roman"/>
        </w:rPr>
        <w:t xml:space="preserve"> suspect person kept under observation and seen by two policemen several times, identified by them six months later (3) A colleague known from work for several years seen clearly stealing a wallet from a locker. Such cases, said Lord </w:t>
      </w:r>
      <w:proofErr w:type="spellStart"/>
      <w:r w:rsidRPr="00E45016">
        <w:rPr>
          <w:rFonts w:ascii="Times New Roman" w:hAnsi="Times New Roman" w:cs="Times New Roman"/>
        </w:rPr>
        <w:t>Widgery</w:t>
      </w:r>
      <w:proofErr w:type="spellEnd"/>
      <w:r w:rsidRPr="00E45016">
        <w:rPr>
          <w:rFonts w:ascii="Times New Roman" w:hAnsi="Times New Roman" w:cs="Times New Roman"/>
        </w:rPr>
        <w:t>, could be left to the jury to decide. On the other hand identification is poor.”</w:t>
      </w:r>
      <w:r w:rsidR="00E45016" w:rsidRPr="00E45016">
        <w:rPr>
          <w:rFonts w:ascii="Times New Roman" w:hAnsi="Times New Roman" w:cs="Times New Roman"/>
        </w:rPr>
        <w:t xml:space="preserve"> “When it depends solely on a fleeting glance or on a longer </w:t>
      </w:r>
      <w:r w:rsidR="00987127" w:rsidRPr="00E45016">
        <w:rPr>
          <w:rFonts w:ascii="Times New Roman" w:hAnsi="Times New Roman" w:cs="Times New Roman"/>
        </w:rPr>
        <w:t>observation</w:t>
      </w:r>
      <w:r w:rsidR="00E45016" w:rsidRPr="00E45016">
        <w:rPr>
          <w:rFonts w:ascii="Times New Roman" w:hAnsi="Times New Roman" w:cs="Times New Roman"/>
        </w:rPr>
        <w:t xml:space="preserve"> </w:t>
      </w:r>
      <w:r w:rsidR="00E45016" w:rsidRPr="00E45016">
        <w:rPr>
          <w:rFonts w:ascii="Times New Roman" w:hAnsi="Times New Roman" w:cs="Times New Roman"/>
        </w:rPr>
        <w:lastRenderedPageBreak/>
        <w:t>made in difficult conditions.” “Recognition</w:t>
      </w:r>
      <w:r w:rsidR="00E45016">
        <w:rPr>
          <w:rFonts w:ascii="Times New Roman" w:hAnsi="Times New Roman" w:cs="Times New Roman"/>
          <w:sz w:val="24"/>
          <w:szCs w:val="24"/>
        </w:rPr>
        <w:t>” he said elsewhere in the judgment “may be more reliable than identification of a stranger. In such cases corroboration or support (and odd coincidences, unexplained can, he said, be regarded as support) should be required.”</w:t>
      </w:r>
      <w:r w:rsidR="00E45016">
        <w:rPr>
          <w:rStyle w:val="FootnoteReference"/>
          <w:rFonts w:ascii="Times New Roman" w:hAnsi="Times New Roman" w:cs="Times New Roman"/>
          <w:sz w:val="24"/>
          <w:szCs w:val="24"/>
        </w:rPr>
        <w:footnoteReference w:id="3"/>
      </w:r>
    </w:p>
    <w:p w:rsidR="00987127" w:rsidRDefault="00987127" w:rsidP="00E45016">
      <w:pPr>
        <w:spacing w:after="0" w:line="240" w:lineRule="auto"/>
        <w:ind w:left="720"/>
        <w:jc w:val="both"/>
        <w:rPr>
          <w:rFonts w:ascii="Times New Roman" w:hAnsi="Times New Roman" w:cs="Times New Roman"/>
          <w:sz w:val="24"/>
          <w:szCs w:val="24"/>
        </w:rPr>
      </w:pPr>
    </w:p>
    <w:p w:rsidR="00987127" w:rsidRDefault="00987127" w:rsidP="00E450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987127">
        <w:rPr>
          <w:rFonts w:ascii="Times New Roman" w:hAnsi="Times New Roman" w:cs="Times New Roman"/>
          <w:i/>
          <w:sz w:val="24"/>
          <w:szCs w:val="24"/>
        </w:rPr>
        <w:t xml:space="preserve">S v </w:t>
      </w:r>
      <w:proofErr w:type="spellStart"/>
      <w:r w:rsidRPr="00987127">
        <w:rPr>
          <w:rFonts w:ascii="Times New Roman" w:hAnsi="Times New Roman" w:cs="Times New Roman"/>
          <w:i/>
          <w:sz w:val="24"/>
          <w:szCs w:val="24"/>
        </w:rPr>
        <w:t>Mutandi</w:t>
      </w:r>
      <w:proofErr w:type="spellEnd"/>
      <w:r>
        <w:rPr>
          <w:rStyle w:val="FootnoteReference"/>
          <w:rFonts w:ascii="Times New Roman" w:hAnsi="Times New Roman" w:cs="Times New Roman"/>
          <w:sz w:val="24"/>
          <w:szCs w:val="24"/>
        </w:rPr>
        <w:footnoteReference w:id="4"/>
      </w:r>
      <w:r>
        <w:rPr>
          <w:rFonts w:ascii="Times New Roman" w:hAnsi="Times New Roman" w:cs="Times New Roman"/>
          <w:sz w:val="24"/>
          <w:szCs w:val="24"/>
        </w:rPr>
        <w:t>, it was held that:</w:t>
      </w:r>
    </w:p>
    <w:p w:rsidR="00987127" w:rsidRDefault="00987127" w:rsidP="00E45016">
      <w:pPr>
        <w:spacing w:after="0" w:line="240" w:lineRule="auto"/>
        <w:ind w:left="720"/>
        <w:jc w:val="both"/>
        <w:rPr>
          <w:rFonts w:ascii="Times New Roman" w:hAnsi="Times New Roman" w:cs="Times New Roman"/>
          <w:sz w:val="24"/>
          <w:szCs w:val="24"/>
        </w:rPr>
      </w:pPr>
    </w:p>
    <w:p w:rsidR="00987127" w:rsidRPr="009E5DA1" w:rsidRDefault="00987127" w:rsidP="009E5DA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9E5DA1">
        <w:rPr>
          <w:rFonts w:ascii="Times New Roman" w:hAnsi="Times New Roman" w:cs="Times New Roman"/>
        </w:rPr>
        <w:t xml:space="preserve">Where there is direct or circumstantial evidence which points to the accused as the criminal, the most satisfactory form of rebuttal is for him to show that he could not have committed the crime because he was somewhere else. This is known as the defence of alibi, but it was a straight forward denial of the </w:t>
      </w:r>
      <w:r w:rsidR="00E002B0" w:rsidRPr="009E5DA1">
        <w:rPr>
          <w:rFonts w:ascii="Times New Roman" w:hAnsi="Times New Roman" w:cs="Times New Roman"/>
        </w:rPr>
        <w:t>prosecution’s</w:t>
      </w:r>
      <w:r w:rsidRPr="009E5DA1">
        <w:rPr>
          <w:rFonts w:ascii="Times New Roman" w:hAnsi="Times New Roman" w:cs="Times New Roman"/>
        </w:rPr>
        <w:t xml:space="preserve"> case on the issue of identity. There is no onus on the accused to prove his alibi, if on all the evidence there is a reasonable possibility that the alibi evidence is true, there must be the same possibility that he did not commit the crime and the accused is entitled to be acquitted.</w:t>
      </w:r>
    </w:p>
    <w:p w:rsidR="00987127" w:rsidRPr="009E5DA1" w:rsidRDefault="00987127" w:rsidP="00987127">
      <w:pPr>
        <w:spacing w:after="0" w:line="240" w:lineRule="auto"/>
        <w:ind w:left="1440"/>
        <w:jc w:val="both"/>
        <w:rPr>
          <w:rFonts w:ascii="Times New Roman" w:hAnsi="Times New Roman" w:cs="Times New Roman"/>
        </w:rPr>
      </w:pPr>
    </w:p>
    <w:p w:rsidR="00987127" w:rsidRDefault="00987127" w:rsidP="009E5DA1">
      <w:pPr>
        <w:spacing w:after="0" w:line="240" w:lineRule="auto"/>
        <w:ind w:left="720"/>
        <w:jc w:val="both"/>
        <w:rPr>
          <w:rFonts w:ascii="Times New Roman" w:hAnsi="Times New Roman" w:cs="Times New Roman"/>
          <w:sz w:val="24"/>
          <w:szCs w:val="24"/>
        </w:rPr>
      </w:pPr>
      <w:r w:rsidRPr="009E5DA1">
        <w:rPr>
          <w:rFonts w:ascii="Times New Roman" w:hAnsi="Times New Roman" w:cs="Times New Roman"/>
        </w:rPr>
        <w:t xml:space="preserve">If the prosecution case relies on identification by a single witness, it is not enough to find that the </w:t>
      </w:r>
      <w:r w:rsidR="00E002B0" w:rsidRPr="009E5DA1">
        <w:rPr>
          <w:rFonts w:ascii="Times New Roman" w:hAnsi="Times New Roman" w:cs="Times New Roman"/>
        </w:rPr>
        <w:t>witness</w:t>
      </w:r>
      <w:r w:rsidRPr="009E5DA1">
        <w:rPr>
          <w:rFonts w:ascii="Times New Roman" w:hAnsi="Times New Roman" w:cs="Times New Roman"/>
        </w:rPr>
        <w:t xml:space="preserve"> honestly believes that he has correctly identified the accused confidence, a good demeanour and </w:t>
      </w:r>
      <w:r w:rsidR="00E002B0" w:rsidRPr="009E5DA1">
        <w:rPr>
          <w:rFonts w:ascii="Times New Roman" w:hAnsi="Times New Roman" w:cs="Times New Roman"/>
        </w:rPr>
        <w:t xml:space="preserve">sincerity are not enough. The witness might be honestly mistaken. The reliability of the observation must be tested, for there are numerous factors and </w:t>
      </w:r>
      <w:r w:rsidR="009E5DA1" w:rsidRPr="009E5DA1">
        <w:rPr>
          <w:rFonts w:ascii="Times New Roman" w:hAnsi="Times New Roman" w:cs="Times New Roman"/>
        </w:rPr>
        <w:t>circumstances</w:t>
      </w:r>
      <w:r w:rsidR="00E002B0" w:rsidRPr="009E5DA1">
        <w:rPr>
          <w:rFonts w:ascii="Times New Roman" w:hAnsi="Times New Roman" w:cs="Times New Roman"/>
        </w:rPr>
        <w:t xml:space="preserve"> which affect that reliability. These factors must be weighed against one another, in the light of all the evidence (including the </w:t>
      </w:r>
      <w:proofErr w:type="gramStart"/>
      <w:r w:rsidR="00E002B0" w:rsidRPr="009E5DA1">
        <w:rPr>
          <w:rFonts w:ascii="Times New Roman" w:hAnsi="Times New Roman" w:cs="Times New Roman"/>
        </w:rPr>
        <w:t>accused’s</w:t>
      </w:r>
      <w:proofErr w:type="gramEnd"/>
      <w:r w:rsidR="00E002B0" w:rsidRPr="009E5DA1">
        <w:rPr>
          <w:rFonts w:ascii="Times New Roman" w:hAnsi="Times New Roman" w:cs="Times New Roman"/>
        </w:rPr>
        <w:t>) and the</w:t>
      </w:r>
      <w:r w:rsidR="009E5DA1" w:rsidRPr="009E5DA1">
        <w:rPr>
          <w:rFonts w:ascii="Times New Roman" w:hAnsi="Times New Roman" w:cs="Times New Roman"/>
        </w:rPr>
        <w:t xml:space="preserve"> probabilities. For these reasons, a cautious approach is needed. Caution is not demonstrated by a mere statement by the judicial officer that he is aware of the need for caution. It is not even necessary for such utterances to be made. What is necessary is a demonstration in his reasoning of a cautious approach and of alertness to the real dangers which the cautionary rule seeks to address</w:t>
      </w:r>
      <w:r w:rsidR="009E5DA1">
        <w:rPr>
          <w:rFonts w:ascii="Times New Roman" w:hAnsi="Times New Roman" w:cs="Times New Roman"/>
          <w:sz w:val="24"/>
          <w:szCs w:val="24"/>
        </w:rPr>
        <w:t>.</w:t>
      </w:r>
      <w:r>
        <w:rPr>
          <w:rFonts w:ascii="Times New Roman" w:hAnsi="Times New Roman" w:cs="Times New Roman"/>
          <w:sz w:val="24"/>
          <w:szCs w:val="24"/>
        </w:rPr>
        <w:t>”</w:t>
      </w:r>
    </w:p>
    <w:p w:rsidR="009E5DA1" w:rsidRDefault="009E5DA1" w:rsidP="009E5DA1">
      <w:pPr>
        <w:spacing w:after="0" w:line="240" w:lineRule="auto"/>
        <w:jc w:val="both"/>
        <w:rPr>
          <w:rFonts w:ascii="Times New Roman" w:hAnsi="Times New Roman" w:cs="Times New Roman"/>
          <w:sz w:val="24"/>
          <w:szCs w:val="24"/>
        </w:rPr>
      </w:pPr>
    </w:p>
    <w:p w:rsidR="00BA454A" w:rsidRDefault="009E5DA1" w:rsidP="009E5D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examination of the record of proceedings, more particularly the judgment indeed shows that the trial court failed to deal with the issue of alibi applying in its reasoning the cautious approach. It is trite law that the onus to disprove defence of alibi does not lie on the accused. It does lie on the State. However, in this case the accused went on to call the defence witnesses who could have been probed by the police.</w:t>
      </w:r>
      <w:r>
        <w:rPr>
          <w:rStyle w:val="FootnoteReference"/>
          <w:rFonts w:ascii="Times New Roman" w:hAnsi="Times New Roman" w:cs="Times New Roman"/>
          <w:sz w:val="24"/>
          <w:szCs w:val="24"/>
        </w:rPr>
        <w:footnoteReference w:id="5"/>
      </w:r>
      <w:r w:rsidR="007B2808">
        <w:rPr>
          <w:rFonts w:ascii="Times New Roman" w:hAnsi="Times New Roman" w:cs="Times New Roman"/>
          <w:sz w:val="24"/>
          <w:szCs w:val="24"/>
        </w:rPr>
        <w:t xml:space="preserve"> Nevertheless the court </w:t>
      </w:r>
      <w:r w:rsidR="007B2808" w:rsidRPr="007B2808">
        <w:rPr>
          <w:rFonts w:ascii="Times New Roman" w:hAnsi="Times New Roman" w:cs="Times New Roman"/>
          <w:i/>
          <w:sz w:val="24"/>
          <w:szCs w:val="24"/>
        </w:rPr>
        <w:t>a quo</w:t>
      </w:r>
      <w:r w:rsidR="007B2808">
        <w:rPr>
          <w:rFonts w:ascii="Times New Roman" w:hAnsi="Times New Roman" w:cs="Times New Roman"/>
          <w:sz w:val="24"/>
          <w:szCs w:val="24"/>
        </w:rPr>
        <w:t xml:space="preserve"> went on to believe the State witness and rejected the defence version. The failure by the court to isolate the issue of identifi</w:t>
      </w:r>
      <w:r w:rsidR="00D91DED">
        <w:rPr>
          <w:rFonts w:ascii="Times New Roman" w:hAnsi="Times New Roman" w:cs="Times New Roman"/>
          <w:sz w:val="24"/>
          <w:szCs w:val="24"/>
        </w:rPr>
        <w:t>cation and deal with it cautiou</w:t>
      </w:r>
      <w:r w:rsidR="007B2808">
        <w:rPr>
          <w:rFonts w:ascii="Times New Roman" w:hAnsi="Times New Roman" w:cs="Times New Roman"/>
          <w:sz w:val="24"/>
          <w:szCs w:val="24"/>
        </w:rPr>
        <w:t xml:space="preserve">sly is not fatal to the judgment. </w:t>
      </w:r>
    </w:p>
    <w:p w:rsidR="009E5DA1" w:rsidRDefault="00BA454A" w:rsidP="009E5D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E1ABD">
        <w:rPr>
          <w:rFonts w:ascii="Times New Roman" w:hAnsi="Times New Roman" w:cs="Times New Roman"/>
          <w:sz w:val="24"/>
          <w:szCs w:val="24"/>
        </w:rPr>
        <w:t>n our</w:t>
      </w:r>
      <w:r w:rsidR="007B2808">
        <w:rPr>
          <w:rFonts w:ascii="Times New Roman" w:hAnsi="Times New Roman" w:cs="Times New Roman"/>
          <w:sz w:val="24"/>
          <w:szCs w:val="24"/>
        </w:rPr>
        <w:t xml:space="preserve"> view </w:t>
      </w:r>
      <w:r w:rsidR="00D91DED">
        <w:rPr>
          <w:rFonts w:ascii="Times New Roman" w:hAnsi="Times New Roman" w:cs="Times New Roman"/>
          <w:sz w:val="24"/>
          <w:szCs w:val="24"/>
        </w:rPr>
        <w:t>t</w:t>
      </w:r>
      <w:r w:rsidR="007B2808">
        <w:rPr>
          <w:rFonts w:ascii="Times New Roman" w:hAnsi="Times New Roman" w:cs="Times New Roman"/>
          <w:sz w:val="24"/>
          <w:szCs w:val="24"/>
        </w:rPr>
        <w:t xml:space="preserve">he court </w:t>
      </w:r>
      <w:r w:rsidR="007B2808" w:rsidRPr="00BA454A">
        <w:rPr>
          <w:rFonts w:ascii="Times New Roman" w:hAnsi="Times New Roman" w:cs="Times New Roman"/>
          <w:i/>
          <w:sz w:val="24"/>
          <w:szCs w:val="24"/>
        </w:rPr>
        <w:t>a quo</w:t>
      </w:r>
      <w:r w:rsidR="007B2808">
        <w:rPr>
          <w:rFonts w:ascii="Times New Roman" w:hAnsi="Times New Roman" w:cs="Times New Roman"/>
          <w:sz w:val="24"/>
          <w:szCs w:val="24"/>
        </w:rPr>
        <w:t xml:space="preserve"> accepted the </w:t>
      </w:r>
      <w:r>
        <w:rPr>
          <w:rFonts w:ascii="Times New Roman" w:hAnsi="Times New Roman" w:cs="Times New Roman"/>
          <w:sz w:val="24"/>
          <w:szCs w:val="24"/>
        </w:rPr>
        <w:t>complainant’s</w:t>
      </w:r>
      <w:r w:rsidR="007B2808">
        <w:rPr>
          <w:rFonts w:ascii="Times New Roman" w:hAnsi="Times New Roman" w:cs="Times New Roman"/>
          <w:sz w:val="24"/>
          <w:szCs w:val="24"/>
        </w:rPr>
        <w:t xml:space="preserve"> identification as good and sufficient and proceeded</w:t>
      </w:r>
      <w:r>
        <w:rPr>
          <w:rFonts w:ascii="Times New Roman" w:hAnsi="Times New Roman" w:cs="Times New Roman"/>
          <w:sz w:val="24"/>
          <w:szCs w:val="24"/>
        </w:rPr>
        <w:t xml:space="preserve"> to reject both the alibi as well as mistaken identity. It reached that decision relying on its assessment of credibility of the complainant which is the domain of the trial court. The complainant and the appellant were not strangers, complainant had earlier on seen the appellant and went on to torch his façade and heard appellant making utterances, </w:t>
      </w:r>
      <w:proofErr w:type="gramStart"/>
      <w:r>
        <w:rPr>
          <w:rFonts w:ascii="Times New Roman" w:hAnsi="Times New Roman" w:cs="Times New Roman"/>
          <w:sz w:val="24"/>
          <w:szCs w:val="24"/>
        </w:rPr>
        <w:t>certainly</w:t>
      </w:r>
      <w:proofErr w:type="gramEnd"/>
      <w:r>
        <w:rPr>
          <w:rFonts w:ascii="Times New Roman" w:hAnsi="Times New Roman" w:cs="Times New Roman"/>
          <w:sz w:val="24"/>
          <w:szCs w:val="24"/>
        </w:rPr>
        <w:t xml:space="preserve"> it is improbable that complainant would have been mistaken of the appellant. We are satisfied that the first ground of appeal had no merit.</w:t>
      </w:r>
    </w:p>
    <w:p w:rsidR="00BA454A" w:rsidRPr="00BA454A" w:rsidRDefault="00BA454A" w:rsidP="00BA454A">
      <w:pPr>
        <w:spacing w:after="0" w:line="360" w:lineRule="auto"/>
        <w:jc w:val="both"/>
        <w:rPr>
          <w:rFonts w:ascii="Times New Roman" w:hAnsi="Times New Roman" w:cs="Times New Roman"/>
          <w:sz w:val="24"/>
          <w:szCs w:val="24"/>
          <w:u w:val="single"/>
        </w:rPr>
      </w:pPr>
      <w:r w:rsidRPr="00BA454A">
        <w:rPr>
          <w:rFonts w:ascii="Times New Roman" w:hAnsi="Times New Roman" w:cs="Times New Roman"/>
          <w:sz w:val="24"/>
          <w:szCs w:val="24"/>
          <w:u w:val="single"/>
        </w:rPr>
        <w:lastRenderedPageBreak/>
        <w:t>WHETHER THE TRIAL COURT</w:t>
      </w:r>
      <w:r w:rsidR="00570D12">
        <w:rPr>
          <w:rFonts w:ascii="Times New Roman" w:hAnsi="Times New Roman" w:cs="Times New Roman"/>
          <w:sz w:val="24"/>
          <w:szCs w:val="24"/>
          <w:u w:val="single"/>
        </w:rPr>
        <w:t xml:space="preserve"> ERRED IN ACCEPTING COMPLAINANT’</w:t>
      </w:r>
      <w:r w:rsidRPr="00BA454A">
        <w:rPr>
          <w:rFonts w:ascii="Times New Roman" w:hAnsi="Times New Roman" w:cs="Times New Roman"/>
          <w:sz w:val="24"/>
          <w:szCs w:val="24"/>
          <w:u w:val="single"/>
        </w:rPr>
        <w:t>S TESTIMONY</w:t>
      </w:r>
    </w:p>
    <w:p w:rsidR="00BA454A" w:rsidRDefault="00BA454A" w:rsidP="00BA454A">
      <w:pPr>
        <w:spacing w:after="0" w:line="360" w:lineRule="auto"/>
        <w:jc w:val="both"/>
        <w:rPr>
          <w:rFonts w:ascii="Times New Roman" w:hAnsi="Times New Roman" w:cs="Times New Roman"/>
          <w:sz w:val="24"/>
          <w:szCs w:val="24"/>
        </w:rPr>
      </w:pPr>
    </w:p>
    <w:p w:rsidR="00BA454A" w:rsidRDefault="00BA454A" w:rsidP="00BA454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A454A">
        <w:rPr>
          <w:rFonts w:ascii="Times New Roman" w:hAnsi="Times New Roman" w:cs="Times New Roman"/>
        </w:rPr>
        <w:t xml:space="preserve">It is not every time that a single witness gives credible evidence which is beyond reproach. There are different degrees of credibility. One witness may give </w:t>
      </w:r>
      <w:r w:rsidR="00D91DED">
        <w:rPr>
          <w:rFonts w:ascii="Times New Roman" w:hAnsi="Times New Roman" w:cs="Times New Roman"/>
        </w:rPr>
        <w:t>unblemished</w:t>
      </w:r>
      <w:r w:rsidRPr="00BA454A">
        <w:rPr>
          <w:rFonts w:ascii="Times New Roman" w:hAnsi="Times New Roman" w:cs="Times New Roman"/>
        </w:rPr>
        <w:t xml:space="preserve"> evidence. Another may give evidence which although trustworthy has some unsatisfactory features as in the circumstances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5B6001" w:rsidRDefault="005B6001" w:rsidP="008D671B">
      <w:pPr>
        <w:spacing w:after="0" w:line="360" w:lineRule="auto"/>
        <w:jc w:val="both"/>
        <w:rPr>
          <w:rFonts w:ascii="Times New Roman" w:hAnsi="Times New Roman" w:cs="Times New Roman"/>
          <w:sz w:val="24"/>
          <w:szCs w:val="24"/>
        </w:rPr>
      </w:pPr>
    </w:p>
    <w:p w:rsidR="00BA454A" w:rsidRDefault="00BA454A" w:rsidP="00D56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BA454A">
        <w:rPr>
          <w:rFonts w:ascii="Times New Roman" w:hAnsi="Times New Roman" w:cs="Times New Roman"/>
          <w:i/>
          <w:sz w:val="24"/>
          <w:szCs w:val="24"/>
        </w:rPr>
        <w:t xml:space="preserve">S v </w:t>
      </w:r>
      <w:proofErr w:type="spellStart"/>
      <w:r w:rsidRPr="00BA454A">
        <w:rPr>
          <w:rFonts w:ascii="Times New Roman" w:hAnsi="Times New Roman" w:cs="Times New Roman"/>
          <w:i/>
          <w:sz w:val="24"/>
          <w:szCs w:val="24"/>
        </w:rPr>
        <w:t>Sauls</w:t>
      </w:r>
      <w:proofErr w:type="spellEnd"/>
      <w:r w:rsidRPr="00BA454A">
        <w:rPr>
          <w:rFonts w:ascii="Times New Roman" w:hAnsi="Times New Roman" w:cs="Times New Roman"/>
          <w:i/>
          <w:sz w:val="24"/>
          <w:szCs w:val="24"/>
        </w:rPr>
        <w:t xml:space="preserve"> and Others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it was seminally stated:</w:t>
      </w:r>
    </w:p>
    <w:p w:rsidR="00BA454A" w:rsidRPr="00D91DED" w:rsidRDefault="00BA454A" w:rsidP="00D91DE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05AA2">
        <w:rPr>
          <w:rFonts w:ascii="Times New Roman" w:hAnsi="Times New Roman" w:cs="Times New Roman"/>
        </w:rPr>
        <w:t>The</w:t>
      </w:r>
      <w:r w:rsidR="00D56C7F">
        <w:rPr>
          <w:rFonts w:ascii="Times New Roman" w:hAnsi="Times New Roman" w:cs="Times New Roman"/>
        </w:rPr>
        <w:t>re</w:t>
      </w:r>
      <w:bookmarkStart w:id="0" w:name="_GoBack"/>
      <w:bookmarkEnd w:id="0"/>
      <w:r w:rsidRPr="00B05AA2">
        <w:rPr>
          <w:rFonts w:ascii="Times New Roman" w:hAnsi="Times New Roman" w:cs="Times New Roman"/>
        </w:rPr>
        <w:t xml:space="preserve"> is no rule of thumb test or </w:t>
      </w:r>
      <w:proofErr w:type="spellStart"/>
      <w:r w:rsidRPr="00B05AA2">
        <w:rPr>
          <w:rFonts w:ascii="Times New Roman" w:hAnsi="Times New Roman" w:cs="Times New Roman"/>
        </w:rPr>
        <w:t>formula</w:t>
      </w:r>
      <w:r w:rsidR="00B05AA2" w:rsidRPr="00B05AA2">
        <w:rPr>
          <w:rFonts w:ascii="Times New Roman" w:hAnsi="Times New Roman" w:cs="Times New Roman"/>
        </w:rPr>
        <w:t>r</w:t>
      </w:r>
      <w:proofErr w:type="spellEnd"/>
      <w:r w:rsidRPr="00B05AA2">
        <w:rPr>
          <w:rFonts w:ascii="Times New Roman" w:hAnsi="Times New Roman" w:cs="Times New Roman"/>
        </w:rPr>
        <w:t xml:space="preserve"> to apply when it comes to a, consideration of the credibility of the single</w:t>
      </w:r>
      <w:r w:rsidR="00B05AA2" w:rsidRPr="00B05AA2">
        <w:rPr>
          <w:rFonts w:ascii="Times New Roman" w:hAnsi="Times New Roman" w:cs="Times New Roman"/>
        </w:rPr>
        <w:t xml:space="preserve"> witne</w:t>
      </w:r>
      <w:r w:rsidR="00D91DED">
        <w:rPr>
          <w:rFonts w:ascii="Times New Roman" w:hAnsi="Times New Roman" w:cs="Times New Roman"/>
        </w:rPr>
        <w:t xml:space="preserve">ss. The trial Judge will weigh </w:t>
      </w:r>
      <w:r w:rsidR="00B05AA2" w:rsidRPr="00B05AA2">
        <w:rPr>
          <w:rFonts w:ascii="Times New Roman" w:hAnsi="Times New Roman" w:cs="Times New Roman"/>
        </w:rPr>
        <w:t xml:space="preserve">his evidence, will consider its merits and demerits and having done so, will decide. Whether </w:t>
      </w:r>
      <w:proofErr w:type="gramStart"/>
      <w:r w:rsidR="00B05AA2" w:rsidRPr="00B05AA2">
        <w:rPr>
          <w:rFonts w:ascii="Times New Roman" w:hAnsi="Times New Roman" w:cs="Times New Roman"/>
        </w:rPr>
        <w:t>its</w:t>
      </w:r>
      <w:proofErr w:type="gramEnd"/>
      <w:r w:rsidR="00B05AA2" w:rsidRPr="00B05AA2">
        <w:rPr>
          <w:rFonts w:ascii="Times New Roman" w:hAnsi="Times New Roman" w:cs="Times New Roman"/>
        </w:rPr>
        <w:t xml:space="preserve"> trustworthy and whether despite the fact that there are shortcomings or defects or contradictions on the testimony, he is satisfied that truth has been told. The cautionary rule referred to by </w:t>
      </w:r>
      <w:r w:rsidR="00B05AA2" w:rsidRPr="00B05AA2">
        <w:rPr>
          <w:rFonts w:ascii="Times New Roman" w:hAnsi="Times New Roman" w:cs="Times New Roman"/>
          <w:smallCaps/>
        </w:rPr>
        <w:t xml:space="preserve">De Villiers </w:t>
      </w:r>
      <w:proofErr w:type="spellStart"/>
      <w:r w:rsidR="00B05AA2" w:rsidRPr="00B05AA2">
        <w:rPr>
          <w:rFonts w:ascii="Times New Roman" w:hAnsi="Times New Roman" w:cs="Times New Roman"/>
          <w:smallCaps/>
        </w:rPr>
        <w:t>jp</w:t>
      </w:r>
      <w:proofErr w:type="spellEnd"/>
      <w:r w:rsidR="00B05AA2" w:rsidRPr="00B05AA2">
        <w:rPr>
          <w:rFonts w:ascii="Times New Roman" w:hAnsi="Times New Roman" w:cs="Times New Roman"/>
        </w:rPr>
        <w:t xml:space="preserve"> in a1932 may be a guide to a right decision but it does not mean</w:t>
      </w:r>
      <w:r w:rsidR="00D91DED">
        <w:rPr>
          <w:rFonts w:ascii="Times New Roman" w:hAnsi="Times New Roman" w:cs="Times New Roman"/>
        </w:rPr>
        <w:t xml:space="preserve"> </w:t>
      </w:r>
      <w:r w:rsidR="00B05AA2" w:rsidRPr="00B05AA2">
        <w:rPr>
          <w:rFonts w:ascii="Times New Roman" w:hAnsi="Times New Roman" w:cs="Times New Roman"/>
        </w:rPr>
        <w:t xml:space="preserve">that the appeal must succeed if any criticism, however slender of the witnesses’ evidence were well founded (per </w:t>
      </w:r>
      <w:r w:rsidR="00B05AA2" w:rsidRPr="00B05AA2">
        <w:rPr>
          <w:rFonts w:ascii="Times New Roman" w:hAnsi="Times New Roman" w:cs="Times New Roman"/>
          <w:smallCaps/>
        </w:rPr>
        <w:t xml:space="preserve">Schreiner </w:t>
      </w:r>
      <w:proofErr w:type="spellStart"/>
      <w:r w:rsidR="00B05AA2" w:rsidRPr="00B05AA2">
        <w:rPr>
          <w:rFonts w:ascii="Times New Roman" w:hAnsi="Times New Roman" w:cs="Times New Roman"/>
          <w:smallCaps/>
        </w:rPr>
        <w:t>ja</w:t>
      </w:r>
      <w:proofErr w:type="spellEnd"/>
      <w:r w:rsidR="00B05AA2" w:rsidRPr="00B05AA2">
        <w:rPr>
          <w:rFonts w:ascii="Times New Roman" w:hAnsi="Times New Roman" w:cs="Times New Roman"/>
        </w:rPr>
        <w:t xml:space="preserve"> in R v </w:t>
      </w:r>
      <w:proofErr w:type="spellStart"/>
      <w:r w:rsidR="00B05AA2" w:rsidRPr="00B05AA2">
        <w:rPr>
          <w:rFonts w:ascii="Times New Roman" w:hAnsi="Times New Roman" w:cs="Times New Roman"/>
        </w:rPr>
        <w:t>Nhapo</w:t>
      </w:r>
      <w:proofErr w:type="spellEnd"/>
      <w:r w:rsidR="00B05AA2" w:rsidRPr="00B05AA2">
        <w:rPr>
          <w:rFonts w:ascii="Times New Roman" w:hAnsi="Times New Roman" w:cs="Times New Roman"/>
        </w:rPr>
        <w:t xml:space="preserve"> (AD, 10 November 1952) quoted in </w:t>
      </w:r>
      <w:r w:rsidR="00D91DED">
        <w:rPr>
          <w:rFonts w:ascii="Times New Roman" w:hAnsi="Times New Roman" w:cs="Times New Roman"/>
        </w:rPr>
        <w:t>“</w:t>
      </w:r>
      <w:r w:rsidR="00B05AA2" w:rsidRPr="00D91DED">
        <w:rPr>
          <w:rFonts w:ascii="Times New Roman" w:hAnsi="Times New Roman" w:cs="Times New Roman"/>
          <w:i/>
        </w:rPr>
        <w:t>R v Bellingham</w:t>
      </w:r>
      <w:r w:rsidR="00B05AA2" w:rsidRPr="00B05AA2">
        <w:rPr>
          <w:rFonts w:ascii="Times New Roman" w:hAnsi="Times New Roman" w:cs="Times New Roman"/>
        </w:rPr>
        <w:t xml:space="preserve"> 1955 (2) SA 566 (A) at 569). It has been said more than once that the exercise of caution must not be allowed to displace the exercise of common sense</w:t>
      </w:r>
      <w:r w:rsidR="00B05AA2">
        <w:rPr>
          <w:rFonts w:ascii="Times New Roman" w:hAnsi="Times New Roman" w:cs="Times New Roman"/>
          <w:sz w:val="24"/>
          <w:szCs w:val="24"/>
        </w:rPr>
        <w:t>.</w:t>
      </w:r>
      <w:r>
        <w:rPr>
          <w:rFonts w:ascii="Times New Roman" w:hAnsi="Times New Roman" w:cs="Times New Roman"/>
          <w:sz w:val="24"/>
          <w:szCs w:val="24"/>
        </w:rPr>
        <w:t>”</w:t>
      </w:r>
    </w:p>
    <w:p w:rsidR="00B05AA2" w:rsidRDefault="00B05AA2" w:rsidP="00BA454A">
      <w:pPr>
        <w:spacing w:after="0" w:line="360" w:lineRule="auto"/>
        <w:ind w:left="720"/>
        <w:jc w:val="both"/>
        <w:rPr>
          <w:rFonts w:ascii="Times New Roman" w:hAnsi="Times New Roman" w:cs="Times New Roman"/>
          <w:sz w:val="24"/>
          <w:szCs w:val="24"/>
        </w:rPr>
      </w:pPr>
    </w:p>
    <w:p w:rsidR="00570D12" w:rsidRDefault="00B05AA2" w:rsidP="00B05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did</w:t>
      </w:r>
      <w:r w:rsidR="00D91DED">
        <w:rPr>
          <w:rFonts w:ascii="Times New Roman" w:hAnsi="Times New Roman" w:cs="Times New Roman"/>
          <w:sz w:val="24"/>
          <w:szCs w:val="24"/>
        </w:rPr>
        <w:t xml:space="preserve"> not</w:t>
      </w:r>
      <w:r>
        <w:rPr>
          <w:rFonts w:ascii="Times New Roman" w:hAnsi="Times New Roman" w:cs="Times New Roman"/>
          <w:sz w:val="24"/>
          <w:szCs w:val="24"/>
        </w:rPr>
        <w:t xml:space="preserve"> provide a critique of the features which were either contradictory or unsatisfactory of the complainant’s evidence. We assume that in the absence of such, the appellant has no factual basis to impugn complainant’s evidence. The court </w:t>
      </w:r>
      <w:r w:rsidRPr="00B05AA2">
        <w:rPr>
          <w:rFonts w:ascii="Times New Roman" w:hAnsi="Times New Roman" w:cs="Times New Roman"/>
          <w:i/>
          <w:sz w:val="24"/>
          <w:szCs w:val="24"/>
        </w:rPr>
        <w:t>a quo</w:t>
      </w:r>
      <w:r>
        <w:rPr>
          <w:rFonts w:ascii="Times New Roman" w:hAnsi="Times New Roman" w:cs="Times New Roman"/>
          <w:sz w:val="24"/>
          <w:szCs w:val="24"/>
        </w:rPr>
        <w:t xml:space="preserve"> saw it safe to accept the evidence of the complainant. The appellant did not deny that he had been seen by the complainant </w:t>
      </w:r>
      <w:r w:rsidR="00DA36E3">
        <w:rPr>
          <w:rFonts w:ascii="Times New Roman" w:hAnsi="Times New Roman" w:cs="Times New Roman"/>
          <w:sz w:val="24"/>
          <w:szCs w:val="24"/>
        </w:rPr>
        <w:t>at the shops before the offence was committed</w:t>
      </w:r>
      <w:r w:rsidR="00570D12">
        <w:rPr>
          <w:rFonts w:ascii="Times New Roman" w:hAnsi="Times New Roman" w:cs="Times New Roman"/>
          <w:sz w:val="24"/>
          <w:szCs w:val="24"/>
        </w:rPr>
        <w:t xml:space="preserve">. Appellant did not deny or challenge claiming evidence of the complainant when he said that through the assistance of the torch the complainant was able to see the face of the appellant. </w:t>
      </w:r>
    </w:p>
    <w:p w:rsidR="00B05AA2" w:rsidRDefault="00570D12" w:rsidP="00B05A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Failure by the appellant to challenge such evidence confirms the credibility of the complainant. It is true that single witness’ evidence must be approached with chame</w:t>
      </w:r>
      <w:r w:rsidR="00D91DED">
        <w:rPr>
          <w:rFonts w:ascii="Times New Roman" w:hAnsi="Times New Roman" w:cs="Times New Roman"/>
          <w:sz w:val="24"/>
          <w:szCs w:val="24"/>
        </w:rPr>
        <w:t xml:space="preserve">leonic caution and analysed in </w:t>
      </w:r>
      <w:proofErr w:type="spellStart"/>
      <w:r w:rsidR="00D91DED">
        <w:rPr>
          <w:rFonts w:ascii="Times New Roman" w:hAnsi="Times New Roman" w:cs="Times New Roman"/>
          <w:sz w:val="24"/>
          <w:szCs w:val="24"/>
        </w:rPr>
        <w:t>S</w:t>
      </w:r>
      <w:r>
        <w:rPr>
          <w:rFonts w:ascii="Times New Roman" w:hAnsi="Times New Roman" w:cs="Times New Roman"/>
          <w:sz w:val="24"/>
          <w:szCs w:val="24"/>
        </w:rPr>
        <w:t>olomonic</w:t>
      </w:r>
      <w:proofErr w:type="spellEnd"/>
      <w:r>
        <w:rPr>
          <w:rFonts w:ascii="Times New Roman" w:hAnsi="Times New Roman" w:cs="Times New Roman"/>
          <w:sz w:val="24"/>
          <w:szCs w:val="24"/>
        </w:rPr>
        <w:t xml:space="preserve"> wisdom and should be followed by judiciary officers and the judgment must be </w:t>
      </w:r>
      <w:r w:rsidR="00D91DED">
        <w:rPr>
          <w:rFonts w:ascii="Times New Roman" w:hAnsi="Times New Roman" w:cs="Times New Roman"/>
          <w:sz w:val="24"/>
          <w:szCs w:val="24"/>
        </w:rPr>
        <w:t xml:space="preserve">by </w:t>
      </w:r>
      <w:r>
        <w:rPr>
          <w:rFonts w:ascii="Times New Roman" w:hAnsi="Times New Roman" w:cs="Times New Roman"/>
          <w:sz w:val="24"/>
          <w:szCs w:val="24"/>
        </w:rPr>
        <w:t xml:space="preserve">necessity precisely reflect that. Once the identification of the appellant by the appellant was acceptable by the court </w:t>
      </w:r>
      <w:r w:rsidRPr="00570D12">
        <w:rPr>
          <w:rFonts w:ascii="Times New Roman" w:hAnsi="Times New Roman" w:cs="Times New Roman"/>
          <w:i/>
          <w:sz w:val="24"/>
          <w:szCs w:val="24"/>
        </w:rPr>
        <w:t>a quo</w:t>
      </w:r>
      <w:r>
        <w:rPr>
          <w:rFonts w:ascii="Times New Roman" w:hAnsi="Times New Roman" w:cs="Times New Roman"/>
          <w:sz w:val="24"/>
          <w:szCs w:val="24"/>
        </w:rPr>
        <w:t xml:space="preserve">, the cautionary approach to single witnesses was used globally and the court </w:t>
      </w:r>
      <w:r w:rsidRPr="00570D12">
        <w:rPr>
          <w:rFonts w:ascii="Times New Roman" w:hAnsi="Times New Roman" w:cs="Times New Roman"/>
          <w:i/>
          <w:sz w:val="24"/>
          <w:szCs w:val="24"/>
        </w:rPr>
        <w:t>a quo</w:t>
      </w:r>
      <w:r>
        <w:rPr>
          <w:rFonts w:ascii="Times New Roman" w:hAnsi="Times New Roman" w:cs="Times New Roman"/>
          <w:sz w:val="24"/>
          <w:szCs w:val="24"/>
        </w:rPr>
        <w:t xml:space="preserve"> came to a conclusion that the witness, the complainant was a credible witness. The second ground of appeal against conviction is equally without merit.</w:t>
      </w:r>
    </w:p>
    <w:p w:rsidR="00570D12" w:rsidRDefault="00570D12" w:rsidP="00570D12">
      <w:pPr>
        <w:spacing w:after="0" w:line="360" w:lineRule="auto"/>
        <w:jc w:val="both"/>
        <w:rPr>
          <w:rFonts w:ascii="Times New Roman" w:hAnsi="Times New Roman" w:cs="Times New Roman"/>
          <w:sz w:val="24"/>
          <w:szCs w:val="24"/>
        </w:rPr>
      </w:pPr>
    </w:p>
    <w:p w:rsidR="00570D12" w:rsidRPr="00570D12" w:rsidRDefault="00570D12" w:rsidP="00570D12">
      <w:pPr>
        <w:spacing w:after="0" w:line="360" w:lineRule="auto"/>
        <w:jc w:val="both"/>
        <w:rPr>
          <w:rFonts w:ascii="Times New Roman" w:hAnsi="Times New Roman" w:cs="Times New Roman"/>
          <w:sz w:val="24"/>
          <w:szCs w:val="24"/>
          <w:u w:val="single"/>
        </w:rPr>
      </w:pPr>
      <w:r w:rsidRPr="00570D12">
        <w:rPr>
          <w:rFonts w:ascii="Times New Roman" w:hAnsi="Times New Roman" w:cs="Times New Roman"/>
          <w:sz w:val="24"/>
          <w:szCs w:val="24"/>
          <w:u w:val="single"/>
        </w:rPr>
        <w:lastRenderedPageBreak/>
        <w:t>WHETHER THE TRIAL COURT ERRED IN REJECTING THE EVIDENCE OF THE APPELLANT’S WITNESSES</w:t>
      </w:r>
    </w:p>
    <w:p w:rsidR="00570D12" w:rsidRDefault="00570D12" w:rsidP="00570D12">
      <w:pPr>
        <w:spacing w:after="0" w:line="360" w:lineRule="auto"/>
        <w:jc w:val="both"/>
        <w:rPr>
          <w:rFonts w:ascii="Times New Roman" w:hAnsi="Times New Roman" w:cs="Times New Roman"/>
          <w:sz w:val="24"/>
          <w:szCs w:val="24"/>
        </w:rPr>
      </w:pPr>
    </w:p>
    <w:p w:rsidR="00570D12" w:rsidRDefault="00570D12" w:rsidP="00570D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counsel vehemently submitted in her heads that the trial Magistrate misdirected himself when he rejected appellant’s witnesses’ evidence corroborating appellant’s defence of alibi. The court </w:t>
      </w:r>
      <w:r w:rsidRPr="00570D12">
        <w:rPr>
          <w:rFonts w:ascii="Times New Roman" w:hAnsi="Times New Roman" w:cs="Times New Roman"/>
          <w:i/>
          <w:sz w:val="24"/>
          <w:szCs w:val="24"/>
        </w:rPr>
        <w:t>a quo</w:t>
      </w:r>
      <w:r>
        <w:rPr>
          <w:rFonts w:ascii="Times New Roman" w:hAnsi="Times New Roman" w:cs="Times New Roman"/>
          <w:sz w:val="24"/>
          <w:szCs w:val="24"/>
        </w:rPr>
        <w:t xml:space="preserve"> in principle discredited </w:t>
      </w:r>
      <w:proofErr w:type="spellStart"/>
      <w:r>
        <w:rPr>
          <w:rFonts w:ascii="Times New Roman" w:hAnsi="Times New Roman" w:cs="Times New Roman"/>
          <w:sz w:val="24"/>
          <w:szCs w:val="24"/>
        </w:rPr>
        <w:t>Katey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Huragu</w:t>
      </w:r>
      <w:proofErr w:type="spellEnd"/>
      <w:r>
        <w:rPr>
          <w:rFonts w:ascii="Times New Roman" w:hAnsi="Times New Roman" w:cs="Times New Roman"/>
          <w:sz w:val="24"/>
          <w:szCs w:val="24"/>
        </w:rPr>
        <w:t xml:space="preserve"> and Grace </w:t>
      </w:r>
      <w:proofErr w:type="spellStart"/>
      <w:r>
        <w:rPr>
          <w:rFonts w:ascii="Times New Roman" w:hAnsi="Times New Roman" w:cs="Times New Roman"/>
          <w:sz w:val="24"/>
          <w:szCs w:val="24"/>
        </w:rPr>
        <w:t>Mukaro’s</w:t>
      </w:r>
      <w:proofErr w:type="spellEnd"/>
      <w:r>
        <w:rPr>
          <w:rFonts w:ascii="Times New Roman" w:hAnsi="Times New Roman" w:cs="Times New Roman"/>
          <w:sz w:val="24"/>
          <w:szCs w:val="24"/>
        </w:rPr>
        <w:t xml:space="preserve"> evidence. Both defence witnesses cannot be ordinarily classified as independent and indeed the court </w:t>
      </w:r>
      <w:r w:rsidRPr="00570D12">
        <w:rPr>
          <w:rFonts w:ascii="Times New Roman" w:hAnsi="Times New Roman" w:cs="Times New Roman"/>
          <w:i/>
          <w:sz w:val="24"/>
          <w:szCs w:val="24"/>
        </w:rPr>
        <w:t>a quo</w:t>
      </w:r>
      <w:r>
        <w:rPr>
          <w:rFonts w:ascii="Times New Roman" w:hAnsi="Times New Roman" w:cs="Times New Roman"/>
          <w:sz w:val="24"/>
          <w:szCs w:val="24"/>
        </w:rPr>
        <w:t xml:space="preserve"> did not</w:t>
      </w:r>
      <w:r w:rsidR="0098271F">
        <w:rPr>
          <w:rFonts w:ascii="Times New Roman" w:hAnsi="Times New Roman" w:cs="Times New Roman"/>
          <w:sz w:val="24"/>
          <w:szCs w:val="24"/>
        </w:rPr>
        <w:t xml:space="preserve"> analyse the two’s evidence in isolation. It juxtaposed their evidence with complainant’s evidence.</w:t>
      </w:r>
      <w:r w:rsidR="0098271F">
        <w:rPr>
          <w:rStyle w:val="FootnoteReference"/>
          <w:rFonts w:ascii="Times New Roman" w:hAnsi="Times New Roman" w:cs="Times New Roman"/>
          <w:sz w:val="24"/>
          <w:szCs w:val="24"/>
        </w:rPr>
        <w:footnoteReference w:id="8"/>
      </w:r>
    </w:p>
    <w:p w:rsidR="00381C7E" w:rsidRDefault="00381C7E" w:rsidP="00570D12">
      <w:pPr>
        <w:spacing w:after="0" w:line="360" w:lineRule="auto"/>
        <w:ind w:firstLine="720"/>
        <w:jc w:val="both"/>
        <w:rPr>
          <w:rFonts w:ascii="Times New Roman" w:hAnsi="Times New Roman" w:cs="Times New Roman"/>
          <w:sz w:val="24"/>
          <w:szCs w:val="24"/>
        </w:rPr>
      </w:pPr>
    </w:p>
    <w:p w:rsidR="005B6001" w:rsidRDefault="00381C7E" w:rsidP="00381C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381C7E">
        <w:rPr>
          <w:rFonts w:ascii="Times New Roman" w:hAnsi="Times New Roman" w:cs="Times New Roman"/>
        </w:rPr>
        <w:t xml:space="preserve">The magistrate made an adverse finding on the credibility of the appellant and his witness and that finding was based on the facts before him and his observation of the witnesses that appeared before him. </w:t>
      </w:r>
      <w:r w:rsidR="00D91DED">
        <w:rPr>
          <w:rFonts w:ascii="Times New Roman" w:hAnsi="Times New Roman" w:cs="Times New Roman"/>
        </w:rPr>
        <w:t>There was no misdirection in him</w:t>
      </w:r>
      <w:r w:rsidRPr="00381C7E">
        <w:rPr>
          <w:rFonts w:ascii="Times New Roman" w:hAnsi="Times New Roman" w:cs="Times New Roman"/>
        </w:rPr>
        <w:t xml:space="preserve"> finding of credibility. It is my view that an appellate court should not disturb that finding without having been shown that the magistrate’s decision on credibility was wrong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rsidR="00381C7E" w:rsidRDefault="00381C7E" w:rsidP="008D671B">
      <w:pPr>
        <w:spacing w:after="0" w:line="360" w:lineRule="auto"/>
        <w:jc w:val="both"/>
        <w:rPr>
          <w:rFonts w:ascii="Times New Roman" w:hAnsi="Times New Roman" w:cs="Times New Roman"/>
          <w:sz w:val="24"/>
          <w:szCs w:val="24"/>
        </w:rPr>
      </w:pPr>
    </w:p>
    <w:p w:rsidR="00381C7E" w:rsidRDefault="00381C7E" w:rsidP="00381C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is equally without merit and is dismissed. The State managed to prove its case and the trial Magistrate properly in our view convicted the appellant. The </w:t>
      </w:r>
      <w:proofErr w:type="spellStart"/>
      <w:r>
        <w:rPr>
          <w:rFonts w:ascii="Times New Roman" w:hAnsi="Times New Roman" w:cs="Times New Roman"/>
          <w:sz w:val="24"/>
          <w:szCs w:val="24"/>
        </w:rPr>
        <w:t>Isolano</w:t>
      </w:r>
      <w:proofErr w:type="spellEnd"/>
      <w:r>
        <w:rPr>
          <w:rFonts w:ascii="Times New Roman" w:hAnsi="Times New Roman" w:cs="Times New Roman"/>
          <w:sz w:val="24"/>
          <w:szCs w:val="24"/>
        </w:rPr>
        <w:t xml:space="preserve"> case cited (</w:t>
      </w:r>
      <w:r w:rsidRPr="00381C7E">
        <w:rPr>
          <w:rFonts w:ascii="Times New Roman" w:hAnsi="Times New Roman" w:cs="Times New Roman"/>
          <w:i/>
          <w:sz w:val="24"/>
          <w:szCs w:val="24"/>
        </w:rPr>
        <w:t>supra</w:t>
      </w:r>
      <w:r>
        <w:rPr>
          <w:rFonts w:ascii="Times New Roman" w:hAnsi="Times New Roman" w:cs="Times New Roman"/>
          <w:sz w:val="24"/>
          <w:szCs w:val="24"/>
        </w:rPr>
        <w:t xml:space="preserve">), the learned Chief Justice cited the proper approach used in the English case of </w:t>
      </w:r>
      <w:r w:rsidRPr="00381C7E">
        <w:rPr>
          <w:rFonts w:ascii="Times New Roman" w:hAnsi="Times New Roman" w:cs="Times New Roman"/>
          <w:i/>
          <w:sz w:val="24"/>
          <w:szCs w:val="24"/>
        </w:rPr>
        <w:t>Miller v Minister of Pensions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where His Lordship, Lord Denning described the degree of proof at 373 H as follows:</w:t>
      </w:r>
    </w:p>
    <w:p w:rsidR="00381C7E" w:rsidRDefault="00381C7E" w:rsidP="00865445">
      <w:pPr>
        <w:spacing w:after="0" w:line="240" w:lineRule="auto"/>
        <w:ind w:left="720"/>
        <w:jc w:val="both"/>
        <w:rPr>
          <w:rFonts w:ascii="Times New Roman" w:hAnsi="Times New Roman" w:cs="Times New Roman"/>
          <w:sz w:val="24"/>
          <w:szCs w:val="24"/>
        </w:rPr>
      </w:pPr>
      <w:r w:rsidRPr="00865445">
        <w:rPr>
          <w:rFonts w:ascii="Times New Roman" w:hAnsi="Times New Roman" w:cs="Times New Roman"/>
        </w:rPr>
        <w:t>“”….and for that purpose the evidence must reach the same degree of cogency as is required in a criminal case before an accused is found guilty. That degree is well sett</w:t>
      </w:r>
      <w:r w:rsidR="00D91DED">
        <w:rPr>
          <w:rFonts w:ascii="Times New Roman" w:hAnsi="Times New Roman" w:cs="Times New Roman"/>
        </w:rPr>
        <w:t>led. It need that reach certaint</w:t>
      </w:r>
      <w:r w:rsidRPr="00865445">
        <w:rPr>
          <w:rFonts w:ascii="Times New Roman" w:hAnsi="Times New Roman" w:cs="Times New Roman"/>
        </w:rPr>
        <w:t>y but it must carry a high degree of probability. Proof beyond reasonable doubt does not mean proof beyond the shadow of a doubt. The law would foul to protect the community if it admitted f</w:t>
      </w:r>
      <w:r w:rsidR="00D91DED">
        <w:rPr>
          <w:rFonts w:ascii="Times New Roman" w:hAnsi="Times New Roman" w:cs="Times New Roman"/>
        </w:rPr>
        <w:t>anci</w:t>
      </w:r>
      <w:r w:rsidRPr="00865445">
        <w:rPr>
          <w:rFonts w:ascii="Times New Roman" w:hAnsi="Times New Roman" w:cs="Times New Roman"/>
        </w:rPr>
        <w:t xml:space="preserve">ful possibilities to deflect the course of justice. If the evidence is </w:t>
      </w:r>
      <w:proofErr w:type="gramStart"/>
      <w:r w:rsidRPr="00865445">
        <w:rPr>
          <w:rFonts w:ascii="Times New Roman" w:hAnsi="Times New Roman" w:cs="Times New Roman"/>
        </w:rPr>
        <w:t>so</w:t>
      </w:r>
      <w:proofErr w:type="gramEnd"/>
      <w:r w:rsidRPr="00865445">
        <w:rPr>
          <w:rFonts w:ascii="Times New Roman" w:hAnsi="Times New Roman" w:cs="Times New Roman"/>
        </w:rPr>
        <w:t xml:space="preserve"> strong against a man </w:t>
      </w:r>
      <w:r w:rsidR="00865445" w:rsidRPr="00865445">
        <w:rPr>
          <w:rFonts w:ascii="Times New Roman" w:hAnsi="Times New Roman" w:cs="Times New Roman"/>
        </w:rPr>
        <w:t>as to leave only a remote possibility in his favour which can be dismissed with the sentence”, the case is proved beyond reasonable doubt but nothing short of that will suffice</w:t>
      </w:r>
      <w:r w:rsidR="00865445">
        <w:rPr>
          <w:rFonts w:ascii="Times New Roman" w:hAnsi="Times New Roman" w:cs="Times New Roman"/>
          <w:sz w:val="24"/>
          <w:szCs w:val="24"/>
        </w:rPr>
        <w:t>.”</w:t>
      </w:r>
    </w:p>
    <w:p w:rsidR="00865445" w:rsidRDefault="00865445" w:rsidP="008D671B">
      <w:pPr>
        <w:spacing w:after="0" w:line="360" w:lineRule="auto"/>
        <w:jc w:val="both"/>
        <w:rPr>
          <w:rFonts w:ascii="Times New Roman" w:hAnsi="Times New Roman" w:cs="Times New Roman"/>
          <w:sz w:val="24"/>
          <w:szCs w:val="24"/>
        </w:rPr>
      </w:pPr>
    </w:p>
    <w:p w:rsidR="00865445" w:rsidRDefault="00865445" w:rsidP="00865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persuaded that the Magistrate was correct in rejecting the defence evidence and in accepting the prosecution evidence. </w:t>
      </w:r>
      <w:r w:rsidR="00104A49">
        <w:rPr>
          <w:rFonts w:ascii="Times New Roman" w:hAnsi="Times New Roman" w:cs="Times New Roman"/>
          <w:sz w:val="24"/>
          <w:szCs w:val="24"/>
        </w:rPr>
        <w:t>There</w:t>
      </w:r>
      <w:r>
        <w:rPr>
          <w:rFonts w:ascii="Times New Roman" w:hAnsi="Times New Roman" w:cs="Times New Roman"/>
          <w:sz w:val="24"/>
          <w:szCs w:val="24"/>
        </w:rPr>
        <w:t xml:space="preserve"> is no doubt in our minds that on the evidence before him the Magistrate arrived at the right decision.</w:t>
      </w:r>
    </w:p>
    <w:p w:rsidR="00865445" w:rsidRDefault="00865445" w:rsidP="008654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would dismiss the appeal against conviction.</w:t>
      </w:r>
    </w:p>
    <w:p w:rsidR="00865445" w:rsidRDefault="00865445" w:rsidP="00865445">
      <w:pPr>
        <w:spacing w:after="0" w:line="360" w:lineRule="auto"/>
        <w:ind w:firstLine="720"/>
        <w:jc w:val="both"/>
        <w:rPr>
          <w:rFonts w:ascii="Times New Roman" w:hAnsi="Times New Roman" w:cs="Times New Roman"/>
          <w:sz w:val="24"/>
          <w:szCs w:val="24"/>
        </w:rPr>
      </w:pPr>
    </w:p>
    <w:p w:rsidR="00865445" w:rsidRDefault="00865445" w:rsidP="00865445">
      <w:pPr>
        <w:spacing w:after="0" w:line="360" w:lineRule="auto"/>
        <w:ind w:firstLine="720"/>
        <w:jc w:val="both"/>
        <w:rPr>
          <w:rFonts w:ascii="Times New Roman" w:hAnsi="Times New Roman" w:cs="Times New Roman"/>
          <w:sz w:val="24"/>
          <w:szCs w:val="24"/>
        </w:rPr>
      </w:pPr>
    </w:p>
    <w:p w:rsidR="00865445" w:rsidRDefault="00865445" w:rsidP="00865445">
      <w:pPr>
        <w:spacing w:after="0" w:line="360" w:lineRule="auto"/>
        <w:ind w:firstLine="720"/>
        <w:jc w:val="both"/>
        <w:rPr>
          <w:rFonts w:ascii="Times New Roman" w:hAnsi="Times New Roman" w:cs="Times New Roman"/>
          <w:sz w:val="24"/>
          <w:szCs w:val="24"/>
        </w:rPr>
      </w:pP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agrees_____________________</w:t>
      </w:r>
    </w:p>
    <w:p w:rsidR="008D671B" w:rsidRDefault="008D671B" w:rsidP="008D671B">
      <w:pPr>
        <w:spacing w:after="0" w:line="360" w:lineRule="auto"/>
        <w:jc w:val="both"/>
        <w:rPr>
          <w:rFonts w:ascii="Times New Roman" w:hAnsi="Times New Roman" w:cs="Times New Roman"/>
          <w:sz w:val="24"/>
          <w:szCs w:val="24"/>
        </w:rPr>
      </w:pPr>
    </w:p>
    <w:p w:rsidR="00007DA1" w:rsidRDefault="00007DA1" w:rsidP="008D671B">
      <w:pPr>
        <w:spacing w:after="0" w:line="360" w:lineRule="auto"/>
        <w:jc w:val="both"/>
        <w:rPr>
          <w:rFonts w:ascii="Times New Roman" w:hAnsi="Times New Roman" w:cs="Times New Roman"/>
          <w:sz w:val="24"/>
          <w:szCs w:val="24"/>
        </w:rPr>
      </w:pPr>
    </w:p>
    <w:p w:rsidR="00865445" w:rsidRDefault="00865445" w:rsidP="008D671B">
      <w:pPr>
        <w:spacing w:after="0" w:line="360" w:lineRule="auto"/>
        <w:jc w:val="both"/>
        <w:rPr>
          <w:rFonts w:ascii="Times New Roman" w:hAnsi="Times New Roman" w:cs="Times New Roman"/>
          <w:sz w:val="24"/>
          <w:szCs w:val="24"/>
        </w:rPr>
      </w:pPr>
    </w:p>
    <w:p w:rsidR="00096064" w:rsidRDefault="00865445" w:rsidP="00865445">
      <w:pPr>
        <w:spacing w:after="0" w:line="240" w:lineRule="auto"/>
        <w:jc w:val="both"/>
        <w:rPr>
          <w:rFonts w:ascii="Times New Roman" w:hAnsi="Times New Roman" w:cs="Times New Roman"/>
          <w:sz w:val="24"/>
          <w:szCs w:val="24"/>
        </w:rPr>
      </w:pPr>
      <w:r w:rsidRPr="00865445">
        <w:rPr>
          <w:rFonts w:ascii="Times New Roman" w:hAnsi="Times New Roman" w:cs="Times New Roman"/>
          <w:i/>
          <w:sz w:val="24"/>
          <w:szCs w:val="24"/>
        </w:rPr>
        <w:t>The Legal Aid Directorate</w:t>
      </w:r>
      <w:r>
        <w:rPr>
          <w:rFonts w:ascii="Times New Roman" w:hAnsi="Times New Roman" w:cs="Times New Roman"/>
          <w:sz w:val="24"/>
          <w:szCs w:val="24"/>
        </w:rPr>
        <w:t>, appellants’ legal practitioners</w:t>
      </w:r>
    </w:p>
    <w:p w:rsidR="008D671B" w:rsidRPr="00E07548" w:rsidRDefault="00007DA1" w:rsidP="008654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D671B">
        <w:rPr>
          <w:rFonts w:ascii="Times New Roman" w:hAnsi="Times New Roman" w:cs="Times New Roman"/>
          <w:sz w:val="24"/>
          <w:szCs w:val="24"/>
        </w:rPr>
        <w:t xml:space="preserve">, respondent’s legal practitioners  </w:t>
      </w:r>
    </w:p>
    <w:p w:rsidR="008D671B" w:rsidRPr="000A552C" w:rsidRDefault="008D671B" w:rsidP="008654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7E15D4" w:rsidRPr="008E6609" w:rsidRDefault="007E15D4" w:rsidP="008E6609">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233" w:rsidRDefault="00175233" w:rsidP="00086343">
      <w:pPr>
        <w:spacing w:after="0" w:line="240" w:lineRule="auto"/>
      </w:pPr>
      <w:r>
        <w:separator/>
      </w:r>
    </w:p>
  </w:endnote>
  <w:endnote w:type="continuationSeparator" w:id="0">
    <w:p w:rsidR="00175233" w:rsidRDefault="0017523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233" w:rsidRDefault="00175233" w:rsidP="00086343">
      <w:pPr>
        <w:spacing w:after="0" w:line="240" w:lineRule="auto"/>
      </w:pPr>
      <w:r>
        <w:separator/>
      </w:r>
    </w:p>
  </w:footnote>
  <w:footnote w:type="continuationSeparator" w:id="0">
    <w:p w:rsidR="00175233" w:rsidRDefault="00175233" w:rsidP="00086343">
      <w:pPr>
        <w:spacing w:after="0" w:line="240" w:lineRule="auto"/>
      </w:pPr>
      <w:r>
        <w:continuationSeparator/>
      </w:r>
    </w:p>
  </w:footnote>
  <w:footnote w:id="1">
    <w:p w:rsidR="00C651A5" w:rsidRDefault="00C651A5">
      <w:pPr>
        <w:pStyle w:val="FootnoteText"/>
      </w:pPr>
      <w:r>
        <w:rPr>
          <w:rStyle w:val="FootnoteReference"/>
        </w:rPr>
        <w:footnoteRef/>
      </w:r>
      <w:r>
        <w:t xml:space="preserve"> SC 142/89</w:t>
      </w:r>
    </w:p>
  </w:footnote>
  <w:footnote w:id="2">
    <w:p w:rsidR="00C651A5" w:rsidRDefault="00C651A5">
      <w:pPr>
        <w:pStyle w:val="FootnoteText"/>
      </w:pPr>
      <w:r>
        <w:rPr>
          <w:rStyle w:val="FootnoteReference"/>
        </w:rPr>
        <w:footnoteRef/>
      </w:r>
      <w:r>
        <w:t xml:space="preserve"> [1976] 3 ALL ER 549 (CA)</w:t>
      </w:r>
    </w:p>
  </w:footnote>
  <w:footnote w:id="3">
    <w:p w:rsidR="00E45016" w:rsidRDefault="00E45016">
      <w:pPr>
        <w:pStyle w:val="FootnoteText"/>
      </w:pPr>
      <w:r>
        <w:rPr>
          <w:rStyle w:val="FootnoteReference"/>
        </w:rPr>
        <w:footnoteRef/>
      </w:r>
      <w:r>
        <w:t xml:space="preserve"> P4 of the cyclostyled judgment</w:t>
      </w:r>
    </w:p>
  </w:footnote>
  <w:footnote w:id="4">
    <w:p w:rsidR="00987127" w:rsidRDefault="00987127">
      <w:pPr>
        <w:pStyle w:val="FootnoteText"/>
      </w:pPr>
      <w:r>
        <w:rPr>
          <w:rStyle w:val="FootnoteReference"/>
        </w:rPr>
        <w:footnoteRef/>
      </w:r>
      <w:r>
        <w:t xml:space="preserve"> 1996 (1) ZLR 367 (h) per </w:t>
      </w:r>
      <w:r w:rsidRPr="00987127">
        <w:rPr>
          <w:smallCaps/>
        </w:rPr>
        <w:t>Gillespie j</w:t>
      </w:r>
      <w:r>
        <w:t xml:space="preserve"> at 367 E-368A</w:t>
      </w:r>
    </w:p>
  </w:footnote>
  <w:footnote w:id="5">
    <w:p w:rsidR="009E5DA1" w:rsidRDefault="009E5DA1">
      <w:pPr>
        <w:pStyle w:val="FootnoteText"/>
      </w:pPr>
      <w:r>
        <w:rPr>
          <w:rStyle w:val="FootnoteReference"/>
        </w:rPr>
        <w:footnoteRef/>
      </w:r>
      <w:r>
        <w:t xml:space="preserve"> See Phineas </w:t>
      </w:r>
      <w:proofErr w:type="spellStart"/>
      <w:r>
        <w:t>Ndhlovu</w:t>
      </w:r>
      <w:proofErr w:type="spellEnd"/>
      <w:r>
        <w:t xml:space="preserve"> v the State SC 18/86</w:t>
      </w:r>
    </w:p>
  </w:footnote>
  <w:footnote w:id="6">
    <w:p w:rsidR="00BA454A" w:rsidRDefault="00BA454A">
      <w:pPr>
        <w:pStyle w:val="FootnoteText"/>
      </w:pPr>
      <w:r>
        <w:rPr>
          <w:rStyle w:val="FootnoteReference"/>
        </w:rPr>
        <w:footnoteRef/>
      </w:r>
      <w:r>
        <w:t xml:space="preserve"> David </w:t>
      </w:r>
      <w:proofErr w:type="spellStart"/>
      <w:r>
        <w:t>Worswick</w:t>
      </w:r>
      <w:proofErr w:type="spellEnd"/>
      <w:r>
        <w:t xml:space="preserve"> v The State SC 27/85 at p.3 of the cyclostyled judgment</w:t>
      </w:r>
    </w:p>
  </w:footnote>
  <w:footnote w:id="7">
    <w:p w:rsidR="00BA454A" w:rsidRDefault="00BA454A">
      <w:pPr>
        <w:pStyle w:val="FootnoteText"/>
      </w:pPr>
      <w:r>
        <w:rPr>
          <w:rStyle w:val="FootnoteReference"/>
        </w:rPr>
        <w:footnoteRef/>
      </w:r>
      <w:r>
        <w:t xml:space="preserve"> 1981 (3) SA 172 (AD) at 180 EG</w:t>
      </w:r>
    </w:p>
  </w:footnote>
  <w:footnote w:id="8">
    <w:p w:rsidR="0098271F" w:rsidRDefault="0098271F">
      <w:pPr>
        <w:pStyle w:val="FootnoteText"/>
      </w:pPr>
      <w:r>
        <w:rPr>
          <w:rStyle w:val="FootnoteReference"/>
        </w:rPr>
        <w:footnoteRef/>
      </w:r>
      <w:r>
        <w:t xml:space="preserve"> </w:t>
      </w:r>
      <w:r w:rsidR="00381C7E">
        <w:t xml:space="preserve">See the matter of the S v </w:t>
      </w:r>
      <w:proofErr w:type="spellStart"/>
      <w:r w:rsidR="00381C7E">
        <w:t>Isolano</w:t>
      </w:r>
      <w:proofErr w:type="spellEnd"/>
      <w:r w:rsidR="00381C7E">
        <w:t xml:space="preserve"> 1985 (1) ZLR 62 (S)</w:t>
      </w:r>
    </w:p>
  </w:footnote>
  <w:footnote w:id="9">
    <w:p w:rsidR="00381C7E" w:rsidRDefault="00381C7E">
      <w:pPr>
        <w:pStyle w:val="FootnoteText"/>
      </w:pPr>
      <w:r>
        <w:rPr>
          <w:rStyle w:val="FootnoteReference"/>
        </w:rPr>
        <w:footnoteRef/>
      </w:r>
      <w:r>
        <w:t xml:space="preserve"> </w:t>
      </w:r>
      <w:proofErr w:type="spellStart"/>
      <w:r w:rsidRPr="00381C7E">
        <w:rPr>
          <w:smallCaps/>
        </w:rPr>
        <w:t>Dumbutshena</w:t>
      </w:r>
      <w:proofErr w:type="spellEnd"/>
      <w:r w:rsidRPr="00381C7E">
        <w:rPr>
          <w:smallCaps/>
        </w:rPr>
        <w:t xml:space="preserve"> </w:t>
      </w:r>
      <w:proofErr w:type="spellStart"/>
      <w:r w:rsidRPr="00381C7E">
        <w:rPr>
          <w:smallCaps/>
        </w:rPr>
        <w:t>cj</w:t>
      </w:r>
      <w:proofErr w:type="spellEnd"/>
      <w:r>
        <w:t xml:space="preserve"> , s v </w:t>
      </w:r>
      <w:proofErr w:type="spellStart"/>
      <w:r>
        <w:t>Isolano</w:t>
      </w:r>
      <w:proofErr w:type="spellEnd"/>
      <w:r>
        <w:t xml:space="preserve"> (supra) on p. 64A-B</w:t>
      </w:r>
    </w:p>
  </w:footnote>
  <w:footnote w:id="10">
    <w:p w:rsidR="00381C7E" w:rsidRDefault="00381C7E">
      <w:pPr>
        <w:pStyle w:val="FootnoteText"/>
      </w:pPr>
      <w:r>
        <w:rPr>
          <w:rStyle w:val="FootnoteReference"/>
        </w:rPr>
        <w:footnoteRef/>
      </w:r>
      <w:r>
        <w:t xml:space="preserve"> [1947] 2 AII ER 372 (KB)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D56C7F">
          <w:rPr>
            <w:noProof/>
          </w:rPr>
          <w:t>6</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E4004D">
          <w:rPr>
            <w:noProof/>
          </w:rPr>
          <w:t xml:space="preserve"> 40</w:t>
        </w:r>
        <w:r>
          <w:rPr>
            <w:noProof/>
          </w:rPr>
          <w:t>-</w:t>
        </w:r>
        <w:r w:rsidR="00B600E4">
          <w:rPr>
            <w:noProof/>
          </w:rPr>
          <w:t>19</w:t>
        </w:r>
      </w:p>
      <w:p w:rsidR="0087735B" w:rsidRDefault="00330ED9">
        <w:pPr>
          <w:pStyle w:val="Header"/>
          <w:jc w:val="right"/>
          <w:rPr>
            <w:noProof/>
          </w:rPr>
        </w:pPr>
        <w:r>
          <w:rPr>
            <w:noProof/>
          </w:rPr>
          <w:t>CA 10</w:t>
        </w:r>
        <w:r w:rsidR="007F1A23">
          <w:rPr>
            <w:noProof/>
          </w:rPr>
          <w:t>/19</w:t>
        </w:r>
      </w:p>
      <w:p w:rsidR="00315732" w:rsidRDefault="00330ED9">
        <w:pPr>
          <w:pStyle w:val="Header"/>
          <w:jc w:val="right"/>
        </w:pPr>
        <w:r>
          <w:rPr>
            <w:noProof/>
          </w:rPr>
          <w:t>MUTR 4657</w:t>
        </w:r>
        <w:r w:rsidR="007F1A23">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9"/>
  </w:num>
  <w:num w:numId="3">
    <w:abstractNumId w:val="2"/>
  </w:num>
  <w:num w:numId="4">
    <w:abstractNumId w:val="16"/>
  </w:num>
  <w:num w:numId="5">
    <w:abstractNumId w:val="13"/>
  </w:num>
  <w:num w:numId="6">
    <w:abstractNumId w:val="7"/>
  </w:num>
  <w:num w:numId="7">
    <w:abstractNumId w:val="15"/>
  </w:num>
  <w:num w:numId="8">
    <w:abstractNumId w:val="5"/>
  </w:num>
  <w:num w:numId="9">
    <w:abstractNumId w:val="17"/>
  </w:num>
  <w:num w:numId="10">
    <w:abstractNumId w:val="14"/>
  </w:num>
  <w:num w:numId="11">
    <w:abstractNumId w:val="11"/>
  </w:num>
  <w:num w:numId="12">
    <w:abstractNumId w:val="9"/>
  </w:num>
  <w:num w:numId="13">
    <w:abstractNumId w:val="1"/>
  </w:num>
  <w:num w:numId="14">
    <w:abstractNumId w:val="8"/>
  </w:num>
  <w:num w:numId="15">
    <w:abstractNumId w:val="3"/>
  </w:num>
  <w:num w:numId="16">
    <w:abstractNumId w:val="21"/>
  </w:num>
  <w:num w:numId="17">
    <w:abstractNumId w:val="12"/>
  </w:num>
  <w:num w:numId="18">
    <w:abstractNumId w:val="10"/>
  </w:num>
  <w:num w:numId="19">
    <w:abstractNumId w:val="22"/>
  </w:num>
  <w:num w:numId="20">
    <w:abstractNumId w:val="0"/>
  </w:num>
  <w:num w:numId="21">
    <w:abstractNumId w:val="6"/>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762F"/>
    <w:rsid w:val="00077842"/>
    <w:rsid w:val="000830BD"/>
    <w:rsid w:val="000831FE"/>
    <w:rsid w:val="00085896"/>
    <w:rsid w:val="00085E91"/>
    <w:rsid w:val="00086158"/>
    <w:rsid w:val="00086343"/>
    <w:rsid w:val="00090535"/>
    <w:rsid w:val="0009160D"/>
    <w:rsid w:val="00096064"/>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4A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5233"/>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3F3E"/>
    <w:rsid w:val="001B66CC"/>
    <w:rsid w:val="001C0EDE"/>
    <w:rsid w:val="001C27A7"/>
    <w:rsid w:val="001D3BEE"/>
    <w:rsid w:val="001D43BC"/>
    <w:rsid w:val="001D73FD"/>
    <w:rsid w:val="001E1AB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5DCE"/>
    <w:rsid w:val="002276DA"/>
    <w:rsid w:val="0023317D"/>
    <w:rsid w:val="00234590"/>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0ED9"/>
    <w:rsid w:val="00331C2C"/>
    <w:rsid w:val="003344A4"/>
    <w:rsid w:val="00336045"/>
    <w:rsid w:val="0034152B"/>
    <w:rsid w:val="00341F71"/>
    <w:rsid w:val="00342451"/>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1C7E"/>
    <w:rsid w:val="003839C0"/>
    <w:rsid w:val="00383CC8"/>
    <w:rsid w:val="003847CB"/>
    <w:rsid w:val="00390879"/>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61D5"/>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0D12"/>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984"/>
    <w:rsid w:val="005F0D8D"/>
    <w:rsid w:val="005F150E"/>
    <w:rsid w:val="005F1C7D"/>
    <w:rsid w:val="0060018F"/>
    <w:rsid w:val="00601184"/>
    <w:rsid w:val="00602D72"/>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26EB"/>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2808"/>
    <w:rsid w:val="007B4C77"/>
    <w:rsid w:val="007C185D"/>
    <w:rsid w:val="007D2A71"/>
    <w:rsid w:val="007D7DD7"/>
    <w:rsid w:val="007D7E3B"/>
    <w:rsid w:val="007E1351"/>
    <w:rsid w:val="007E15D4"/>
    <w:rsid w:val="007E445D"/>
    <w:rsid w:val="007E4DBF"/>
    <w:rsid w:val="007E7BB6"/>
    <w:rsid w:val="007F1A23"/>
    <w:rsid w:val="007F2B49"/>
    <w:rsid w:val="007F6D41"/>
    <w:rsid w:val="007F741A"/>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5445"/>
    <w:rsid w:val="0086690C"/>
    <w:rsid w:val="00866EFF"/>
    <w:rsid w:val="0087735B"/>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67452"/>
    <w:rsid w:val="00970BB9"/>
    <w:rsid w:val="00971EC3"/>
    <w:rsid w:val="00972D26"/>
    <w:rsid w:val="00976283"/>
    <w:rsid w:val="0098271F"/>
    <w:rsid w:val="00985039"/>
    <w:rsid w:val="00985307"/>
    <w:rsid w:val="00987085"/>
    <w:rsid w:val="009870D9"/>
    <w:rsid w:val="00987127"/>
    <w:rsid w:val="0098727C"/>
    <w:rsid w:val="009A2635"/>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E5DA1"/>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3C8D"/>
    <w:rsid w:val="00AE50F1"/>
    <w:rsid w:val="00AE71AC"/>
    <w:rsid w:val="00AE7308"/>
    <w:rsid w:val="00AF3AE8"/>
    <w:rsid w:val="00AF4E3F"/>
    <w:rsid w:val="00AF4F75"/>
    <w:rsid w:val="00AF76C1"/>
    <w:rsid w:val="00B01487"/>
    <w:rsid w:val="00B05AA2"/>
    <w:rsid w:val="00B06FAD"/>
    <w:rsid w:val="00B14C64"/>
    <w:rsid w:val="00B20482"/>
    <w:rsid w:val="00B2417A"/>
    <w:rsid w:val="00B2575C"/>
    <w:rsid w:val="00B26F9D"/>
    <w:rsid w:val="00B3089B"/>
    <w:rsid w:val="00B31540"/>
    <w:rsid w:val="00B333CC"/>
    <w:rsid w:val="00B37E68"/>
    <w:rsid w:val="00B418A1"/>
    <w:rsid w:val="00B42F29"/>
    <w:rsid w:val="00B45479"/>
    <w:rsid w:val="00B549C2"/>
    <w:rsid w:val="00B56A2C"/>
    <w:rsid w:val="00B5750B"/>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54A"/>
    <w:rsid w:val="00BB013F"/>
    <w:rsid w:val="00BB03A7"/>
    <w:rsid w:val="00BB1B65"/>
    <w:rsid w:val="00BB7223"/>
    <w:rsid w:val="00BB79FC"/>
    <w:rsid w:val="00BC017B"/>
    <w:rsid w:val="00BC1AC3"/>
    <w:rsid w:val="00BC5736"/>
    <w:rsid w:val="00BC58B7"/>
    <w:rsid w:val="00BC70D7"/>
    <w:rsid w:val="00BD2A26"/>
    <w:rsid w:val="00BE34B1"/>
    <w:rsid w:val="00BE36B2"/>
    <w:rsid w:val="00BE47F9"/>
    <w:rsid w:val="00BE4B41"/>
    <w:rsid w:val="00BF6D8E"/>
    <w:rsid w:val="00BF6ED9"/>
    <w:rsid w:val="00C00782"/>
    <w:rsid w:val="00C0218F"/>
    <w:rsid w:val="00C10402"/>
    <w:rsid w:val="00C11D54"/>
    <w:rsid w:val="00C11DB3"/>
    <w:rsid w:val="00C137E2"/>
    <w:rsid w:val="00C166D2"/>
    <w:rsid w:val="00C170A9"/>
    <w:rsid w:val="00C17B68"/>
    <w:rsid w:val="00C21FC2"/>
    <w:rsid w:val="00C23355"/>
    <w:rsid w:val="00C238C2"/>
    <w:rsid w:val="00C253A6"/>
    <w:rsid w:val="00C27221"/>
    <w:rsid w:val="00C314C4"/>
    <w:rsid w:val="00C411E1"/>
    <w:rsid w:val="00C4252B"/>
    <w:rsid w:val="00C4277C"/>
    <w:rsid w:val="00C42C24"/>
    <w:rsid w:val="00C45866"/>
    <w:rsid w:val="00C46AB1"/>
    <w:rsid w:val="00C47F26"/>
    <w:rsid w:val="00C57B4F"/>
    <w:rsid w:val="00C60480"/>
    <w:rsid w:val="00C61B70"/>
    <w:rsid w:val="00C625F4"/>
    <w:rsid w:val="00C63435"/>
    <w:rsid w:val="00C651A5"/>
    <w:rsid w:val="00C67744"/>
    <w:rsid w:val="00C67EFE"/>
    <w:rsid w:val="00C70A57"/>
    <w:rsid w:val="00C71FB5"/>
    <w:rsid w:val="00C744C3"/>
    <w:rsid w:val="00C805E1"/>
    <w:rsid w:val="00C81001"/>
    <w:rsid w:val="00C82571"/>
    <w:rsid w:val="00C82948"/>
    <w:rsid w:val="00C841D7"/>
    <w:rsid w:val="00C857C5"/>
    <w:rsid w:val="00C87FCB"/>
    <w:rsid w:val="00C9191E"/>
    <w:rsid w:val="00CA31F0"/>
    <w:rsid w:val="00CA3C9B"/>
    <w:rsid w:val="00CA6A13"/>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6409"/>
    <w:rsid w:val="00D56C7F"/>
    <w:rsid w:val="00D572F8"/>
    <w:rsid w:val="00D57B53"/>
    <w:rsid w:val="00D57DE8"/>
    <w:rsid w:val="00D619BF"/>
    <w:rsid w:val="00D61EEA"/>
    <w:rsid w:val="00D61F7C"/>
    <w:rsid w:val="00D6237A"/>
    <w:rsid w:val="00D6464E"/>
    <w:rsid w:val="00D66294"/>
    <w:rsid w:val="00D708DD"/>
    <w:rsid w:val="00D7304C"/>
    <w:rsid w:val="00D743A2"/>
    <w:rsid w:val="00D74C13"/>
    <w:rsid w:val="00D75549"/>
    <w:rsid w:val="00D76881"/>
    <w:rsid w:val="00D829F2"/>
    <w:rsid w:val="00D8392F"/>
    <w:rsid w:val="00D85C5A"/>
    <w:rsid w:val="00D91636"/>
    <w:rsid w:val="00D91DED"/>
    <w:rsid w:val="00D957E9"/>
    <w:rsid w:val="00D97314"/>
    <w:rsid w:val="00DA0135"/>
    <w:rsid w:val="00DA03DA"/>
    <w:rsid w:val="00DA2C2D"/>
    <w:rsid w:val="00DA2DE5"/>
    <w:rsid w:val="00DA36E3"/>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3524"/>
    <w:rsid w:val="00DE3C2E"/>
    <w:rsid w:val="00E002B0"/>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04D"/>
    <w:rsid w:val="00E40670"/>
    <w:rsid w:val="00E4233A"/>
    <w:rsid w:val="00E42C77"/>
    <w:rsid w:val="00E45016"/>
    <w:rsid w:val="00E45E51"/>
    <w:rsid w:val="00E5093D"/>
    <w:rsid w:val="00E51787"/>
    <w:rsid w:val="00E52DD9"/>
    <w:rsid w:val="00E56332"/>
    <w:rsid w:val="00E57A8D"/>
    <w:rsid w:val="00E6164D"/>
    <w:rsid w:val="00E63A00"/>
    <w:rsid w:val="00E7027E"/>
    <w:rsid w:val="00E80581"/>
    <w:rsid w:val="00E86164"/>
    <w:rsid w:val="00E93261"/>
    <w:rsid w:val="00E93ED7"/>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4CC2E-9A8F-4C8B-A351-7B996382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14</cp:revision>
  <cp:lastPrinted>2019-06-10T13:56:00Z</cp:lastPrinted>
  <dcterms:created xsi:type="dcterms:W3CDTF">2019-06-10T12:29:00Z</dcterms:created>
  <dcterms:modified xsi:type="dcterms:W3CDTF">2019-06-20T09:11:00Z</dcterms:modified>
</cp:coreProperties>
</file>