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578" w:rsidRDefault="00AC0BD0" w:rsidP="00AC0BD0">
      <w:pPr>
        <w:spacing w:line="360" w:lineRule="auto"/>
        <w:jc w:val="both"/>
        <w:rPr>
          <w:b/>
          <w:sz w:val="28"/>
          <w:szCs w:val="28"/>
        </w:rPr>
      </w:pPr>
      <w:r>
        <w:rPr>
          <w:b/>
          <w:sz w:val="28"/>
          <w:szCs w:val="28"/>
        </w:rPr>
        <w:t>IN THE LABOUR COURT OF ZIMBABWE</w:t>
      </w:r>
      <w:r>
        <w:rPr>
          <w:b/>
          <w:sz w:val="28"/>
          <w:szCs w:val="28"/>
        </w:rPr>
        <w:tab/>
        <w:t xml:space="preserve">      JUDGMENT NO LC/H/732/13</w:t>
      </w:r>
    </w:p>
    <w:p w:rsidR="00AC0BD0" w:rsidRDefault="00AC0BD0" w:rsidP="00AC0BD0">
      <w:pPr>
        <w:spacing w:line="360" w:lineRule="auto"/>
        <w:jc w:val="both"/>
        <w:rPr>
          <w:b/>
          <w:sz w:val="28"/>
          <w:szCs w:val="28"/>
        </w:rPr>
      </w:pPr>
      <w:r>
        <w:rPr>
          <w:b/>
          <w:sz w:val="28"/>
          <w:szCs w:val="28"/>
        </w:rPr>
        <w:t>HELD AT HARARE 29</w:t>
      </w:r>
      <w:r w:rsidRPr="00AC0BD0">
        <w:rPr>
          <w:b/>
          <w:sz w:val="28"/>
          <w:szCs w:val="28"/>
          <w:vertAlign w:val="superscript"/>
        </w:rPr>
        <w:t>TH</w:t>
      </w:r>
      <w:r>
        <w:rPr>
          <w:b/>
          <w:sz w:val="28"/>
          <w:szCs w:val="28"/>
        </w:rPr>
        <w:t xml:space="preserve"> JULY 2013</w:t>
      </w:r>
      <w:r>
        <w:rPr>
          <w:b/>
          <w:sz w:val="28"/>
          <w:szCs w:val="28"/>
        </w:rPr>
        <w:tab/>
      </w:r>
      <w:r>
        <w:rPr>
          <w:b/>
          <w:sz w:val="28"/>
          <w:szCs w:val="28"/>
        </w:rPr>
        <w:tab/>
        <w:t xml:space="preserve">      CASE NO LC/H/189/11</w:t>
      </w:r>
    </w:p>
    <w:p w:rsidR="00104156" w:rsidRDefault="00A30AE6" w:rsidP="00AC0BD0">
      <w:pPr>
        <w:spacing w:line="360" w:lineRule="auto"/>
        <w:jc w:val="both"/>
        <w:rPr>
          <w:b/>
          <w:sz w:val="28"/>
          <w:szCs w:val="28"/>
        </w:rPr>
      </w:pPr>
      <w:r>
        <w:rPr>
          <w:b/>
          <w:sz w:val="28"/>
          <w:szCs w:val="28"/>
        </w:rPr>
        <w:t>&amp; 17</w:t>
      </w:r>
      <w:r w:rsidRPr="00A30AE6">
        <w:rPr>
          <w:b/>
          <w:sz w:val="28"/>
          <w:szCs w:val="28"/>
          <w:vertAlign w:val="superscript"/>
        </w:rPr>
        <w:t>TH</w:t>
      </w:r>
      <w:r>
        <w:rPr>
          <w:b/>
          <w:sz w:val="28"/>
          <w:szCs w:val="28"/>
        </w:rPr>
        <w:t xml:space="preserve"> </w:t>
      </w:r>
      <w:bookmarkStart w:id="0" w:name="_GoBack"/>
      <w:bookmarkEnd w:id="0"/>
      <w:r w:rsidR="00104156">
        <w:rPr>
          <w:b/>
          <w:sz w:val="28"/>
          <w:szCs w:val="28"/>
        </w:rPr>
        <w:t xml:space="preserve"> JANUARY 2014</w:t>
      </w:r>
    </w:p>
    <w:p w:rsidR="002A3F3D" w:rsidRDefault="002A3F3D" w:rsidP="00AC0BD0">
      <w:pPr>
        <w:spacing w:line="360" w:lineRule="auto"/>
        <w:jc w:val="both"/>
        <w:rPr>
          <w:b/>
          <w:sz w:val="28"/>
          <w:szCs w:val="28"/>
        </w:rPr>
      </w:pPr>
    </w:p>
    <w:p w:rsidR="00AC0BD0" w:rsidRDefault="00AC0BD0" w:rsidP="00AC0BD0">
      <w:pPr>
        <w:spacing w:line="360" w:lineRule="auto"/>
        <w:jc w:val="both"/>
        <w:rPr>
          <w:b/>
          <w:sz w:val="28"/>
          <w:szCs w:val="28"/>
        </w:rPr>
      </w:pPr>
      <w:r>
        <w:rPr>
          <w:b/>
          <w:sz w:val="28"/>
          <w:szCs w:val="28"/>
        </w:rPr>
        <w:t>ENOCK CHIKAKA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AC0BD0" w:rsidRDefault="00AC0BD0" w:rsidP="00AC0BD0">
      <w:pPr>
        <w:spacing w:line="360" w:lineRule="auto"/>
        <w:jc w:val="both"/>
        <w:rPr>
          <w:b/>
          <w:sz w:val="28"/>
          <w:szCs w:val="28"/>
        </w:rPr>
      </w:pPr>
      <w:r>
        <w:rPr>
          <w:b/>
          <w:sz w:val="28"/>
          <w:szCs w:val="28"/>
        </w:rPr>
        <w:t>CMED (PVT)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AC0BD0" w:rsidRDefault="00AC0BD0" w:rsidP="00AC0BD0">
      <w:pPr>
        <w:spacing w:line="360" w:lineRule="auto"/>
        <w:jc w:val="both"/>
        <w:rPr>
          <w:sz w:val="28"/>
          <w:szCs w:val="28"/>
        </w:rPr>
      </w:pPr>
      <w:r>
        <w:rPr>
          <w:sz w:val="28"/>
          <w:szCs w:val="28"/>
        </w:rPr>
        <w:t>Before The Honourable G Musariri, Judge</w:t>
      </w:r>
    </w:p>
    <w:p w:rsidR="00AC0BD0" w:rsidRDefault="00AC0BD0" w:rsidP="00AC0BD0">
      <w:pPr>
        <w:spacing w:line="360" w:lineRule="auto"/>
        <w:jc w:val="both"/>
        <w:rPr>
          <w:b/>
          <w:sz w:val="28"/>
          <w:szCs w:val="28"/>
        </w:rPr>
      </w:pPr>
      <w:r>
        <w:rPr>
          <w:b/>
          <w:sz w:val="28"/>
          <w:szCs w:val="28"/>
        </w:rPr>
        <w:t>For Applicant</w:t>
      </w:r>
      <w:r>
        <w:rPr>
          <w:b/>
          <w:sz w:val="28"/>
          <w:szCs w:val="28"/>
        </w:rPr>
        <w:tab/>
      </w:r>
      <w:r>
        <w:rPr>
          <w:b/>
          <w:sz w:val="28"/>
          <w:szCs w:val="28"/>
        </w:rPr>
        <w:tab/>
        <w:t xml:space="preserve">Mr P </w:t>
      </w:r>
      <w:proofErr w:type="spellStart"/>
      <w:r>
        <w:rPr>
          <w:b/>
          <w:sz w:val="28"/>
          <w:szCs w:val="28"/>
        </w:rPr>
        <w:t>Nhokwara</w:t>
      </w:r>
      <w:proofErr w:type="spellEnd"/>
      <w:r>
        <w:rPr>
          <w:b/>
          <w:sz w:val="28"/>
          <w:szCs w:val="28"/>
        </w:rPr>
        <w:t>, Attorney</w:t>
      </w:r>
    </w:p>
    <w:p w:rsidR="00AC0BD0" w:rsidRDefault="00AC0BD0" w:rsidP="00AC0BD0">
      <w:pPr>
        <w:spacing w:line="360" w:lineRule="auto"/>
        <w:jc w:val="both"/>
        <w:rPr>
          <w:b/>
          <w:sz w:val="28"/>
          <w:szCs w:val="28"/>
        </w:rPr>
      </w:pPr>
      <w:r>
        <w:rPr>
          <w:b/>
          <w:sz w:val="28"/>
          <w:szCs w:val="28"/>
        </w:rPr>
        <w:t>For Respondent</w:t>
      </w:r>
      <w:r>
        <w:rPr>
          <w:b/>
          <w:sz w:val="28"/>
          <w:szCs w:val="28"/>
        </w:rPr>
        <w:tab/>
      </w:r>
      <w:r>
        <w:rPr>
          <w:b/>
          <w:sz w:val="28"/>
          <w:szCs w:val="28"/>
        </w:rPr>
        <w:tab/>
        <w:t xml:space="preserve">Ms W </w:t>
      </w:r>
      <w:proofErr w:type="spellStart"/>
      <w:r>
        <w:rPr>
          <w:b/>
          <w:sz w:val="28"/>
          <w:szCs w:val="28"/>
        </w:rPr>
        <w:t>Nyakudanga</w:t>
      </w:r>
      <w:proofErr w:type="spellEnd"/>
      <w:r>
        <w:rPr>
          <w:b/>
          <w:sz w:val="28"/>
          <w:szCs w:val="28"/>
        </w:rPr>
        <w:t>, Attorney</w:t>
      </w:r>
    </w:p>
    <w:p w:rsidR="00AC0BD0" w:rsidRDefault="00AC0BD0" w:rsidP="00AC0BD0">
      <w:pPr>
        <w:spacing w:line="360" w:lineRule="auto"/>
        <w:jc w:val="both"/>
        <w:rPr>
          <w:b/>
          <w:sz w:val="28"/>
          <w:szCs w:val="28"/>
        </w:rPr>
      </w:pPr>
    </w:p>
    <w:p w:rsidR="00AC0BD0" w:rsidRDefault="00AC0BD0" w:rsidP="00AC0BD0">
      <w:pPr>
        <w:spacing w:line="360" w:lineRule="auto"/>
        <w:jc w:val="both"/>
        <w:rPr>
          <w:b/>
          <w:sz w:val="28"/>
          <w:szCs w:val="28"/>
        </w:rPr>
      </w:pPr>
      <w:r>
        <w:rPr>
          <w:b/>
          <w:sz w:val="28"/>
          <w:szCs w:val="28"/>
        </w:rPr>
        <w:t>MUSARIRI, G:</w:t>
      </w:r>
    </w:p>
    <w:p w:rsidR="002A3F3D" w:rsidRDefault="002A3F3D" w:rsidP="00AC0BD0">
      <w:pPr>
        <w:spacing w:line="360" w:lineRule="auto"/>
        <w:jc w:val="both"/>
        <w:rPr>
          <w:b/>
          <w:sz w:val="28"/>
          <w:szCs w:val="28"/>
        </w:rPr>
      </w:pPr>
    </w:p>
    <w:p w:rsidR="00AC0BD0" w:rsidRDefault="00AC0BD0" w:rsidP="002A3F3D">
      <w:pPr>
        <w:spacing w:after="0" w:line="360" w:lineRule="auto"/>
        <w:jc w:val="both"/>
        <w:rPr>
          <w:sz w:val="28"/>
          <w:szCs w:val="28"/>
        </w:rPr>
      </w:pPr>
      <w:r>
        <w:rPr>
          <w:sz w:val="28"/>
          <w:szCs w:val="28"/>
        </w:rPr>
        <w:t xml:space="preserve">Applicant applied for the review of disciplinary proceedings against him which were conducted by Respondent.  Respondent opposed the application.  During oral argument Applicant based his case on the improper composition of the disciplinary committee.  Respondent conceded, and rightly so, that the committee was improperly constituted.  Such a committee has no authority to conduct disciplinary proceedings, let alone to dismiss an employee.  Authority for this proposition is found in the dicta of </w:t>
      </w:r>
      <w:proofErr w:type="spellStart"/>
      <w:r>
        <w:rPr>
          <w:sz w:val="28"/>
          <w:szCs w:val="28"/>
        </w:rPr>
        <w:t>Sandura</w:t>
      </w:r>
      <w:proofErr w:type="spellEnd"/>
      <w:r>
        <w:rPr>
          <w:sz w:val="28"/>
          <w:szCs w:val="28"/>
        </w:rPr>
        <w:t xml:space="preserve"> JA (as he then was) where he stated that an improperly constituted disciplinary committee “was a fatal irregularity which</w:t>
      </w:r>
      <w:r w:rsidR="004B32D4">
        <w:rPr>
          <w:sz w:val="28"/>
          <w:szCs w:val="28"/>
        </w:rPr>
        <w:t xml:space="preserve"> vitiated the proceedings.”</w:t>
      </w:r>
      <w:r w:rsidR="002A3F3D">
        <w:rPr>
          <w:sz w:val="28"/>
          <w:szCs w:val="28"/>
        </w:rPr>
        <w:t xml:space="preserve">  That was the case of</w:t>
      </w:r>
    </w:p>
    <w:p w:rsidR="004B32D4" w:rsidRDefault="004B32D4" w:rsidP="002A3F3D">
      <w:pPr>
        <w:spacing w:after="0" w:line="360" w:lineRule="auto"/>
        <w:jc w:val="both"/>
        <w:rPr>
          <w:sz w:val="28"/>
          <w:szCs w:val="28"/>
        </w:rPr>
      </w:pPr>
      <w:proofErr w:type="spellStart"/>
      <w:r>
        <w:rPr>
          <w:b/>
          <w:sz w:val="28"/>
          <w:szCs w:val="28"/>
        </w:rPr>
        <w:t>Madoda</w:t>
      </w:r>
      <w:proofErr w:type="spellEnd"/>
      <w:r>
        <w:rPr>
          <w:b/>
          <w:sz w:val="28"/>
          <w:szCs w:val="28"/>
        </w:rPr>
        <w:t xml:space="preserve"> v </w:t>
      </w:r>
      <w:proofErr w:type="spellStart"/>
      <w:r>
        <w:rPr>
          <w:b/>
          <w:sz w:val="28"/>
          <w:szCs w:val="28"/>
        </w:rPr>
        <w:t>Tanganda</w:t>
      </w:r>
      <w:proofErr w:type="spellEnd"/>
      <w:r>
        <w:rPr>
          <w:b/>
          <w:sz w:val="28"/>
          <w:szCs w:val="28"/>
        </w:rPr>
        <w:t xml:space="preserve"> </w:t>
      </w:r>
      <w:r>
        <w:rPr>
          <w:sz w:val="28"/>
          <w:szCs w:val="28"/>
        </w:rPr>
        <w:t>1999 (1) ZLR 374 (S</w:t>
      </w:r>
      <w:proofErr w:type="gramStart"/>
      <w:r>
        <w:rPr>
          <w:sz w:val="28"/>
          <w:szCs w:val="28"/>
        </w:rPr>
        <w:t>)  at</w:t>
      </w:r>
      <w:proofErr w:type="gramEnd"/>
      <w:r>
        <w:rPr>
          <w:sz w:val="28"/>
          <w:szCs w:val="28"/>
        </w:rPr>
        <w:t xml:space="preserve"> p 378 C.</w:t>
      </w:r>
    </w:p>
    <w:p w:rsidR="00104156" w:rsidRDefault="00104156" w:rsidP="00AC0BD0">
      <w:pPr>
        <w:spacing w:line="360" w:lineRule="auto"/>
        <w:jc w:val="both"/>
        <w:rPr>
          <w:sz w:val="28"/>
          <w:szCs w:val="28"/>
        </w:rPr>
      </w:pPr>
    </w:p>
    <w:p w:rsidR="00104156" w:rsidRDefault="004B32D4" w:rsidP="00104156">
      <w:pPr>
        <w:spacing w:after="0" w:line="360" w:lineRule="auto"/>
        <w:jc w:val="both"/>
        <w:rPr>
          <w:sz w:val="28"/>
          <w:szCs w:val="28"/>
        </w:rPr>
      </w:pPr>
      <w:r>
        <w:rPr>
          <w:sz w:val="28"/>
          <w:szCs w:val="28"/>
        </w:rPr>
        <w:t xml:space="preserve">Respondent countered that the Applicant should </w:t>
      </w:r>
      <w:r w:rsidR="002A3F3D">
        <w:rPr>
          <w:sz w:val="28"/>
          <w:szCs w:val="28"/>
        </w:rPr>
        <w:t xml:space="preserve">not </w:t>
      </w:r>
      <w:r>
        <w:rPr>
          <w:sz w:val="28"/>
          <w:szCs w:val="28"/>
        </w:rPr>
        <w:t>escape the consequences of his misconduct by reason of the irregularity.  It further submitted that Applicant had not shown prejudice suffered as a result of the irregularity.  I consider the last submission as misplaced.  The question of prejudice does not arise.  The proceedings were vitiated by the irregularity</w:t>
      </w:r>
      <w:r w:rsidR="00104156">
        <w:rPr>
          <w:sz w:val="28"/>
          <w:szCs w:val="28"/>
        </w:rPr>
        <w:t>,</w:t>
      </w:r>
      <w:r w:rsidR="002A3F3D">
        <w:rPr>
          <w:sz w:val="28"/>
          <w:szCs w:val="28"/>
        </w:rPr>
        <w:t xml:space="preserve"> period</w:t>
      </w:r>
      <w:r>
        <w:rPr>
          <w:sz w:val="28"/>
          <w:szCs w:val="28"/>
        </w:rPr>
        <w:t xml:space="preserve">. That was the </w:t>
      </w:r>
      <w:r>
        <w:rPr>
          <w:sz w:val="28"/>
          <w:szCs w:val="28"/>
          <w:u w:val="single"/>
        </w:rPr>
        <w:t>ratio</w:t>
      </w:r>
      <w:r>
        <w:rPr>
          <w:sz w:val="28"/>
          <w:szCs w:val="28"/>
        </w:rPr>
        <w:t xml:space="preserve"> in the </w:t>
      </w:r>
      <w:proofErr w:type="spellStart"/>
      <w:r>
        <w:rPr>
          <w:sz w:val="28"/>
          <w:szCs w:val="28"/>
          <w:u w:val="single"/>
        </w:rPr>
        <w:t>Madoda</w:t>
      </w:r>
      <w:proofErr w:type="spellEnd"/>
      <w:r>
        <w:rPr>
          <w:sz w:val="28"/>
          <w:szCs w:val="28"/>
        </w:rPr>
        <w:t xml:space="preserve"> case </w:t>
      </w:r>
      <w:r>
        <w:rPr>
          <w:sz w:val="28"/>
          <w:szCs w:val="28"/>
          <w:u w:val="single"/>
        </w:rPr>
        <w:t>supra.</w:t>
      </w:r>
      <w:r>
        <w:rPr>
          <w:sz w:val="28"/>
          <w:szCs w:val="28"/>
        </w:rPr>
        <w:t xml:space="preserve">  However I am persuaded by the submission that an employee should not escape the conse</w:t>
      </w:r>
      <w:r w:rsidR="00CF0021">
        <w:rPr>
          <w:sz w:val="28"/>
          <w:szCs w:val="28"/>
        </w:rPr>
        <w:t>quences of his misconduct solely on account of irregularities.</w:t>
      </w:r>
      <w:r w:rsidR="002A3F3D">
        <w:rPr>
          <w:sz w:val="28"/>
          <w:szCs w:val="28"/>
        </w:rPr>
        <w:t xml:space="preserve">  He should be acquitted on the merits. </w:t>
      </w:r>
      <w:r w:rsidR="00CF0021">
        <w:rPr>
          <w:sz w:val="28"/>
          <w:szCs w:val="28"/>
        </w:rPr>
        <w:t xml:space="preserve">  This position is supported by the case of </w:t>
      </w:r>
    </w:p>
    <w:p w:rsidR="004B32D4" w:rsidRDefault="00CF0021" w:rsidP="00104156">
      <w:pPr>
        <w:spacing w:after="0" w:line="360" w:lineRule="auto"/>
        <w:jc w:val="both"/>
        <w:rPr>
          <w:sz w:val="28"/>
          <w:szCs w:val="28"/>
        </w:rPr>
      </w:pPr>
      <w:proofErr w:type="spellStart"/>
      <w:r>
        <w:rPr>
          <w:b/>
          <w:sz w:val="28"/>
          <w:szCs w:val="28"/>
        </w:rPr>
        <w:t>Dalny</w:t>
      </w:r>
      <w:proofErr w:type="spellEnd"/>
      <w:r>
        <w:rPr>
          <w:b/>
          <w:sz w:val="28"/>
          <w:szCs w:val="28"/>
        </w:rPr>
        <w:t xml:space="preserve"> Mine v Banda </w:t>
      </w:r>
      <w:r>
        <w:rPr>
          <w:sz w:val="28"/>
          <w:szCs w:val="28"/>
        </w:rPr>
        <w:t>1999 (1) ZLR 220 (S) where McNally JA (s the then was) stated, at p 222 E,</w:t>
      </w:r>
      <w:r w:rsidR="002A3F3D">
        <w:rPr>
          <w:sz w:val="28"/>
          <w:szCs w:val="28"/>
        </w:rPr>
        <w:t xml:space="preserve"> that,</w:t>
      </w:r>
    </w:p>
    <w:p w:rsidR="00CF0021" w:rsidRDefault="00CF0021" w:rsidP="00CF0021">
      <w:pPr>
        <w:spacing w:line="360" w:lineRule="auto"/>
        <w:ind w:left="720"/>
        <w:jc w:val="both"/>
        <w:rPr>
          <w:i/>
          <w:sz w:val="28"/>
          <w:szCs w:val="28"/>
        </w:rPr>
      </w:pPr>
      <w:r>
        <w:rPr>
          <w:i/>
          <w:sz w:val="28"/>
          <w:szCs w:val="28"/>
        </w:rPr>
        <w:t>“I conclude, therefore, that the Tribunal should not have decided the matter on the basis of procedural irregularities.  Its choice was either to remit the matter so that the irregularities might be cured in a re-hearing, or to hear the evidence itself,</w:t>
      </w:r>
      <w:r w:rsidR="002A3F3D">
        <w:rPr>
          <w:i/>
          <w:sz w:val="28"/>
          <w:szCs w:val="28"/>
        </w:rPr>
        <w:t xml:space="preserve"> thus rendering the procedural</w:t>
      </w:r>
      <w:r>
        <w:rPr>
          <w:i/>
          <w:sz w:val="28"/>
          <w:szCs w:val="28"/>
        </w:rPr>
        <w:t xml:space="preserve"> irregularities irrelevant, and to come to a conclusion on these merits.”</w:t>
      </w:r>
    </w:p>
    <w:p w:rsidR="002A3F3D" w:rsidRDefault="00CF0021" w:rsidP="00CF0021">
      <w:pPr>
        <w:spacing w:line="360" w:lineRule="auto"/>
        <w:jc w:val="both"/>
        <w:rPr>
          <w:sz w:val="28"/>
          <w:szCs w:val="28"/>
        </w:rPr>
      </w:pPr>
      <w:r>
        <w:rPr>
          <w:sz w:val="28"/>
          <w:szCs w:val="28"/>
        </w:rPr>
        <w:t>On that basis, I consider that a remittal of the matter for a re-</w:t>
      </w:r>
      <w:proofErr w:type="gramStart"/>
      <w:r>
        <w:rPr>
          <w:sz w:val="28"/>
          <w:szCs w:val="28"/>
        </w:rPr>
        <w:t>hearing,</w:t>
      </w:r>
      <w:proofErr w:type="gramEnd"/>
      <w:r>
        <w:rPr>
          <w:sz w:val="28"/>
          <w:szCs w:val="28"/>
        </w:rPr>
        <w:t xml:space="preserve"> is necessary.</w:t>
      </w:r>
    </w:p>
    <w:p w:rsidR="002A3F3D" w:rsidRDefault="002A3F3D" w:rsidP="00CF0021">
      <w:pPr>
        <w:spacing w:line="360" w:lineRule="auto"/>
        <w:jc w:val="both"/>
        <w:rPr>
          <w:sz w:val="28"/>
          <w:szCs w:val="28"/>
        </w:rPr>
      </w:pPr>
    </w:p>
    <w:p w:rsidR="002A3F3D" w:rsidRDefault="002A3F3D" w:rsidP="00CF0021">
      <w:pPr>
        <w:spacing w:line="360" w:lineRule="auto"/>
        <w:jc w:val="both"/>
        <w:rPr>
          <w:sz w:val="28"/>
          <w:szCs w:val="28"/>
        </w:rPr>
      </w:pPr>
    </w:p>
    <w:p w:rsidR="002A3F3D" w:rsidRDefault="002A3F3D" w:rsidP="00CF0021">
      <w:pPr>
        <w:spacing w:line="360" w:lineRule="auto"/>
        <w:jc w:val="both"/>
        <w:rPr>
          <w:sz w:val="28"/>
          <w:szCs w:val="28"/>
        </w:rPr>
      </w:pPr>
    </w:p>
    <w:p w:rsidR="002A3F3D" w:rsidRDefault="002A3F3D" w:rsidP="00CF0021">
      <w:pPr>
        <w:spacing w:line="360" w:lineRule="auto"/>
        <w:jc w:val="both"/>
        <w:rPr>
          <w:sz w:val="28"/>
          <w:szCs w:val="28"/>
        </w:rPr>
      </w:pPr>
    </w:p>
    <w:p w:rsidR="002A3F3D" w:rsidRDefault="002A3F3D" w:rsidP="00CF0021">
      <w:pPr>
        <w:spacing w:line="360" w:lineRule="auto"/>
        <w:jc w:val="both"/>
        <w:rPr>
          <w:sz w:val="28"/>
          <w:szCs w:val="28"/>
        </w:rPr>
      </w:pPr>
    </w:p>
    <w:p w:rsidR="002A3F3D" w:rsidRDefault="002A3F3D" w:rsidP="00CF0021">
      <w:pPr>
        <w:spacing w:line="360" w:lineRule="auto"/>
        <w:jc w:val="both"/>
        <w:rPr>
          <w:sz w:val="28"/>
          <w:szCs w:val="28"/>
        </w:rPr>
      </w:pPr>
    </w:p>
    <w:p w:rsidR="002A3F3D" w:rsidRDefault="002A3F3D" w:rsidP="00CF0021">
      <w:pPr>
        <w:spacing w:line="360" w:lineRule="auto"/>
        <w:jc w:val="both"/>
        <w:rPr>
          <w:sz w:val="28"/>
          <w:szCs w:val="28"/>
        </w:rPr>
      </w:pPr>
    </w:p>
    <w:p w:rsidR="00CF0021" w:rsidRDefault="00CF0021" w:rsidP="00CF0021">
      <w:pPr>
        <w:spacing w:line="360" w:lineRule="auto"/>
        <w:jc w:val="both"/>
        <w:rPr>
          <w:sz w:val="28"/>
          <w:szCs w:val="28"/>
        </w:rPr>
      </w:pPr>
    </w:p>
    <w:p w:rsidR="00CF0021" w:rsidRDefault="00CF0021" w:rsidP="00CF0021">
      <w:pPr>
        <w:spacing w:line="360" w:lineRule="auto"/>
        <w:jc w:val="both"/>
        <w:rPr>
          <w:sz w:val="28"/>
          <w:szCs w:val="28"/>
        </w:rPr>
      </w:pPr>
    </w:p>
    <w:p w:rsidR="00CF0021" w:rsidRDefault="00CF0021" w:rsidP="00CF0021">
      <w:pPr>
        <w:spacing w:line="360" w:lineRule="auto"/>
        <w:jc w:val="both"/>
        <w:rPr>
          <w:sz w:val="28"/>
          <w:szCs w:val="28"/>
        </w:rPr>
      </w:pPr>
      <w:r>
        <w:rPr>
          <w:sz w:val="28"/>
          <w:szCs w:val="28"/>
        </w:rPr>
        <w:t>Wherefore it is ordered that,</w:t>
      </w:r>
    </w:p>
    <w:p w:rsidR="00CF0021" w:rsidRDefault="00CF0021" w:rsidP="00CF0021">
      <w:pPr>
        <w:pStyle w:val="ListParagraph"/>
        <w:numPr>
          <w:ilvl w:val="0"/>
          <w:numId w:val="1"/>
        </w:numPr>
        <w:spacing w:line="360" w:lineRule="auto"/>
        <w:jc w:val="both"/>
        <w:rPr>
          <w:sz w:val="28"/>
          <w:szCs w:val="28"/>
        </w:rPr>
      </w:pPr>
      <w:r>
        <w:rPr>
          <w:sz w:val="28"/>
          <w:szCs w:val="28"/>
        </w:rPr>
        <w:t xml:space="preserve"> The disciplinary proceedings against and the dismissal of Applicant by Respondent are set aside; and</w:t>
      </w:r>
    </w:p>
    <w:p w:rsidR="00CF0021" w:rsidRDefault="00CF0021" w:rsidP="00CF0021">
      <w:pPr>
        <w:pStyle w:val="ListParagraph"/>
        <w:numPr>
          <w:ilvl w:val="0"/>
          <w:numId w:val="1"/>
        </w:numPr>
        <w:spacing w:line="360" w:lineRule="auto"/>
        <w:jc w:val="both"/>
        <w:rPr>
          <w:sz w:val="28"/>
          <w:szCs w:val="28"/>
        </w:rPr>
      </w:pPr>
      <w:r>
        <w:rPr>
          <w:sz w:val="28"/>
          <w:szCs w:val="28"/>
        </w:rPr>
        <w:t>The matter is hereby remitted back to Respondent for a re-hearing by a properly constituted disciplinary committee; and</w:t>
      </w:r>
    </w:p>
    <w:p w:rsidR="00CF0021" w:rsidRDefault="00CF0021" w:rsidP="00CF0021">
      <w:pPr>
        <w:pStyle w:val="ListParagraph"/>
        <w:numPr>
          <w:ilvl w:val="0"/>
          <w:numId w:val="1"/>
        </w:numPr>
        <w:spacing w:line="360" w:lineRule="auto"/>
        <w:jc w:val="both"/>
        <w:rPr>
          <w:sz w:val="28"/>
          <w:szCs w:val="28"/>
        </w:rPr>
      </w:pPr>
      <w:r>
        <w:rPr>
          <w:sz w:val="28"/>
          <w:szCs w:val="28"/>
        </w:rPr>
        <w:t>Pending the outcome of the re-hearing, Applicant is deemed to be on suspension without pay and benefits.</w:t>
      </w:r>
    </w:p>
    <w:p w:rsidR="00CF0021" w:rsidRDefault="00CF0021" w:rsidP="00CF0021">
      <w:pPr>
        <w:pStyle w:val="ListParagraph"/>
        <w:spacing w:line="360" w:lineRule="auto"/>
        <w:jc w:val="both"/>
        <w:rPr>
          <w:sz w:val="28"/>
          <w:szCs w:val="28"/>
        </w:rPr>
      </w:pPr>
    </w:p>
    <w:p w:rsidR="00CF0021" w:rsidRDefault="00CF0021" w:rsidP="00CF0021">
      <w:pPr>
        <w:pStyle w:val="ListParagraph"/>
        <w:spacing w:line="360" w:lineRule="auto"/>
        <w:jc w:val="both"/>
        <w:rPr>
          <w:sz w:val="28"/>
          <w:szCs w:val="28"/>
        </w:rPr>
      </w:pPr>
    </w:p>
    <w:p w:rsidR="00CF0021" w:rsidRPr="00CF0021" w:rsidRDefault="00CF0021" w:rsidP="00CF0021">
      <w:pPr>
        <w:pStyle w:val="ListParagraph"/>
        <w:spacing w:line="360" w:lineRule="auto"/>
        <w:jc w:val="both"/>
        <w:rPr>
          <w:sz w:val="28"/>
          <w:szCs w:val="28"/>
        </w:rPr>
      </w:pPr>
    </w:p>
    <w:p w:rsidR="00AC0BD0" w:rsidRDefault="00AC0BD0" w:rsidP="00CF0021">
      <w:pPr>
        <w:spacing w:line="360" w:lineRule="auto"/>
        <w:ind w:left="2160"/>
        <w:jc w:val="both"/>
        <w:rPr>
          <w:b/>
          <w:sz w:val="28"/>
          <w:szCs w:val="28"/>
        </w:rPr>
      </w:pPr>
    </w:p>
    <w:p w:rsidR="00CF0021" w:rsidRDefault="00CF0021" w:rsidP="00CF0021">
      <w:pPr>
        <w:spacing w:line="360" w:lineRule="auto"/>
        <w:ind w:left="4320"/>
        <w:jc w:val="both"/>
        <w:rPr>
          <w:b/>
          <w:sz w:val="28"/>
          <w:szCs w:val="28"/>
        </w:rPr>
      </w:pPr>
      <w:r>
        <w:rPr>
          <w:b/>
          <w:sz w:val="28"/>
          <w:szCs w:val="28"/>
        </w:rPr>
        <w:t>G. MUSARIRI</w:t>
      </w:r>
    </w:p>
    <w:p w:rsidR="00CF0021" w:rsidRPr="00CF0021" w:rsidRDefault="00CF0021" w:rsidP="00CF0021">
      <w:pPr>
        <w:spacing w:line="360" w:lineRule="auto"/>
        <w:ind w:left="4320"/>
        <w:jc w:val="both"/>
        <w:rPr>
          <w:b/>
          <w:sz w:val="28"/>
          <w:szCs w:val="28"/>
          <w:u w:val="single"/>
        </w:rPr>
      </w:pPr>
      <w:r>
        <w:rPr>
          <w:b/>
          <w:sz w:val="28"/>
          <w:szCs w:val="28"/>
          <w:u w:val="single"/>
        </w:rPr>
        <w:t>J U D G E</w:t>
      </w:r>
    </w:p>
    <w:sectPr w:rsidR="00CF0021" w:rsidRPr="00CF0021" w:rsidSect="004B32D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8B" w:rsidRDefault="00CE788B" w:rsidP="004B32D4">
      <w:pPr>
        <w:spacing w:after="0" w:line="240" w:lineRule="auto"/>
      </w:pPr>
      <w:r>
        <w:separator/>
      </w:r>
    </w:p>
  </w:endnote>
  <w:endnote w:type="continuationSeparator" w:id="0">
    <w:p w:rsidR="00CE788B" w:rsidRDefault="00CE788B" w:rsidP="004B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120761"/>
      <w:docPartObj>
        <w:docPartGallery w:val="Page Numbers (Bottom of Page)"/>
        <w:docPartUnique/>
      </w:docPartObj>
    </w:sdtPr>
    <w:sdtEndPr>
      <w:rPr>
        <w:noProof/>
      </w:rPr>
    </w:sdtEndPr>
    <w:sdtContent>
      <w:p w:rsidR="00CF0021" w:rsidRDefault="00CF0021">
        <w:pPr>
          <w:pStyle w:val="Footer"/>
          <w:jc w:val="right"/>
        </w:pPr>
        <w:r>
          <w:fldChar w:fldCharType="begin"/>
        </w:r>
        <w:r>
          <w:instrText xml:space="preserve"> PAGE   \* MERGEFORMAT </w:instrText>
        </w:r>
        <w:r>
          <w:fldChar w:fldCharType="separate"/>
        </w:r>
        <w:r w:rsidR="00A30AE6">
          <w:rPr>
            <w:noProof/>
          </w:rPr>
          <w:t>3</w:t>
        </w:r>
        <w:r>
          <w:rPr>
            <w:noProof/>
          </w:rPr>
          <w:fldChar w:fldCharType="end"/>
        </w:r>
      </w:p>
    </w:sdtContent>
  </w:sdt>
  <w:p w:rsidR="00CF0021" w:rsidRDefault="00CF0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8B" w:rsidRDefault="00CE788B" w:rsidP="004B32D4">
      <w:pPr>
        <w:spacing w:after="0" w:line="240" w:lineRule="auto"/>
      </w:pPr>
      <w:r>
        <w:separator/>
      </w:r>
    </w:p>
  </w:footnote>
  <w:footnote w:type="continuationSeparator" w:id="0">
    <w:p w:rsidR="00CE788B" w:rsidRDefault="00CE788B" w:rsidP="004B3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21" w:rsidRDefault="00CF0021">
    <w:pPr>
      <w:pStyle w:val="Header"/>
    </w:pPr>
    <w:r>
      <w:rPr>
        <w:b/>
        <w:sz w:val="28"/>
        <w:szCs w:val="28"/>
      </w:rPr>
      <w:t xml:space="preserve">  </w:t>
    </w:r>
    <w:r>
      <w:rPr>
        <w:b/>
        <w:sz w:val="28"/>
        <w:szCs w:val="28"/>
      </w:rPr>
      <w:tab/>
    </w:r>
    <w:r>
      <w:rPr>
        <w:b/>
        <w:sz w:val="28"/>
        <w:szCs w:val="28"/>
      </w:rPr>
      <w:tab/>
      <w:t xml:space="preserve">    JUDGMENT NO LC/H/732/13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A6A"/>
    <w:multiLevelType w:val="hybridMultilevel"/>
    <w:tmpl w:val="E13C40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AB1C30"/>
    <w:multiLevelType w:val="hybridMultilevel"/>
    <w:tmpl w:val="49DCF9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D0"/>
    <w:rsid w:val="00104156"/>
    <w:rsid w:val="00112600"/>
    <w:rsid w:val="00267BBD"/>
    <w:rsid w:val="002A3F3D"/>
    <w:rsid w:val="004B32D4"/>
    <w:rsid w:val="00A30AE6"/>
    <w:rsid w:val="00AC0BD0"/>
    <w:rsid w:val="00B1639F"/>
    <w:rsid w:val="00CE788B"/>
    <w:rsid w:val="00CF0021"/>
    <w:rsid w:val="00D02D4A"/>
    <w:rsid w:val="00DF1578"/>
    <w:rsid w:val="00E72D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2D4"/>
  </w:style>
  <w:style w:type="paragraph" w:styleId="Footer">
    <w:name w:val="footer"/>
    <w:basedOn w:val="Normal"/>
    <w:link w:val="FooterChar"/>
    <w:uiPriority w:val="99"/>
    <w:unhideWhenUsed/>
    <w:rsid w:val="004B3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2D4"/>
  </w:style>
  <w:style w:type="paragraph" w:styleId="ListParagraph">
    <w:name w:val="List Paragraph"/>
    <w:basedOn w:val="Normal"/>
    <w:uiPriority w:val="34"/>
    <w:qFormat/>
    <w:rsid w:val="00CF00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2D4"/>
  </w:style>
  <w:style w:type="paragraph" w:styleId="Footer">
    <w:name w:val="footer"/>
    <w:basedOn w:val="Normal"/>
    <w:link w:val="FooterChar"/>
    <w:uiPriority w:val="99"/>
    <w:unhideWhenUsed/>
    <w:rsid w:val="004B3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2D4"/>
  </w:style>
  <w:style w:type="paragraph" w:styleId="ListParagraph">
    <w:name w:val="List Paragraph"/>
    <w:basedOn w:val="Normal"/>
    <w:uiPriority w:val="34"/>
    <w:qFormat/>
    <w:rsid w:val="00CF0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2013-12-30T06:47:00Z</dcterms:created>
  <dcterms:modified xsi:type="dcterms:W3CDTF">2014-01-14T14:15:00Z</dcterms:modified>
</cp:coreProperties>
</file>