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5141" w:val="left" w:leader="none"/>
        </w:tabs>
        <w:spacing w:before="117"/>
      </w:pPr>
      <w:r>
        <w:rPr/>
        <w:t>IN THE LABOUR COURT</w:t>
      </w:r>
      <w:r>
        <w:rPr>
          <w:spacing w:val="-3"/>
        </w:rPr>
        <w:t> </w:t>
      </w:r>
      <w:r>
        <w:rPr/>
        <w:t>OF</w:t>
      </w:r>
      <w:r>
        <w:rPr>
          <w:spacing w:val="-1"/>
        </w:rPr>
        <w:t> </w:t>
      </w:r>
      <w:r>
        <w:rPr/>
        <w:t>ZIMBABWE</w:t>
        <w:tab/>
        <w:t>JUDGMENT NO LC/H/</w:t>
      </w:r>
      <w:r>
        <w:rPr>
          <w:spacing w:val="-1"/>
        </w:rPr>
        <w:t> </w:t>
      </w:r>
      <w:r>
        <w:rPr/>
        <w:t>67/2023</w:t>
      </w:r>
    </w:p>
    <w:p>
      <w:pPr>
        <w:pStyle w:val="BodyText"/>
        <w:rPr>
          <w:b/>
        </w:rPr>
      </w:pPr>
    </w:p>
    <w:p>
      <w:pPr>
        <w:tabs>
          <w:tab w:pos="5141" w:val="left" w:leader="none"/>
          <w:tab w:pos="5861" w:val="left" w:leader="none"/>
        </w:tabs>
        <w:spacing w:before="0"/>
        <w:ind w:left="100" w:right="743" w:firstLine="0"/>
        <w:jc w:val="left"/>
        <w:rPr>
          <w:b/>
          <w:sz w:val="24"/>
        </w:rPr>
      </w:pPr>
      <w:r>
        <w:rPr>
          <w:b/>
          <w:sz w:val="24"/>
        </w:rPr>
        <w:t>HARARE, 8 FEBRUARY</w:t>
      </w:r>
      <w:r>
        <w:rPr>
          <w:b/>
          <w:spacing w:val="-1"/>
          <w:sz w:val="24"/>
        </w:rPr>
        <w:t> </w:t>
      </w:r>
      <w:r>
        <w:rPr>
          <w:b/>
          <w:sz w:val="24"/>
        </w:rPr>
        <w:t>2023 &amp;</w:t>
        <w:tab/>
        <w:t>CASE NO LC/H/1075/22 3MARCH2023</w:t>
        <w:tab/>
        <w:tab/>
        <w:t>REF CASE:</w:t>
      </w:r>
      <w:r>
        <w:rPr>
          <w:b/>
          <w:spacing w:val="15"/>
          <w:sz w:val="24"/>
        </w:rPr>
        <w:t> </w:t>
      </w:r>
      <w:r>
        <w:rPr>
          <w:b/>
          <w:spacing w:val="-3"/>
          <w:sz w:val="24"/>
        </w:rPr>
        <w:t>LC/H/590/22</w:t>
      </w:r>
    </w:p>
    <w:p>
      <w:pPr>
        <w:spacing w:before="0"/>
        <w:ind w:left="5141" w:right="0" w:firstLine="0"/>
        <w:jc w:val="left"/>
        <w:rPr>
          <w:b/>
          <w:sz w:val="24"/>
        </w:rPr>
      </w:pPr>
      <w:r>
        <w:rPr>
          <w:b/>
          <w:sz w:val="24"/>
        </w:rPr>
        <w:t>REF CASE: LC/H/522/21</w:t>
      </w:r>
    </w:p>
    <w:p>
      <w:pPr>
        <w:pStyle w:val="BodyText"/>
        <w:rPr>
          <w:b/>
        </w:rPr>
      </w:pPr>
    </w:p>
    <w:p>
      <w:pPr>
        <w:pStyle w:val="BodyText"/>
        <w:ind w:left="100"/>
      </w:pPr>
      <w:r>
        <w:rPr/>
        <w:t>In the matter between: -</w:t>
      </w:r>
    </w:p>
    <w:p>
      <w:pPr>
        <w:pStyle w:val="BodyText"/>
        <w:rPr>
          <w:sz w:val="26"/>
        </w:rPr>
      </w:pPr>
    </w:p>
    <w:p>
      <w:pPr>
        <w:pStyle w:val="BodyText"/>
        <w:rPr>
          <w:sz w:val="26"/>
        </w:rPr>
      </w:pPr>
    </w:p>
    <w:p>
      <w:pPr>
        <w:pStyle w:val="Heading1"/>
        <w:tabs>
          <w:tab w:pos="5141" w:val="left" w:leader="none"/>
        </w:tabs>
        <w:spacing w:before="230"/>
      </w:pPr>
      <w:r>
        <w:rPr/>
        <w:t>EMPOWERMENT</w:t>
      </w:r>
      <w:r>
        <w:rPr>
          <w:spacing w:val="-2"/>
        </w:rPr>
        <w:t> </w:t>
      </w:r>
      <w:r>
        <w:rPr/>
        <w:t>BANK</w:t>
      </w:r>
      <w:r>
        <w:rPr>
          <w:spacing w:val="-1"/>
        </w:rPr>
        <w:t> </w:t>
      </w:r>
      <w:r>
        <w:rPr/>
        <w:t>LIMITED</w:t>
        <w:tab/>
        <w:t>APPLICANT</w:t>
      </w:r>
    </w:p>
    <w:p>
      <w:pPr>
        <w:pStyle w:val="BodyText"/>
        <w:rPr>
          <w:b/>
          <w:sz w:val="26"/>
        </w:rPr>
      </w:pPr>
    </w:p>
    <w:p>
      <w:pPr>
        <w:pStyle w:val="BodyText"/>
        <w:rPr>
          <w:b/>
          <w:sz w:val="26"/>
        </w:rPr>
      </w:pPr>
    </w:p>
    <w:p>
      <w:pPr>
        <w:tabs>
          <w:tab w:pos="5141" w:val="left" w:leader="none"/>
        </w:tabs>
        <w:spacing w:before="231"/>
        <w:ind w:left="100" w:right="0" w:firstLine="0"/>
        <w:jc w:val="left"/>
        <w:rPr>
          <w:b/>
          <w:sz w:val="24"/>
        </w:rPr>
      </w:pPr>
      <w:r>
        <w:rPr>
          <w:b/>
          <w:sz w:val="24"/>
        </w:rPr>
        <w:t>WELLINGTON</w:t>
      </w:r>
      <w:r>
        <w:rPr>
          <w:b/>
          <w:spacing w:val="-4"/>
          <w:sz w:val="24"/>
        </w:rPr>
        <w:t> </w:t>
      </w:r>
      <w:r>
        <w:rPr>
          <w:b/>
          <w:sz w:val="24"/>
        </w:rPr>
        <w:t>ZENGEZA</w:t>
        <w:tab/>
        <w:t>RESPONDENT</w:t>
      </w:r>
    </w:p>
    <w:p>
      <w:pPr>
        <w:pStyle w:val="BodyText"/>
        <w:rPr>
          <w:b/>
          <w:sz w:val="26"/>
        </w:rPr>
      </w:pPr>
    </w:p>
    <w:p>
      <w:pPr>
        <w:pStyle w:val="BodyText"/>
        <w:rPr>
          <w:b/>
          <w:sz w:val="22"/>
        </w:rPr>
      </w:pPr>
    </w:p>
    <w:p>
      <w:pPr>
        <w:pStyle w:val="BodyText"/>
        <w:ind w:left="100"/>
      </w:pPr>
      <w:r>
        <w:rPr/>
        <w:t>Before the Honourable Kudya J</w:t>
      </w:r>
    </w:p>
    <w:p>
      <w:pPr>
        <w:pStyle w:val="BodyText"/>
      </w:pPr>
    </w:p>
    <w:p>
      <w:pPr>
        <w:pStyle w:val="Heading1"/>
        <w:tabs>
          <w:tab w:pos="2980" w:val="left" w:leader="none"/>
        </w:tabs>
        <w:spacing w:line="480" w:lineRule="auto"/>
        <w:ind w:right="2520"/>
      </w:pPr>
      <w:r>
        <w:rPr/>
        <w:t>For</w:t>
      </w:r>
      <w:r>
        <w:rPr>
          <w:spacing w:val="-3"/>
        </w:rPr>
        <w:t> </w:t>
      </w:r>
      <w:r>
        <w:rPr/>
        <w:t>the</w:t>
      </w:r>
      <w:r>
        <w:rPr>
          <w:spacing w:val="-1"/>
        </w:rPr>
        <w:t> </w:t>
      </w:r>
      <w:r>
        <w:rPr/>
        <w:t>Applicant</w:t>
        <w:tab/>
        <w:t>O. Kondongwe (Legal Practitioner) For</w:t>
      </w:r>
      <w:r>
        <w:rPr>
          <w:spacing w:val="-3"/>
        </w:rPr>
        <w:t> </w:t>
      </w:r>
      <w:r>
        <w:rPr/>
        <w:t>the</w:t>
      </w:r>
      <w:r>
        <w:rPr>
          <w:spacing w:val="-1"/>
        </w:rPr>
        <w:t> </w:t>
      </w:r>
      <w:r>
        <w:rPr/>
        <w:t>Respondent</w:t>
        <w:tab/>
        <w:t>T. Mupambadzi (Legal Practitioner) KUDYA,</w:t>
      </w:r>
      <w:r>
        <w:rPr>
          <w:spacing w:val="-1"/>
        </w:rPr>
        <w:t> </w:t>
      </w:r>
      <w:r>
        <w:rPr/>
        <w:t>J:</w:t>
      </w:r>
    </w:p>
    <w:p>
      <w:pPr>
        <w:pStyle w:val="BodyText"/>
        <w:spacing w:line="360" w:lineRule="auto"/>
        <w:ind w:left="100" w:right="115" w:firstLine="719"/>
        <w:jc w:val="both"/>
      </w:pPr>
      <w:r>
        <w:rPr/>
        <w:t>This</w:t>
      </w:r>
      <w:r>
        <w:rPr>
          <w:spacing w:val="-11"/>
        </w:rPr>
        <w:t> </w:t>
      </w:r>
      <w:r>
        <w:rPr/>
        <w:t>is</w:t>
      </w:r>
      <w:r>
        <w:rPr>
          <w:spacing w:val="-9"/>
        </w:rPr>
        <w:t> </w:t>
      </w:r>
      <w:r>
        <w:rPr/>
        <w:t>an</w:t>
      </w:r>
      <w:r>
        <w:rPr>
          <w:spacing w:val="-8"/>
        </w:rPr>
        <w:t> </w:t>
      </w:r>
      <w:r>
        <w:rPr/>
        <w:t>application</w:t>
      </w:r>
      <w:r>
        <w:rPr>
          <w:spacing w:val="-10"/>
        </w:rPr>
        <w:t> </w:t>
      </w:r>
      <w:r>
        <w:rPr/>
        <w:t>for</w:t>
      </w:r>
      <w:r>
        <w:rPr>
          <w:spacing w:val="-9"/>
        </w:rPr>
        <w:t> </w:t>
      </w:r>
      <w:r>
        <w:rPr/>
        <w:t>late</w:t>
      </w:r>
      <w:r>
        <w:rPr>
          <w:spacing w:val="-11"/>
        </w:rPr>
        <w:t> </w:t>
      </w:r>
      <w:r>
        <w:rPr/>
        <w:t>filing</w:t>
      </w:r>
      <w:r>
        <w:rPr>
          <w:spacing w:val="-8"/>
        </w:rPr>
        <w:t> </w:t>
      </w:r>
      <w:r>
        <w:rPr/>
        <w:t>of</w:t>
      </w:r>
      <w:r>
        <w:rPr>
          <w:spacing w:val="-9"/>
        </w:rPr>
        <w:t> </w:t>
      </w:r>
      <w:r>
        <w:rPr/>
        <w:t>an</w:t>
      </w:r>
      <w:r>
        <w:rPr>
          <w:spacing w:val="-9"/>
        </w:rPr>
        <w:t> </w:t>
      </w:r>
      <w:r>
        <w:rPr/>
        <w:t>application</w:t>
      </w:r>
      <w:r>
        <w:rPr>
          <w:spacing w:val="-10"/>
        </w:rPr>
        <w:t> </w:t>
      </w:r>
      <w:r>
        <w:rPr/>
        <w:t>for</w:t>
      </w:r>
      <w:r>
        <w:rPr>
          <w:spacing w:val="-12"/>
        </w:rPr>
        <w:t> </w:t>
      </w:r>
      <w:r>
        <w:rPr/>
        <w:t>leave</w:t>
      </w:r>
      <w:r>
        <w:rPr>
          <w:spacing w:val="-9"/>
        </w:rPr>
        <w:t> </w:t>
      </w:r>
      <w:r>
        <w:rPr/>
        <w:t>to</w:t>
      </w:r>
      <w:r>
        <w:rPr>
          <w:spacing w:val="-8"/>
        </w:rPr>
        <w:t> </w:t>
      </w:r>
      <w:r>
        <w:rPr/>
        <w:t>appeal.</w:t>
      </w:r>
      <w:r>
        <w:rPr>
          <w:spacing w:val="43"/>
        </w:rPr>
        <w:t> </w:t>
      </w:r>
      <w:r>
        <w:rPr/>
        <w:t>The</w:t>
      </w:r>
      <w:r>
        <w:rPr>
          <w:spacing w:val="-11"/>
        </w:rPr>
        <w:t> </w:t>
      </w:r>
      <w:r>
        <w:rPr/>
        <w:t>employee is opposed to the grant of such condonation relief.</w:t>
      </w:r>
    </w:p>
    <w:p>
      <w:pPr>
        <w:pStyle w:val="BodyText"/>
        <w:spacing w:line="360" w:lineRule="auto"/>
        <w:ind w:left="100" w:right="118" w:firstLine="719"/>
        <w:jc w:val="both"/>
      </w:pPr>
      <w:r>
        <w:rPr/>
        <w:t>The test for condonation is settled See Jansen v Acavalos 1993(1) ZLR 216(5). Each of the tenets is discussed below;</w:t>
      </w:r>
    </w:p>
    <w:p>
      <w:pPr>
        <w:pStyle w:val="Heading1"/>
        <w:spacing w:before="1"/>
        <w:jc w:val="both"/>
      </w:pPr>
      <w:r>
        <w:rPr>
          <w:u w:val="thick"/>
        </w:rPr>
        <w:t>Degree of non compliance and the explanation for the default</w:t>
      </w:r>
    </w:p>
    <w:p>
      <w:pPr>
        <w:pStyle w:val="BodyText"/>
        <w:spacing w:line="360" w:lineRule="auto" w:before="136"/>
        <w:ind w:left="100" w:right="117"/>
        <w:jc w:val="both"/>
      </w:pPr>
      <w:r>
        <w:rPr/>
        <w:t>The employer was out of time by in excess of 4 months. It argues that such a delay was occasioned</w:t>
      </w:r>
      <w:r>
        <w:rPr>
          <w:spacing w:val="-12"/>
        </w:rPr>
        <w:t> </w:t>
      </w:r>
      <w:r>
        <w:rPr/>
        <w:t>by</w:t>
      </w:r>
      <w:r>
        <w:rPr>
          <w:spacing w:val="-11"/>
        </w:rPr>
        <w:t> </w:t>
      </w:r>
      <w:r>
        <w:rPr/>
        <w:t>the</w:t>
      </w:r>
      <w:r>
        <w:rPr>
          <w:spacing w:val="-12"/>
        </w:rPr>
        <w:t> </w:t>
      </w:r>
      <w:r>
        <w:rPr/>
        <w:t>fact</w:t>
      </w:r>
      <w:r>
        <w:rPr>
          <w:spacing w:val="-11"/>
        </w:rPr>
        <w:t> </w:t>
      </w:r>
      <w:r>
        <w:rPr/>
        <w:t>that</w:t>
      </w:r>
      <w:r>
        <w:rPr>
          <w:spacing w:val="-11"/>
        </w:rPr>
        <w:t> </w:t>
      </w:r>
      <w:r>
        <w:rPr/>
        <w:t>its</w:t>
      </w:r>
      <w:r>
        <w:rPr>
          <w:spacing w:val="-11"/>
        </w:rPr>
        <w:t> </w:t>
      </w:r>
      <w:r>
        <w:rPr/>
        <w:t>lawyers</w:t>
      </w:r>
      <w:r>
        <w:rPr>
          <w:spacing w:val="-12"/>
        </w:rPr>
        <w:t> </w:t>
      </w:r>
      <w:r>
        <w:rPr/>
        <w:t>miscalculated</w:t>
      </w:r>
      <w:r>
        <w:rPr>
          <w:spacing w:val="-12"/>
        </w:rPr>
        <w:t> </w:t>
      </w:r>
      <w:r>
        <w:rPr/>
        <w:t>the</w:t>
      </w:r>
      <w:r>
        <w:rPr>
          <w:spacing w:val="-12"/>
        </w:rPr>
        <w:t> </w:t>
      </w:r>
      <w:r>
        <w:rPr/>
        <w:t>dies</w:t>
      </w:r>
      <w:r>
        <w:rPr>
          <w:spacing w:val="-10"/>
        </w:rPr>
        <w:t> </w:t>
      </w:r>
      <w:r>
        <w:rPr/>
        <w:t>induciae.</w:t>
      </w:r>
      <w:r>
        <w:rPr>
          <w:spacing w:val="38"/>
        </w:rPr>
        <w:t> </w:t>
      </w:r>
      <w:r>
        <w:rPr/>
        <w:t>In</w:t>
      </w:r>
      <w:r>
        <w:rPr>
          <w:spacing w:val="-12"/>
        </w:rPr>
        <w:t> </w:t>
      </w:r>
      <w:r>
        <w:rPr/>
        <w:t>another</w:t>
      </w:r>
      <w:r>
        <w:rPr>
          <w:spacing w:val="-12"/>
        </w:rPr>
        <w:t> </w:t>
      </w:r>
      <w:r>
        <w:rPr/>
        <w:t>breath</w:t>
      </w:r>
      <w:r>
        <w:rPr>
          <w:spacing w:val="-11"/>
        </w:rPr>
        <w:t> </w:t>
      </w:r>
      <w:r>
        <w:rPr/>
        <w:t>it</w:t>
      </w:r>
      <w:r>
        <w:rPr>
          <w:spacing w:val="-10"/>
        </w:rPr>
        <w:t> </w:t>
      </w:r>
      <w:r>
        <w:rPr/>
        <w:t>says it became aware of the judgment only when the employee sought execution of the same. This 2</w:t>
      </w:r>
      <w:r>
        <w:rPr>
          <w:vertAlign w:val="superscript"/>
        </w:rPr>
        <w:t>nd</w:t>
      </w:r>
      <w:r>
        <w:rPr>
          <w:vertAlign w:val="baseline"/>
        </w:rPr>
        <w:t> argument however seems to fly in the face of a resolution of 4 June instructing its lawyers to appeal the decision on the confirmation of the ruling. It however argued in the oral submissions</w:t>
      </w:r>
      <w:r>
        <w:rPr>
          <w:spacing w:val="-8"/>
          <w:vertAlign w:val="baseline"/>
        </w:rPr>
        <w:t> </w:t>
      </w:r>
      <w:r>
        <w:rPr>
          <w:vertAlign w:val="baseline"/>
        </w:rPr>
        <w:t>that</w:t>
      </w:r>
      <w:r>
        <w:rPr>
          <w:spacing w:val="-9"/>
          <w:vertAlign w:val="baseline"/>
        </w:rPr>
        <w:t> </w:t>
      </w:r>
      <w:r>
        <w:rPr>
          <w:vertAlign w:val="baseline"/>
        </w:rPr>
        <w:t>the</w:t>
      </w:r>
      <w:r>
        <w:rPr>
          <w:spacing w:val="-9"/>
          <w:vertAlign w:val="baseline"/>
        </w:rPr>
        <w:t> </w:t>
      </w:r>
      <w:r>
        <w:rPr>
          <w:vertAlign w:val="baseline"/>
        </w:rPr>
        <w:t>authority</w:t>
      </w:r>
      <w:r>
        <w:rPr>
          <w:spacing w:val="-8"/>
          <w:vertAlign w:val="baseline"/>
        </w:rPr>
        <w:t> </w:t>
      </w:r>
      <w:r>
        <w:rPr>
          <w:vertAlign w:val="baseline"/>
        </w:rPr>
        <w:t>was</w:t>
      </w:r>
      <w:r>
        <w:rPr>
          <w:spacing w:val="-8"/>
          <w:vertAlign w:val="baseline"/>
        </w:rPr>
        <w:t> </w:t>
      </w:r>
      <w:r>
        <w:rPr>
          <w:vertAlign w:val="baseline"/>
        </w:rPr>
        <w:t>only</w:t>
      </w:r>
      <w:r>
        <w:rPr>
          <w:spacing w:val="-8"/>
          <w:vertAlign w:val="baseline"/>
        </w:rPr>
        <w:t> </w:t>
      </w:r>
      <w:r>
        <w:rPr>
          <w:vertAlign w:val="baseline"/>
        </w:rPr>
        <w:t>to</w:t>
      </w:r>
      <w:r>
        <w:rPr>
          <w:spacing w:val="-8"/>
          <w:vertAlign w:val="baseline"/>
        </w:rPr>
        <w:t> </w:t>
      </w:r>
      <w:r>
        <w:rPr>
          <w:vertAlign w:val="baseline"/>
        </w:rPr>
        <w:t>the</w:t>
      </w:r>
      <w:r>
        <w:rPr>
          <w:spacing w:val="-9"/>
          <w:vertAlign w:val="baseline"/>
        </w:rPr>
        <w:t> </w:t>
      </w:r>
      <w:r>
        <w:rPr>
          <w:vertAlign w:val="baseline"/>
        </w:rPr>
        <w:t>effect</w:t>
      </w:r>
      <w:r>
        <w:rPr>
          <w:spacing w:val="-8"/>
          <w:vertAlign w:val="baseline"/>
        </w:rPr>
        <w:t> </w:t>
      </w:r>
      <w:r>
        <w:rPr>
          <w:vertAlign w:val="baseline"/>
        </w:rPr>
        <w:t>of</w:t>
      </w:r>
      <w:r>
        <w:rPr>
          <w:spacing w:val="-9"/>
          <w:vertAlign w:val="baseline"/>
        </w:rPr>
        <w:t> </w:t>
      </w:r>
      <w:r>
        <w:rPr>
          <w:vertAlign w:val="baseline"/>
        </w:rPr>
        <w:t>appointing</w:t>
      </w:r>
      <w:r>
        <w:rPr>
          <w:spacing w:val="-8"/>
          <w:vertAlign w:val="baseline"/>
        </w:rPr>
        <w:t> </w:t>
      </w:r>
      <w:r>
        <w:rPr>
          <w:vertAlign w:val="baseline"/>
        </w:rPr>
        <w:t>one</w:t>
      </w:r>
      <w:r>
        <w:rPr>
          <w:spacing w:val="-10"/>
          <w:vertAlign w:val="baseline"/>
        </w:rPr>
        <w:t> </w:t>
      </w:r>
      <w:r>
        <w:rPr>
          <w:vertAlign w:val="baseline"/>
        </w:rPr>
        <w:t>Kondongwe</w:t>
      </w:r>
      <w:r>
        <w:rPr>
          <w:spacing w:val="-10"/>
          <w:vertAlign w:val="baseline"/>
        </w:rPr>
        <w:t> </w:t>
      </w:r>
      <w:r>
        <w:rPr>
          <w:vertAlign w:val="baseline"/>
        </w:rPr>
        <w:t>as</w:t>
      </w:r>
      <w:r>
        <w:rPr>
          <w:spacing w:val="-7"/>
          <w:vertAlign w:val="baseline"/>
        </w:rPr>
        <w:t> </w:t>
      </w:r>
      <w:r>
        <w:rPr>
          <w:vertAlign w:val="baseline"/>
        </w:rPr>
        <w:t>its</w:t>
      </w:r>
      <w:r>
        <w:rPr>
          <w:spacing w:val="-8"/>
          <w:vertAlign w:val="baseline"/>
        </w:rPr>
        <w:t> </w:t>
      </w:r>
      <w:r>
        <w:rPr>
          <w:vertAlign w:val="baseline"/>
        </w:rPr>
        <w:t>Legal representative. Sadly, the resolution does not support that assertion. It states clearly that the resolution was for Kondongwe to lodge an appeal against the ruling. This therefore suggests that by 4 June the employer already knew of the judgment but was only rocked into further action by the employee’s seeking enforcement of the Labour Court decision. The sum total of the</w:t>
      </w:r>
      <w:r>
        <w:rPr>
          <w:spacing w:val="-7"/>
          <w:vertAlign w:val="baseline"/>
        </w:rPr>
        <w:t> </w:t>
      </w:r>
      <w:r>
        <w:rPr>
          <w:vertAlign w:val="baseline"/>
        </w:rPr>
        <w:t>conflicting</w:t>
      </w:r>
      <w:r>
        <w:rPr>
          <w:spacing w:val="-5"/>
          <w:vertAlign w:val="baseline"/>
        </w:rPr>
        <w:t> </w:t>
      </w:r>
      <w:r>
        <w:rPr>
          <w:vertAlign w:val="baseline"/>
        </w:rPr>
        <w:t>excuses</w:t>
      </w:r>
      <w:r>
        <w:rPr>
          <w:spacing w:val="-5"/>
          <w:vertAlign w:val="baseline"/>
        </w:rPr>
        <w:t> </w:t>
      </w:r>
      <w:r>
        <w:rPr>
          <w:vertAlign w:val="baseline"/>
        </w:rPr>
        <w:t>given</w:t>
      </w:r>
      <w:r>
        <w:rPr>
          <w:spacing w:val="-5"/>
          <w:vertAlign w:val="baseline"/>
        </w:rPr>
        <w:t> </w:t>
      </w:r>
      <w:r>
        <w:rPr>
          <w:vertAlign w:val="baseline"/>
        </w:rPr>
        <w:t>by</w:t>
      </w:r>
      <w:r>
        <w:rPr>
          <w:spacing w:val="-5"/>
          <w:vertAlign w:val="baseline"/>
        </w:rPr>
        <w:t> </w:t>
      </w:r>
      <w:r>
        <w:rPr>
          <w:vertAlign w:val="baseline"/>
        </w:rPr>
        <w:t>the</w:t>
      </w:r>
      <w:r>
        <w:rPr>
          <w:spacing w:val="-4"/>
          <w:vertAlign w:val="baseline"/>
        </w:rPr>
        <w:t> </w:t>
      </w:r>
      <w:r>
        <w:rPr>
          <w:vertAlign w:val="baseline"/>
        </w:rPr>
        <w:t>employer</w:t>
      </w:r>
      <w:r>
        <w:rPr>
          <w:spacing w:val="-6"/>
          <w:vertAlign w:val="baseline"/>
        </w:rPr>
        <w:t> </w:t>
      </w:r>
      <w:r>
        <w:rPr>
          <w:vertAlign w:val="baseline"/>
        </w:rPr>
        <w:t>is</w:t>
      </w:r>
      <w:r>
        <w:rPr>
          <w:spacing w:val="-6"/>
          <w:vertAlign w:val="baseline"/>
        </w:rPr>
        <w:t> </w:t>
      </w:r>
      <w:r>
        <w:rPr>
          <w:vertAlign w:val="baseline"/>
        </w:rPr>
        <w:t>that</w:t>
      </w:r>
      <w:r>
        <w:rPr>
          <w:spacing w:val="-5"/>
          <w:vertAlign w:val="baseline"/>
        </w:rPr>
        <w:t> </w:t>
      </w:r>
      <w:r>
        <w:rPr>
          <w:vertAlign w:val="baseline"/>
        </w:rPr>
        <w:t>the</w:t>
      </w:r>
      <w:r>
        <w:rPr>
          <w:spacing w:val="-6"/>
          <w:vertAlign w:val="baseline"/>
        </w:rPr>
        <w:t> </w:t>
      </w:r>
      <w:r>
        <w:rPr>
          <w:vertAlign w:val="baseline"/>
        </w:rPr>
        <w:t>employer</w:t>
      </w:r>
      <w:r>
        <w:rPr>
          <w:spacing w:val="-6"/>
          <w:vertAlign w:val="baseline"/>
        </w:rPr>
        <w:t> </w:t>
      </w:r>
      <w:r>
        <w:rPr>
          <w:vertAlign w:val="baseline"/>
        </w:rPr>
        <w:t>is</w:t>
      </w:r>
      <w:r>
        <w:rPr>
          <w:spacing w:val="-5"/>
          <w:vertAlign w:val="baseline"/>
        </w:rPr>
        <w:t> </w:t>
      </w:r>
      <w:r>
        <w:rPr>
          <w:vertAlign w:val="baseline"/>
        </w:rPr>
        <w:t>not</w:t>
      </w:r>
      <w:r>
        <w:rPr>
          <w:spacing w:val="-5"/>
          <w:vertAlign w:val="baseline"/>
        </w:rPr>
        <w:t> </w:t>
      </w:r>
      <w:r>
        <w:rPr>
          <w:vertAlign w:val="baseline"/>
        </w:rPr>
        <w:t>being</w:t>
      </w:r>
      <w:r>
        <w:rPr>
          <w:spacing w:val="-5"/>
          <w:vertAlign w:val="baseline"/>
        </w:rPr>
        <w:t> </w:t>
      </w:r>
      <w:r>
        <w:rPr>
          <w:vertAlign w:val="baseline"/>
        </w:rPr>
        <w:t>candid</w:t>
      </w:r>
      <w:r>
        <w:rPr>
          <w:spacing w:val="-5"/>
          <w:vertAlign w:val="baseline"/>
        </w:rPr>
        <w:t> </w:t>
      </w:r>
      <w:r>
        <w:rPr>
          <w:vertAlign w:val="baseline"/>
        </w:rPr>
        <w:t>with</w:t>
      </w:r>
      <w:r>
        <w:rPr>
          <w:spacing w:val="-6"/>
          <w:vertAlign w:val="baseline"/>
        </w:rPr>
        <w:t> </w:t>
      </w:r>
      <w:r>
        <w:rPr>
          <w:vertAlign w:val="baseline"/>
        </w:rPr>
        <w:t>the</w:t>
      </w:r>
    </w:p>
    <w:p>
      <w:pPr>
        <w:spacing w:after="0" w:line="360" w:lineRule="auto"/>
        <w:jc w:val="both"/>
        <w:sectPr>
          <w:type w:val="continuous"/>
          <w:pgSz w:w="11910" w:h="16840"/>
          <w:pgMar w:top="1580" w:bottom="280" w:left="1340" w:right="1320"/>
        </w:sectPr>
      </w:pPr>
    </w:p>
    <w:p>
      <w:pPr>
        <w:pStyle w:val="BodyText"/>
        <w:spacing w:before="3"/>
        <w:rPr>
          <w:sz w:val="9"/>
        </w:rPr>
      </w:pPr>
    </w:p>
    <w:p>
      <w:pPr>
        <w:pStyle w:val="BodyText"/>
        <w:spacing w:line="360" w:lineRule="auto" w:before="90"/>
        <w:ind w:left="100" w:right="118"/>
        <w:jc w:val="both"/>
      </w:pPr>
      <w:r>
        <w:rPr/>
        <w:t>court.</w:t>
      </w:r>
      <w:r>
        <w:rPr>
          <w:spacing w:val="38"/>
        </w:rPr>
        <w:t> </w:t>
      </w:r>
      <w:r>
        <w:rPr/>
        <w:t>Such</w:t>
      </w:r>
      <w:r>
        <w:rPr>
          <w:spacing w:val="-8"/>
        </w:rPr>
        <w:t> </w:t>
      </w:r>
      <w:r>
        <w:rPr/>
        <w:t>an</w:t>
      </w:r>
      <w:r>
        <w:rPr>
          <w:spacing w:val="-9"/>
        </w:rPr>
        <w:t> </w:t>
      </w:r>
      <w:r>
        <w:rPr/>
        <w:t>attitude</w:t>
      </w:r>
      <w:r>
        <w:rPr>
          <w:spacing w:val="-11"/>
        </w:rPr>
        <w:t> </w:t>
      </w:r>
      <w:r>
        <w:rPr/>
        <w:t>was</w:t>
      </w:r>
      <w:r>
        <w:rPr>
          <w:spacing w:val="-11"/>
        </w:rPr>
        <w:t> </w:t>
      </w:r>
      <w:r>
        <w:rPr/>
        <w:t>frowned</w:t>
      </w:r>
      <w:r>
        <w:rPr>
          <w:spacing w:val="-10"/>
        </w:rPr>
        <w:t> </w:t>
      </w:r>
      <w:r>
        <w:rPr/>
        <w:t>upon</w:t>
      </w:r>
      <w:r>
        <w:rPr>
          <w:spacing w:val="-9"/>
        </w:rPr>
        <w:t> </w:t>
      </w:r>
      <w:r>
        <w:rPr/>
        <w:t>in</w:t>
      </w:r>
      <w:r>
        <w:rPr>
          <w:spacing w:val="-10"/>
        </w:rPr>
        <w:t> </w:t>
      </w:r>
      <w:r>
        <w:rPr/>
        <w:t>Songore</w:t>
      </w:r>
      <w:r>
        <w:rPr>
          <w:spacing w:val="-13"/>
        </w:rPr>
        <w:t> </w:t>
      </w:r>
      <w:r>
        <w:rPr/>
        <w:t>v</w:t>
      </w:r>
      <w:r>
        <w:rPr>
          <w:spacing w:val="-8"/>
        </w:rPr>
        <w:t> </w:t>
      </w:r>
      <w:r>
        <w:rPr/>
        <w:t>Olivine</w:t>
      </w:r>
      <w:r>
        <w:rPr>
          <w:spacing w:val="-9"/>
        </w:rPr>
        <w:t> </w:t>
      </w:r>
      <w:r>
        <w:rPr/>
        <w:t>Industries</w:t>
      </w:r>
      <w:r>
        <w:rPr>
          <w:spacing w:val="-9"/>
        </w:rPr>
        <w:t> </w:t>
      </w:r>
      <w:r>
        <w:rPr/>
        <w:t>1988(2)</w:t>
      </w:r>
      <w:r>
        <w:rPr>
          <w:spacing w:val="-12"/>
        </w:rPr>
        <w:t> </w:t>
      </w:r>
      <w:r>
        <w:rPr/>
        <w:t>ZLR</w:t>
      </w:r>
      <w:r>
        <w:rPr>
          <w:spacing w:val="-10"/>
        </w:rPr>
        <w:t> </w:t>
      </w:r>
      <w:r>
        <w:rPr/>
        <w:t>210(5) and militates against the grant of condonation relief. In conclusion no good excuse has been given for the default so the application cannot succeed on the first</w:t>
      </w:r>
      <w:r>
        <w:rPr>
          <w:spacing w:val="-3"/>
        </w:rPr>
        <w:t> </w:t>
      </w:r>
      <w:r>
        <w:rPr/>
        <w:t>test.</w:t>
      </w:r>
    </w:p>
    <w:p>
      <w:pPr>
        <w:pStyle w:val="BodyText"/>
        <w:spacing w:before="11"/>
        <w:rPr>
          <w:sz w:val="35"/>
        </w:rPr>
      </w:pPr>
    </w:p>
    <w:p>
      <w:pPr>
        <w:pStyle w:val="Heading1"/>
        <w:jc w:val="both"/>
      </w:pPr>
      <w:r>
        <w:rPr>
          <w:u w:val="thick"/>
        </w:rPr>
        <w:t>Prospects of success</w:t>
      </w:r>
    </w:p>
    <w:p>
      <w:pPr>
        <w:pStyle w:val="BodyText"/>
        <w:spacing w:line="360" w:lineRule="auto" w:before="137"/>
        <w:ind w:left="100" w:right="114"/>
        <w:jc w:val="both"/>
      </w:pPr>
      <w:r>
        <w:rPr/>
        <w:t>It is settled that condonation grant or refusal is based on the cumulative effect of the tenets of such. To that extent it is imperative that the court considers the other aspects even though as stated above the excuse proffered for the default is not plausible. As regards the prospects it is the employer’s contention that it intends to approach the Supreme Court to conclusively rule on the extent of the powers of the Labour Court in confirmation proceedings especially where the Labour Court substitutes its decision for that of the labour officer.</w:t>
      </w:r>
    </w:p>
    <w:p>
      <w:pPr>
        <w:pStyle w:val="BodyText"/>
        <w:spacing w:before="11"/>
        <w:rPr>
          <w:sz w:val="35"/>
        </w:rPr>
      </w:pPr>
    </w:p>
    <w:p>
      <w:pPr>
        <w:pStyle w:val="BodyText"/>
        <w:spacing w:line="360" w:lineRule="auto"/>
        <w:ind w:left="100" w:right="114" w:firstLine="719"/>
        <w:jc w:val="both"/>
      </w:pPr>
      <w:r>
        <w:rPr/>
        <w:t>It also says it intends to have the Supreme Court decision on the legal effect of a party/person</w:t>
      </w:r>
      <w:r>
        <w:rPr>
          <w:spacing w:val="-5"/>
        </w:rPr>
        <w:t> </w:t>
      </w:r>
      <w:r>
        <w:rPr/>
        <w:t>being</w:t>
      </w:r>
      <w:r>
        <w:rPr>
          <w:spacing w:val="-3"/>
        </w:rPr>
        <w:t> </w:t>
      </w:r>
      <w:r>
        <w:rPr/>
        <w:t>a</w:t>
      </w:r>
      <w:r>
        <w:rPr>
          <w:spacing w:val="-5"/>
        </w:rPr>
        <w:t> </w:t>
      </w:r>
      <w:r>
        <w:rPr/>
        <w:t>subject</w:t>
      </w:r>
      <w:r>
        <w:rPr>
          <w:spacing w:val="-3"/>
        </w:rPr>
        <w:t> </w:t>
      </w:r>
      <w:r>
        <w:rPr/>
        <w:t>of</w:t>
      </w:r>
      <w:r>
        <w:rPr>
          <w:spacing w:val="-5"/>
        </w:rPr>
        <w:t> </w:t>
      </w:r>
      <w:r>
        <w:rPr/>
        <w:t>2</w:t>
      </w:r>
      <w:r>
        <w:rPr>
          <w:spacing w:val="-4"/>
        </w:rPr>
        <w:t> </w:t>
      </w:r>
      <w:r>
        <w:rPr/>
        <w:t>or</w:t>
      </w:r>
      <w:r>
        <w:rPr>
          <w:spacing w:val="-5"/>
        </w:rPr>
        <w:t> </w:t>
      </w:r>
      <w:r>
        <w:rPr/>
        <w:t>more</w:t>
      </w:r>
      <w:r>
        <w:rPr>
          <w:spacing w:val="-5"/>
        </w:rPr>
        <w:t> </w:t>
      </w:r>
      <w:r>
        <w:rPr/>
        <w:t>contracts</w:t>
      </w:r>
      <w:r>
        <w:rPr>
          <w:spacing w:val="-2"/>
        </w:rPr>
        <w:t> </w:t>
      </w:r>
      <w:r>
        <w:rPr/>
        <w:t>of</w:t>
      </w:r>
      <w:r>
        <w:rPr>
          <w:spacing w:val="-5"/>
        </w:rPr>
        <w:t> </w:t>
      </w:r>
      <w:r>
        <w:rPr/>
        <w:t>employment</w:t>
      </w:r>
      <w:r>
        <w:rPr>
          <w:spacing w:val="-4"/>
        </w:rPr>
        <w:t> </w:t>
      </w:r>
      <w:r>
        <w:rPr/>
        <w:t>with</w:t>
      </w:r>
      <w:r>
        <w:rPr>
          <w:spacing w:val="-6"/>
        </w:rPr>
        <w:t> </w:t>
      </w:r>
      <w:r>
        <w:rPr/>
        <w:t>the</w:t>
      </w:r>
      <w:r>
        <w:rPr>
          <w:spacing w:val="-7"/>
        </w:rPr>
        <w:t> </w:t>
      </w:r>
      <w:r>
        <w:rPr/>
        <w:t>same</w:t>
      </w:r>
      <w:r>
        <w:rPr>
          <w:spacing w:val="-4"/>
        </w:rPr>
        <w:t> </w:t>
      </w:r>
      <w:r>
        <w:rPr/>
        <w:t>employer.</w:t>
      </w:r>
      <w:r>
        <w:rPr>
          <w:spacing w:val="-1"/>
        </w:rPr>
        <w:t> </w:t>
      </w:r>
      <w:r>
        <w:rPr/>
        <w:t>In reaction to the issue of prospects it is the employee’s view that there are no legal issues</w:t>
      </w:r>
      <w:r>
        <w:rPr>
          <w:spacing w:val="-31"/>
        </w:rPr>
        <w:t> </w:t>
      </w:r>
      <w:r>
        <w:rPr/>
        <w:t>crying out for settlement by the Supreme Court. His view is that confirmation powers were carefully and clearly explained by the Constitutional Court in Isoquant v Darikwa N.O. CCZ 6/20. He also argues that the case of Air Zimbabwe v Mateko SC-180-20 also elucidated on what is meant by confirmation with amendments. He reasons that vacation of the labour officer’s decision and substituting of same with the Labour Court decision is in sync with confirming the matter with</w:t>
      </w:r>
      <w:r>
        <w:rPr>
          <w:spacing w:val="-1"/>
        </w:rPr>
        <w:t> </w:t>
      </w:r>
      <w:r>
        <w:rPr/>
        <w:t>amendments.</w:t>
      </w:r>
    </w:p>
    <w:p>
      <w:pPr>
        <w:pStyle w:val="BodyText"/>
        <w:spacing w:line="360" w:lineRule="auto" w:before="2"/>
        <w:ind w:left="100" w:right="114" w:firstLine="719"/>
        <w:jc w:val="both"/>
      </w:pPr>
      <w:r>
        <w:rPr/>
        <w:t>It is this court’s view that in deed the extent of the powers of the confirmation court have been settled by Isoquant (supra). That case states clearly that the confirmation process is not a rubberstamping act but that the confirmation court should clearly be satisfied by the substantive</w:t>
      </w:r>
      <w:r>
        <w:rPr>
          <w:spacing w:val="-7"/>
        </w:rPr>
        <w:t> </w:t>
      </w:r>
      <w:r>
        <w:rPr/>
        <w:t>and</w:t>
      </w:r>
      <w:r>
        <w:rPr>
          <w:spacing w:val="-6"/>
        </w:rPr>
        <w:t> </w:t>
      </w:r>
      <w:r>
        <w:rPr/>
        <w:t>procedural</w:t>
      </w:r>
      <w:r>
        <w:rPr>
          <w:spacing w:val="-6"/>
        </w:rPr>
        <w:t> </w:t>
      </w:r>
      <w:r>
        <w:rPr/>
        <w:t>correctness</w:t>
      </w:r>
      <w:r>
        <w:rPr>
          <w:spacing w:val="-6"/>
        </w:rPr>
        <w:t> </w:t>
      </w:r>
      <w:r>
        <w:rPr/>
        <w:t>of</w:t>
      </w:r>
      <w:r>
        <w:rPr>
          <w:spacing w:val="-7"/>
        </w:rPr>
        <w:t> </w:t>
      </w:r>
      <w:r>
        <w:rPr/>
        <w:t>the</w:t>
      </w:r>
      <w:r>
        <w:rPr>
          <w:spacing w:val="-7"/>
        </w:rPr>
        <w:t> </w:t>
      </w:r>
      <w:r>
        <w:rPr/>
        <w:t>ruling</w:t>
      </w:r>
      <w:r>
        <w:rPr>
          <w:spacing w:val="-6"/>
        </w:rPr>
        <w:t> </w:t>
      </w:r>
      <w:r>
        <w:rPr/>
        <w:t>before</w:t>
      </w:r>
      <w:r>
        <w:rPr>
          <w:spacing w:val="-7"/>
        </w:rPr>
        <w:t> </w:t>
      </w:r>
      <w:r>
        <w:rPr/>
        <w:t>it</w:t>
      </w:r>
      <w:r>
        <w:rPr>
          <w:spacing w:val="-3"/>
        </w:rPr>
        <w:t> </w:t>
      </w:r>
      <w:r>
        <w:rPr/>
        <w:t>can</w:t>
      </w:r>
      <w:r>
        <w:rPr>
          <w:spacing w:val="-6"/>
        </w:rPr>
        <w:t> </w:t>
      </w:r>
      <w:r>
        <w:rPr/>
        <w:t>be</w:t>
      </w:r>
      <w:r>
        <w:rPr>
          <w:spacing w:val="-7"/>
        </w:rPr>
        <w:t> </w:t>
      </w:r>
      <w:r>
        <w:rPr/>
        <w:t>elevated</w:t>
      </w:r>
      <w:r>
        <w:rPr>
          <w:spacing w:val="-6"/>
        </w:rPr>
        <w:t> </w:t>
      </w:r>
      <w:r>
        <w:rPr/>
        <w:t>to</w:t>
      </w:r>
      <w:r>
        <w:rPr>
          <w:spacing w:val="-6"/>
        </w:rPr>
        <w:t> </w:t>
      </w:r>
      <w:r>
        <w:rPr/>
        <w:t>the</w:t>
      </w:r>
      <w:r>
        <w:rPr>
          <w:spacing w:val="-7"/>
        </w:rPr>
        <w:t> </w:t>
      </w:r>
      <w:r>
        <w:rPr/>
        <w:t>status</w:t>
      </w:r>
      <w:r>
        <w:rPr>
          <w:spacing w:val="-7"/>
        </w:rPr>
        <w:t> </w:t>
      </w:r>
      <w:r>
        <w:rPr/>
        <w:t>of</w:t>
      </w:r>
      <w:r>
        <w:rPr>
          <w:spacing w:val="-7"/>
        </w:rPr>
        <w:t> </w:t>
      </w:r>
      <w:r>
        <w:rPr/>
        <w:t>an enforceable court order. The court is thus satisfied that since such question having been adequately</w:t>
      </w:r>
      <w:r>
        <w:rPr>
          <w:spacing w:val="-14"/>
        </w:rPr>
        <w:t> </w:t>
      </w:r>
      <w:r>
        <w:rPr/>
        <w:t>answered</w:t>
      </w:r>
      <w:r>
        <w:rPr>
          <w:spacing w:val="-13"/>
        </w:rPr>
        <w:t> </w:t>
      </w:r>
      <w:r>
        <w:rPr/>
        <w:t>by</w:t>
      </w:r>
      <w:r>
        <w:rPr>
          <w:spacing w:val="-16"/>
        </w:rPr>
        <w:t> </w:t>
      </w:r>
      <w:r>
        <w:rPr/>
        <w:t>the</w:t>
      </w:r>
      <w:r>
        <w:rPr>
          <w:spacing w:val="-16"/>
        </w:rPr>
        <w:t> </w:t>
      </w:r>
      <w:r>
        <w:rPr/>
        <w:t>Constitutional</w:t>
      </w:r>
      <w:r>
        <w:rPr>
          <w:spacing w:val="-15"/>
        </w:rPr>
        <w:t> </w:t>
      </w:r>
      <w:r>
        <w:rPr/>
        <w:t>Court</w:t>
      </w:r>
      <w:r>
        <w:rPr>
          <w:spacing w:val="-15"/>
        </w:rPr>
        <w:t> </w:t>
      </w:r>
      <w:r>
        <w:rPr/>
        <w:t>no</w:t>
      </w:r>
      <w:r>
        <w:rPr>
          <w:spacing w:val="-15"/>
        </w:rPr>
        <w:t> </w:t>
      </w:r>
      <w:r>
        <w:rPr/>
        <w:t>meaningful</w:t>
      </w:r>
      <w:r>
        <w:rPr>
          <w:spacing w:val="-16"/>
        </w:rPr>
        <w:t> </w:t>
      </w:r>
      <w:r>
        <w:rPr/>
        <w:t>purpose</w:t>
      </w:r>
      <w:r>
        <w:rPr>
          <w:spacing w:val="-14"/>
        </w:rPr>
        <w:t> </w:t>
      </w:r>
      <w:r>
        <w:rPr/>
        <w:t>is</w:t>
      </w:r>
      <w:r>
        <w:rPr>
          <w:spacing w:val="-15"/>
        </w:rPr>
        <w:t> </w:t>
      </w:r>
      <w:r>
        <w:rPr/>
        <w:t>achieved</w:t>
      </w:r>
      <w:r>
        <w:rPr>
          <w:spacing w:val="-15"/>
        </w:rPr>
        <w:t> </w:t>
      </w:r>
      <w:r>
        <w:rPr/>
        <w:t>by</w:t>
      </w:r>
      <w:r>
        <w:rPr>
          <w:spacing w:val="-13"/>
        </w:rPr>
        <w:t> </w:t>
      </w:r>
      <w:r>
        <w:rPr/>
        <w:t>seeking to</w:t>
      </w:r>
      <w:r>
        <w:rPr>
          <w:spacing w:val="-12"/>
        </w:rPr>
        <w:t> </w:t>
      </w:r>
      <w:r>
        <w:rPr/>
        <w:t>have</w:t>
      </w:r>
      <w:r>
        <w:rPr>
          <w:spacing w:val="-12"/>
        </w:rPr>
        <w:t> </w:t>
      </w:r>
      <w:r>
        <w:rPr/>
        <w:t>the</w:t>
      </w:r>
      <w:r>
        <w:rPr>
          <w:spacing w:val="-12"/>
        </w:rPr>
        <w:t> </w:t>
      </w:r>
      <w:r>
        <w:rPr/>
        <w:t>Supreme</w:t>
      </w:r>
      <w:r>
        <w:rPr>
          <w:spacing w:val="-12"/>
        </w:rPr>
        <w:t> </w:t>
      </w:r>
      <w:r>
        <w:rPr/>
        <w:t>Court</w:t>
      </w:r>
      <w:r>
        <w:rPr>
          <w:spacing w:val="-12"/>
        </w:rPr>
        <w:t> </w:t>
      </w:r>
      <w:r>
        <w:rPr/>
        <w:t>views</w:t>
      </w:r>
      <w:r>
        <w:rPr>
          <w:spacing w:val="-11"/>
        </w:rPr>
        <w:t> </w:t>
      </w:r>
      <w:r>
        <w:rPr/>
        <w:t>on</w:t>
      </w:r>
      <w:r>
        <w:rPr>
          <w:spacing w:val="-11"/>
        </w:rPr>
        <w:t> </w:t>
      </w:r>
      <w:r>
        <w:rPr/>
        <w:t>the</w:t>
      </w:r>
      <w:r>
        <w:rPr>
          <w:spacing w:val="-13"/>
        </w:rPr>
        <w:t> </w:t>
      </w:r>
      <w:r>
        <w:rPr/>
        <w:t>settled</w:t>
      </w:r>
      <w:r>
        <w:rPr>
          <w:spacing w:val="-12"/>
        </w:rPr>
        <w:t> </w:t>
      </w:r>
      <w:r>
        <w:rPr/>
        <w:t>issue.</w:t>
      </w:r>
      <w:r>
        <w:rPr>
          <w:spacing w:val="38"/>
        </w:rPr>
        <w:t> </w:t>
      </w:r>
      <w:r>
        <w:rPr/>
        <w:t>It</w:t>
      </w:r>
      <w:r>
        <w:rPr>
          <w:spacing w:val="-12"/>
        </w:rPr>
        <w:t> </w:t>
      </w:r>
      <w:r>
        <w:rPr/>
        <w:t>also</w:t>
      </w:r>
      <w:r>
        <w:rPr>
          <w:spacing w:val="-10"/>
        </w:rPr>
        <w:t> </w:t>
      </w:r>
      <w:r>
        <w:rPr/>
        <w:t>goes</w:t>
      </w:r>
      <w:r>
        <w:rPr>
          <w:spacing w:val="-11"/>
        </w:rPr>
        <w:t> </w:t>
      </w:r>
      <w:r>
        <w:rPr/>
        <w:t>without</w:t>
      </w:r>
      <w:r>
        <w:rPr>
          <w:spacing w:val="-10"/>
        </w:rPr>
        <w:t> </w:t>
      </w:r>
      <w:r>
        <w:rPr/>
        <w:t>saying</w:t>
      </w:r>
      <w:r>
        <w:rPr>
          <w:spacing w:val="-12"/>
        </w:rPr>
        <w:t> </w:t>
      </w:r>
      <w:r>
        <w:rPr/>
        <w:t>that</w:t>
      </w:r>
      <w:r>
        <w:rPr>
          <w:spacing w:val="-11"/>
        </w:rPr>
        <w:t> </w:t>
      </w:r>
      <w:r>
        <w:rPr/>
        <w:t>the</w:t>
      </w:r>
      <w:r>
        <w:rPr>
          <w:spacing w:val="-12"/>
        </w:rPr>
        <w:t> </w:t>
      </w:r>
      <w:r>
        <w:rPr/>
        <w:t>obiter in Mateko (supra) demonstrates beyond doubt that where the ruling does not meet the test in Isoquant (supra) it has to be vacated and that obviously calls for the replacement of</w:t>
      </w:r>
      <w:r>
        <w:rPr>
          <w:spacing w:val="-43"/>
        </w:rPr>
        <w:t> </w:t>
      </w:r>
      <w:r>
        <w:rPr/>
        <w:t>that which is vacated. In the court’s view there is no further amplification required in this</w:t>
      </w:r>
      <w:r>
        <w:rPr>
          <w:spacing w:val="-9"/>
        </w:rPr>
        <w:t> </w:t>
      </w:r>
      <w:r>
        <w:rPr/>
        <w:t>regard.</w:t>
      </w:r>
    </w:p>
    <w:p>
      <w:pPr>
        <w:pStyle w:val="BodyText"/>
        <w:spacing w:line="360" w:lineRule="auto" w:before="1"/>
        <w:ind w:left="100" w:right="117" w:firstLine="719"/>
        <w:jc w:val="both"/>
      </w:pPr>
      <w:r>
        <w:rPr/>
        <w:t>As regards the issue of novation on the existence of more than one contracts side by side with the same employer that is a factual issue which in the courts view does not need</w:t>
      </w:r>
      <w:r>
        <w:rPr>
          <w:spacing w:val="54"/>
        </w:rPr>
        <w:t> </w:t>
      </w:r>
      <w:r>
        <w:rPr/>
        <w:t>the</w:t>
      </w:r>
    </w:p>
    <w:p>
      <w:pPr>
        <w:spacing w:after="0" w:line="360" w:lineRule="auto"/>
        <w:jc w:val="both"/>
        <w:sectPr>
          <w:headerReference w:type="default" r:id="rId5"/>
          <w:pgSz w:w="11910" w:h="16840"/>
          <w:pgMar w:header="763" w:footer="0" w:top="1580" w:bottom="280" w:left="1340" w:right="1320"/>
          <w:pgNumType w:start="2"/>
        </w:sectPr>
      </w:pPr>
    </w:p>
    <w:p>
      <w:pPr>
        <w:pStyle w:val="BodyText"/>
        <w:spacing w:before="3"/>
        <w:rPr>
          <w:sz w:val="9"/>
        </w:rPr>
      </w:pPr>
    </w:p>
    <w:p>
      <w:pPr>
        <w:pStyle w:val="BodyText"/>
        <w:spacing w:line="360" w:lineRule="auto" w:before="90"/>
        <w:ind w:left="100" w:right="113"/>
        <w:jc w:val="both"/>
      </w:pPr>
      <w:r>
        <w:rPr/>
        <w:t>Supreme court to make a pronouncement on. In the result the court is satisfied that there is no merited case to be taken on appeal warranting the grant of condonation. The application thus also fails in this regard.</w:t>
      </w:r>
    </w:p>
    <w:p>
      <w:pPr>
        <w:pStyle w:val="BodyText"/>
        <w:spacing w:before="11"/>
        <w:rPr>
          <w:sz w:val="35"/>
        </w:rPr>
      </w:pPr>
    </w:p>
    <w:p>
      <w:pPr>
        <w:pStyle w:val="Heading1"/>
        <w:jc w:val="both"/>
      </w:pPr>
      <w:r>
        <w:rPr>
          <w:u w:val="thick"/>
        </w:rPr>
        <w:t>Interests of administration of justice</w:t>
      </w:r>
    </w:p>
    <w:p>
      <w:pPr>
        <w:pStyle w:val="BodyText"/>
        <w:spacing w:line="360" w:lineRule="auto" w:before="137"/>
        <w:ind w:left="100" w:right="117"/>
        <w:jc w:val="both"/>
      </w:pPr>
      <w:r>
        <w:rPr/>
        <w:t>The</w:t>
      </w:r>
      <w:r>
        <w:rPr>
          <w:spacing w:val="-7"/>
        </w:rPr>
        <w:t> </w:t>
      </w:r>
      <w:r>
        <w:rPr/>
        <w:t>employer</w:t>
      </w:r>
      <w:r>
        <w:rPr>
          <w:spacing w:val="-6"/>
        </w:rPr>
        <w:t> </w:t>
      </w:r>
      <w:r>
        <w:rPr/>
        <w:t>contends</w:t>
      </w:r>
      <w:r>
        <w:rPr>
          <w:spacing w:val="-6"/>
        </w:rPr>
        <w:t> </w:t>
      </w:r>
      <w:r>
        <w:rPr/>
        <w:t>that</w:t>
      </w:r>
      <w:r>
        <w:rPr>
          <w:spacing w:val="-5"/>
        </w:rPr>
        <w:t> </w:t>
      </w:r>
      <w:r>
        <w:rPr/>
        <w:t>it</w:t>
      </w:r>
      <w:r>
        <w:rPr>
          <w:spacing w:val="-6"/>
        </w:rPr>
        <w:t> </w:t>
      </w:r>
      <w:r>
        <w:rPr/>
        <w:t>is</w:t>
      </w:r>
      <w:r>
        <w:rPr>
          <w:spacing w:val="-5"/>
        </w:rPr>
        <w:t> </w:t>
      </w:r>
      <w:r>
        <w:rPr/>
        <w:t>in</w:t>
      </w:r>
      <w:r>
        <w:rPr>
          <w:spacing w:val="-5"/>
        </w:rPr>
        <w:t> </w:t>
      </w:r>
      <w:r>
        <w:rPr/>
        <w:t>the</w:t>
      </w:r>
      <w:r>
        <w:rPr>
          <w:spacing w:val="-7"/>
        </w:rPr>
        <w:t> </w:t>
      </w:r>
      <w:r>
        <w:rPr/>
        <w:t>interests</w:t>
      </w:r>
      <w:r>
        <w:rPr>
          <w:spacing w:val="-5"/>
        </w:rPr>
        <w:t> </w:t>
      </w:r>
      <w:r>
        <w:rPr/>
        <w:t>of</w:t>
      </w:r>
      <w:r>
        <w:rPr>
          <w:spacing w:val="-9"/>
        </w:rPr>
        <w:t> </w:t>
      </w:r>
      <w:r>
        <w:rPr/>
        <w:t>justice</w:t>
      </w:r>
      <w:r>
        <w:rPr>
          <w:spacing w:val="-7"/>
        </w:rPr>
        <w:t> </w:t>
      </w:r>
      <w:r>
        <w:rPr/>
        <w:t>that</w:t>
      </w:r>
      <w:r>
        <w:rPr>
          <w:spacing w:val="-5"/>
        </w:rPr>
        <w:t> </w:t>
      </w:r>
      <w:r>
        <w:rPr/>
        <w:t>it</w:t>
      </w:r>
      <w:r>
        <w:rPr>
          <w:spacing w:val="-6"/>
        </w:rPr>
        <w:t> </w:t>
      </w:r>
      <w:r>
        <w:rPr/>
        <w:t>be</w:t>
      </w:r>
      <w:r>
        <w:rPr>
          <w:spacing w:val="-6"/>
        </w:rPr>
        <w:t> </w:t>
      </w:r>
      <w:r>
        <w:rPr/>
        <w:t>granted</w:t>
      </w:r>
      <w:r>
        <w:rPr>
          <w:spacing w:val="-4"/>
        </w:rPr>
        <w:t> </w:t>
      </w:r>
      <w:r>
        <w:rPr/>
        <w:t>condonation</w:t>
      </w:r>
      <w:r>
        <w:rPr>
          <w:spacing w:val="-5"/>
        </w:rPr>
        <w:t> </w:t>
      </w:r>
      <w:r>
        <w:rPr/>
        <w:t>so</w:t>
      </w:r>
      <w:r>
        <w:rPr>
          <w:spacing w:val="-6"/>
        </w:rPr>
        <w:t> </w:t>
      </w:r>
      <w:r>
        <w:rPr/>
        <w:t>that it</w:t>
      </w:r>
      <w:r>
        <w:rPr>
          <w:spacing w:val="-8"/>
        </w:rPr>
        <w:t> </w:t>
      </w:r>
      <w:r>
        <w:rPr/>
        <w:t>escalates</w:t>
      </w:r>
      <w:r>
        <w:rPr>
          <w:spacing w:val="-8"/>
        </w:rPr>
        <w:t> </w:t>
      </w:r>
      <w:r>
        <w:rPr/>
        <w:t>its</w:t>
      </w:r>
      <w:r>
        <w:rPr>
          <w:spacing w:val="-7"/>
        </w:rPr>
        <w:t> </w:t>
      </w:r>
      <w:r>
        <w:rPr/>
        <w:t>issues</w:t>
      </w:r>
      <w:r>
        <w:rPr>
          <w:spacing w:val="-8"/>
        </w:rPr>
        <w:t> </w:t>
      </w:r>
      <w:r>
        <w:rPr/>
        <w:t>to</w:t>
      </w:r>
      <w:r>
        <w:rPr>
          <w:spacing w:val="-8"/>
        </w:rPr>
        <w:t> </w:t>
      </w:r>
      <w:r>
        <w:rPr/>
        <w:t>the</w:t>
      </w:r>
      <w:r>
        <w:rPr>
          <w:spacing w:val="-9"/>
        </w:rPr>
        <w:t> </w:t>
      </w:r>
      <w:r>
        <w:rPr/>
        <w:t>Supreme.</w:t>
      </w:r>
      <w:r>
        <w:rPr>
          <w:spacing w:val="43"/>
        </w:rPr>
        <w:t> </w:t>
      </w:r>
      <w:r>
        <w:rPr/>
        <w:t>The</w:t>
      </w:r>
      <w:r>
        <w:rPr>
          <w:spacing w:val="-9"/>
        </w:rPr>
        <w:t> </w:t>
      </w:r>
      <w:r>
        <w:rPr/>
        <w:t>court</w:t>
      </w:r>
      <w:r>
        <w:rPr>
          <w:spacing w:val="-9"/>
        </w:rPr>
        <w:t> </w:t>
      </w:r>
      <w:r>
        <w:rPr/>
        <w:t>has</w:t>
      </w:r>
      <w:r>
        <w:rPr>
          <w:spacing w:val="-8"/>
        </w:rPr>
        <w:t> </w:t>
      </w:r>
      <w:r>
        <w:rPr/>
        <w:t>already</w:t>
      </w:r>
      <w:r>
        <w:rPr>
          <w:spacing w:val="-5"/>
        </w:rPr>
        <w:t> </w:t>
      </w:r>
      <w:r>
        <w:rPr/>
        <w:t>reasoned</w:t>
      </w:r>
      <w:r>
        <w:rPr>
          <w:spacing w:val="-9"/>
        </w:rPr>
        <w:t> </w:t>
      </w:r>
      <w:r>
        <w:rPr/>
        <w:t>out</w:t>
      </w:r>
      <w:r>
        <w:rPr>
          <w:spacing w:val="-8"/>
        </w:rPr>
        <w:t> </w:t>
      </w:r>
      <w:r>
        <w:rPr/>
        <w:t>that</w:t>
      </w:r>
      <w:r>
        <w:rPr>
          <w:spacing w:val="-7"/>
        </w:rPr>
        <w:t> </w:t>
      </w:r>
      <w:r>
        <w:rPr/>
        <w:t>there</w:t>
      </w:r>
      <w:r>
        <w:rPr>
          <w:spacing w:val="-7"/>
        </w:rPr>
        <w:t> </w:t>
      </w:r>
      <w:r>
        <w:rPr/>
        <w:t>are</w:t>
      </w:r>
      <w:r>
        <w:rPr>
          <w:spacing w:val="-8"/>
        </w:rPr>
        <w:t> </w:t>
      </w:r>
      <w:r>
        <w:rPr/>
        <w:t>no</w:t>
      </w:r>
      <w:r>
        <w:rPr>
          <w:spacing w:val="-8"/>
        </w:rPr>
        <w:t> </w:t>
      </w:r>
      <w:r>
        <w:rPr/>
        <w:t>legal issues worthy of determination by the Supreme Court. In that regard justice interests are therefore better served by the refusal of the condonation</w:t>
      </w:r>
      <w:r>
        <w:rPr>
          <w:spacing w:val="-3"/>
        </w:rPr>
        <w:t> </w:t>
      </w:r>
      <w:r>
        <w:rPr/>
        <w:t>application.</w:t>
      </w:r>
    </w:p>
    <w:p>
      <w:pPr>
        <w:pStyle w:val="BodyText"/>
        <w:spacing w:before="11"/>
        <w:rPr>
          <w:sz w:val="35"/>
        </w:rPr>
      </w:pPr>
    </w:p>
    <w:p>
      <w:pPr>
        <w:pStyle w:val="Heading1"/>
        <w:jc w:val="both"/>
      </w:pPr>
      <w:r>
        <w:rPr>
          <w:u w:val="thick"/>
        </w:rPr>
        <w:t>Convenience of the court and finality to litigation</w:t>
      </w:r>
    </w:p>
    <w:p>
      <w:pPr>
        <w:pStyle w:val="BodyText"/>
        <w:spacing w:line="360" w:lineRule="auto" w:before="139"/>
        <w:ind w:left="100" w:right="117"/>
        <w:jc w:val="both"/>
      </w:pPr>
      <w:r>
        <w:rPr/>
        <w:t>This tenet deserves no restatement judging from the conclusion that there has not been a plausible explanation for the default and that there are no prospects of success. It therefore would be an abuse of court process to clog the system with unmerited cases as the instant</w:t>
      </w:r>
      <w:r>
        <w:rPr>
          <w:spacing w:val="-21"/>
        </w:rPr>
        <w:t> </w:t>
      </w:r>
      <w:r>
        <w:rPr/>
        <w:t>one. In the result the application cannot succeed on the basis of this</w:t>
      </w:r>
      <w:r>
        <w:rPr>
          <w:spacing w:val="-1"/>
        </w:rPr>
        <w:t> </w:t>
      </w:r>
      <w:r>
        <w:rPr/>
        <w:t>tenet.</w:t>
      </w:r>
    </w:p>
    <w:p>
      <w:pPr>
        <w:pStyle w:val="BodyText"/>
        <w:spacing w:before="11"/>
        <w:rPr>
          <w:sz w:val="35"/>
        </w:rPr>
      </w:pPr>
    </w:p>
    <w:p>
      <w:pPr>
        <w:pStyle w:val="Heading1"/>
      </w:pPr>
      <w:r>
        <w:rPr>
          <w:u w:val="thick"/>
        </w:rPr>
        <w:t>Prejudice</w:t>
      </w:r>
    </w:p>
    <w:p>
      <w:pPr>
        <w:pStyle w:val="BodyText"/>
        <w:spacing w:line="360" w:lineRule="auto" w:before="139"/>
        <w:ind w:left="100" w:right="118"/>
        <w:jc w:val="both"/>
      </w:pPr>
      <w:r>
        <w:rPr/>
        <w:t>The employer has argued that no prejudice would be suffered if this condonation is granted. The court is however of a different opinion in that there is no need to grant condonation in a case which is apparent that there is no legal issue worthy of determination by the Supreme Court. Granting same would thus prejudice the interests of justice and finality to litigation. The application also fails on the basis of this tenet. In the ultimate it is clear that no good case for condonation has been made out. It should consequently fail.</w:t>
      </w:r>
    </w:p>
    <w:p>
      <w:pPr>
        <w:pStyle w:val="BodyText"/>
        <w:spacing w:before="11"/>
        <w:rPr>
          <w:sz w:val="35"/>
        </w:rPr>
      </w:pPr>
    </w:p>
    <w:p>
      <w:pPr>
        <w:pStyle w:val="Heading1"/>
      </w:pPr>
      <w:r>
        <w:rPr/>
        <w:t>IT IS ORDERED THAT</w:t>
      </w:r>
    </w:p>
    <w:p>
      <w:pPr>
        <w:pStyle w:val="BodyText"/>
        <w:spacing w:before="140"/>
        <w:ind w:left="100"/>
      </w:pPr>
      <w:r>
        <w:rPr/>
        <w:t>Application for condonation being without merit it be and is hereby dismissed with costs.</w:t>
      </w:r>
    </w:p>
    <w:p>
      <w:pPr>
        <w:pStyle w:val="BodyText"/>
        <w:rPr>
          <w:sz w:val="26"/>
        </w:rPr>
      </w:pPr>
    </w:p>
    <w:p>
      <w:pPr>
        <w:pStyle w:val="BodyText"/>
        <w:rPr>
          <w:sz w:val="26"/>
        </w:rPr>
      </w:pPr>
    </w:p>
    <w:p>
      <w:pPr>
        <w:pStyle w:val="BodyText"/>
        <w:rPr>
          <w:sz w:val="26"/>
        </w:rPr>
      </w:pPr>
    </w:p>
    <w:p>
      <w:pPr>
        <w:pStyle w:val="BodyText"/>
        <w:rPr>
          <w:sz w:val="26"/>
        </w:rPr>
      </w:pPr>
    </w:p>
    <w:p>
      <w:pPr>
        <w:spacing w:before="184"/>
        <w:ind w:left="100" w:right="0" w:firstLine="0"/>
        <w:jc w:val="left"/>
        <w:rPr>
          <w:sz w:val="24"/>
        </w:rPr>
      </w:pPr>
      <w:r>
        <w:rPr>
          <w:i/>
          <w:sz w:val="24"/>
        </w:rPr>
        <w:t>Dube, Manikai &amp; Hwacha, </w:t>
      </w:r>
      <w:r>
        <w:rPr>
          <w:sz w:val="24"/>
        </w:rPr>
        <w:t>Applicant’s Legal Practitioners</w:t>
      </w:r>
    </w:p>
    <w:p>
      <w:pPr>
        <w:pStyle w:val="BodyText"/>
        <w:rPr>
          <w:sz w:val="26"/>
        </w:rPr>
      </w:pPr>
    </w:p>
    <w:p>
      <w:pPr>
        <w:pStyle w:val="BodyText"/>
        <w:rPr>
          <w:sz w:val="22"/>
        </w:rPr>
      </w:pPr>
    </w:p>
    <w:p>
      <w:pPr>
        <w:spacing w:before="0"/>
        <w:ind w:left="100" w:right="0" w:firstLine="0"/>
        <w:jc w:val="left"/>
        <w:rPr>
          <w:sz w:val="24"/>
        </w:rPr>
      </w:pPr>
      <w:r>
        <w:rPr>
          <w:i/>
          <w:sz w:val="24"/>
        </w:rPr>
        <w:t>Messrs Matsikidze Attorneys at Law</w:t>
      </w:r>
      <w:r>
        <w:rPr>
          <w:sz w:val="24"/>
        </w:rPr>
        <w:t>, Respondent’s Legal Practitioners</w:t>
      </w:r>
    </w:p>
    <w:sectPr>
      <w:pgSz w:w="11910" w:h="16840"/>
      <w:pgMar w:header="763" w:footer="0" w:top="15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rlito">
    <w:altName w:val="Carlito"/>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8.820007pt;margin-top:37.159985pt;width:67.7pt;height:39.950pt;mso-position-horizontal-relative:page;mso-position-vertical-relative:page;z-index:-15774208" type="#_x0000_t202" filled="false" stroked="false">
          <v:textbox inset="0,0,0,0">
            <w:txbxContent>
              <w:p>
                <w:pPr>
                  <w:spacing w:line="245" w:lineRule="exact" w:before="0"/>
                  <w:ind w:left="0" w:right="58" w:firstLine="0"/>
                  <w:jc w:val="right"/>
                  <w:rPr>
                    <w:rFonts w:ascii="Carlito"/>
                    <w:sz w:val="22"/>
                  </w:rPr>
                </w:pPr>
                <w:r>
                  <w:rPr/>
                  <w:fldChar w:fldCharType="begin"/>
                </w:r>
                <w:r>
                  <w:rPr>
                    <w:rFonts w:ascii="Carlito"/>
                    <w:w w:val="100"/>
                    <w:sz w:val="22"/>
                  </w:rPr>
                  <w:instrText> PAGE </w:instrText>
                </w:r>
                <w:r>
                  <w:rPr/>
                  <w:fldChar w:fldCharType="separate"/>
                </w:r>
                <w:r>
                  <w:rPr/>
                  <w:t>2</w:t>
                </w:r>
                <w:r>
                  <w:rPr/>
                  <w:fldChar w:fldCharType="end"/>
                </w:r>
              </w:p>
              <w:p>
                <w:pPr>
                  <w:spacing w:before="0"/>
                  <w:ind w:left="20" w:right="43" w:firstLine="307"/>
                  <w:jc w:val="left"/>
                  <w:rPr>
                    <w:rFonts w:ascii="Carlito"/>
                    <w:sz w:val="22"/>
                  </w:rPr>
                </w:pPr>
                <w:r>
                  <w:rPr>
                    <w:rFonts w:ascii="Carlito"/>
                    <w:sz w:val="22"/>
                  </w:rPr>
                  <w:t>LC/H/2023 LC/H/1075/22</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dcterms:created xsi:type="dcterms:W3CDTF">2023-05-15T09:35:09Z</dcterms:created>
  <dcterms:modified xsi:type="dcterms:W3CDTF">2023-05-15T09:35:09Z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2019</vt:lpwstr>
  </property>
  <property fmtid="{D5CDD505-2E9C-101B-9397-08002B2CF9AE}" pid="4" name="LastSaved">
    <vt:filetime>2023-05-15T00:00:00Z</vt:filetime>
  </property>
</Properties>
</file>