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B8C" w:rsidRDefault="00927B8C" w:rsidP="00927B8C">
      <w:pPr>
        <w:spacing w:line="360" w:lineRule="auto"/>
        <w:jc w:val="both"/>
        <w:rPr>
          <w:b/>
          <w:sz w:val="22"/>
          <w:szCs w:val="22"/>
        </w:rPr>
      </w:pPr>
      <w:r>
        <w:rPr>
          <w:b/>
          <w:sz w:val="22"/>
          <w:szCs w:val="22"/>
        </w:rPr>
        <w:t>IN THE LABOUR COURT OF ZIMBABWE</w:t>
      </w:r>
      <w:r>
        <w:rPr>
          <w:b/>
          <w:sz w:val="22"/>
          <w:szCs w:val="22"/>
        </w:rPr>
        <w:tab/>
        <w:t xml:space="preserve">                 JUDGMENT NO. LC/H/</w:t>
      </w:r>
      <w:r w:rsidR="00AE1EEA">
        <w:rPr>
          <w:b/>
          <w:sz w:val="22"/>
          <w:szCs w:val="22"/>
        </w:rPr>
        <w:t>153</w:t>
      </w:r>
      <w:r>
        <w:rPr>
          <w:b/>
          <w:sz w:val="22"/>
          <w:szCs w:val="22"/>
        </w:rPr>
        <w:t>/2016</w:t>
      </w:r>
    </w:p>
    <w:p w:rsidR="00927B8C" w:rsidRDefault="00927B8C" w:rsidP="00927B8C">
      <w:pPr>
        <w:spacing w:line="360" w:lineRule="auto"/>
        <w:jc w:val="both"/>
        <w:rPr>
          <w:b/>
          <w:sz w:val="22"/>
          <w:szCs w:val="22"/>
        </w:rPr>
      </w:pPr>
      <w:r>
        <w:rPr>
          <w:b/>
          <w:sz w:val="22"/>
          <w:szCs w:val="22"/>
        </w:rPr>
        <w:t>HARARE, 10 FEBRUARY 2016</w:t>
      </w:r>
      <w:r>
        <w:rPr>
          <w:b/>
          <w:sz w:val="22"/>
          <w:szCs w:val="22"/>
        </w:rPr>
        <w:tab/>
      </w:r>
      <w:r>
        <w:rPr>
          <w:b/>
          <w:sz w:val="22"/>
          <w:szCs w:val="22"/>
        </w:rPr>
        <w:tab/>
      </w:r>
      <w:r>
        <w:rPr>
          <w:b/>
          <w:sz w:val="22"/>
          <w:szCs w:val="22"/>
        </w:rPr>
        <w:tab/>
        <w:t xml:space="preserve">          </w:t>
      </w:r>
      <w:r>
        <w:rPr>
          <w:b/>
          <w:sz w:val="22"/>
          <w:szCs w:val="22"/>
        </w:rPr>
        <w:tab/>
        <w:t xml:space="preserve">       CASE NO. LC/H/373/15</w:t>
      </w:r>
    </w:p>
    <w:p w:rsidR="00927B8C" w:rsidRDefault="00927B8C" w:rsidP="00927B8C">
      <w:pPr>
        <w:spacing w:line="360" w:lineRule="auto"/>
        <w:jc w:val="both"/>
        <w:rPr>
          <w:b/>
          <w:sz w:val="22"/>
          <w:szCs w:val="22"/>
        </w:rPr>
      </w:pPr>
      <w:r>
        <w:rPr>
          <w:b/>
          <w:sz w:val="22"/>
          <w:szCs w:val="22"/>
        </w:rPr>
        <w:t xml:space="preserve">AND </w:t>
      </w:r>
      <w:r w:rsidR="00AE1EEA">
        <w:rPr>
          <w:b/>
          <w:sz w:val="22"/>
          <w:szCs w:val="22"/>
        </w:rPr>
        <w:t>18 MARCH</w:t>
      </w:r>
      <w:bookmarkStart w:id="0" w:name="_GoBack"/>
      <w:bookmarkEnd w:id="0"/>
      <w:r>
        <w:rPr>
          <w:b/>
          <w:sz w:val="22"/>
          <w:szCs w:val="22"/>
        </w:rPr>
        <w:t xml:space="preserve"> 2016</w:t>
      </w:r>
    </w:p>
    <w:p w:rsidR="00927B8C" w:rsidRDefault="00927B8C" w:rsidP="00927B8C">
      <w:pPr>
        <w:spacing w:line="360" w:lineRule="auto"/>
        <w:jc w:val="both"/>
      </w:pPr>
      <w:r>
        <w:t>In the matter between:-</w:t>
      </w:r>
    </w:p>
    <w:p w:rsidR="00927B8C" w:rsidRDefault="00927B8C" w:rsidP="00927B8C">
      <w:pPr>
        <w:spacing w:line="360" w:lineRule="auto"/>
        <w:jc w:val="both"/>
      </w:pPr>
    </w:p>
    <w:p w:rsidR="00927B8C" w:rsidRDefault="00927B8C" w:rsidP="00927B8C">
      <w:pPr>
        <w:spacing w:line="360" w:lineRule="auto"/>
        <w:jc w:val="both"/>
        <w:rPr>
          <w:b/>
        </w:rPr>
      </w:pPr>
      <w:r>
        <w:rPr>
          <w:b/>
        </w:rPr>
        <w:t>ELVIS MUNGOFA</w:t>
      </w:r>
      <w:r w:rsidR="00A83671">
        <w:rPr>
          <w:b/>
        </w:rPr>
        <w:tab/>
      </w:r>
      <w:r>
        <w:rPr>
          <w:b/>
        </w:rPr>
        <w:tab/>
      </w:r>
      <w:r>
        <w:rPr>
          <w:b/>
        </w:rPr>
        <w:tab/>
      </w:r>
      <w:r>
        <w:rPr>
          <w:b/>
        </w:rPr>
        <w:tab/>
      </w:r>
      <w:r>
        <w:rPr>
          <w:b/>
        </w:rPr>
        <w:tab/>
      </w:r>
      <w:r>
        <w:rPr>
          <w:b/>
        </w:rPr>
        <w:tab/>
      </w:r>
      <w:r>
        <w:rPr>
          <w:b/>
        </w:rPr>
        <w:tab/>
      </w:r>
      <w:r>
        <w:rPr>
          <w:b/>
        </w:rPr>
        <w:tab/>
        <w:t xml:space="preserve">Appellant </w:t>
      </w:r>
    </w:p>
    <w:p w:rsidR="00927B8C" w:rsidRDefault="00927B8C" w:rsidP="00927B8C">
      <w:pPr>
        <w:spacing w:line="360" w:lineRule="auto"/>
        <w:jc w:val="both"/>
        <w:rPr>
          <w:sz w:val="22"/>
          <w:szCs w:val="22"/>
        </w:rPr>
      </w:pPr>
      <w:r>
        <w:rPr>
          <w:sz w:val="22"/>
          <w:szCs w:val="22"/>
        </w:rPr>
        <w:t>And</w:t>
      </w:r>
    </w:p>
    <w:p w:rsidR="00927B8C" w:rsidRDefault="00A83671" w:rsidP="00927B8C">
      <w:pPr>
        <w:spacing w:line="360" w:lineRule="auto"/>
        <w:jc w:val="both"/>
        <w:rPr>
          <w:b/>
        </w:rPr>
      </w:pPr>
      <w:r>
        <w:rPr>
          <w:b/>
        </w:rPr>
        <w:t>PREMIER SERVICE MEDICAL INVESTMENTS</w:t>
      </w:r>
      <w:r>
        <w:rPr>
          <w:b/>
        </w:rPr>
        <w:tab/>
      </w:r>
      <w:r>
        <w:rPr>
          <w:b/>
        </w:rPr>
        <w:tab/>
      </w:r>
      <w:r>
        <w:rPr>
          <w:b/>
        </w:rPr>
        <w:tab/>
      </w:r>
      <w:r w:rsidR="00927B8C">
        <w:rPr>
          <w:b/>
        </w:rPr>
        <w:t>Respondent</w:t>
      </w:r>
    </w:p>
    <w:p w:rsidR="00927B8C" w:rsidRDefault="00927B8C" w:rsidP="00927B8C">
      <w:pPr>
        <w:spacing w:line="360" w:lineRule="auto"/>
        <w:jc w:val="both"/>
        <w:rPr>
          <w:b/>
        </w:rPr>
      </w:pPr>
    </w:p>
    <w:p w:rsidR="00927B8C" w:rsidRDefault="00927B8C" w:rsidP="00927B8C">
      <w:pPr>
        <w:spacing w:line="360" w:lineRule="auto"/>
        <w:jc w:val="both"/>
      </w:pPr>
      <w:r>
        <w:t>Before The Honourable F.C. Maxwell, Judge</w:t>
      </w:r>
    </w:p>
    <w:p w:rsidR="00927B8C" w:rsidRDefault="00927B8C" w:rsidP="00927B8C">
      <w:pPr>
        <w:spacing w:line="360" w:lineRule="auto"/>
        <w:jc w:val="both"/>
      </w:pPr>
    </w:p>
    <w:p w:rsidR="00927B8C" w:rsidRDefault="00927B8C" w:rsidP="00927B8C">
      <w:pPr>
        <w:spacing w:line="360" w:lineRule="auto"/>
        <w:jc w:val="both"/>
        <w:rPr>
          <w:b/>
        </w:rPr>
      </w:pPr>
      <w:r>
        <w:rPr>
          <w:b/>
        </w:rPr>
        <w:t>For Appellant</w:t>
      </w:r>
      <w:r>
        <w:rPr>
          <w:b/>
        </w:rPr>
        <w:tab/>
      </w:r>
      <w:r>
        <w:rPr>
          <w:b/>
        </w:rPr>
        <w:tab/>
      </w:r>
      <w:r w:rsidR="008F4E3E">
        <w:rPr>
          <w:b/>
        </w:rPr>
        <w:t>Mr C. Maunga (Legal Practitioner)</w:t>
      </w:r>
    </w:p>
    <w:p w:rsidR="00927B8C" w:rsidRDefault="00927B8C" w:rsidP="00927B8C">
      <w:pPr>
        <w:spacing w:line="360" w:lineRule="auto"/>
        <w:jc w:val="both"/>
        <w:rPr>
          <w:b/>
        </w:rPr>
      </w:pPr>
      <w:r>
        <w:rPr>
          <w:b/>
        </w:rPr>
        <w:t>For Respondent</w:t>
      </w:r>
      <w:r>
        <w:rPr>
          <w:b/>
        </w:rPr>
        <w:tab/>
      </w:r>
      <w:r>
        <w:rPr>
          <w:b/>
        </w:rPr>
        <w:tab/>
        <w:t xml:space="preserve">Mr </w:t>
      </w:r>
      <w:r w:rsidR="008F4E3E">
        <w:rPr>
          <w:b/>
        </w:rPr>
        <w:t>A.K. Maguchu</w:t>
      </w:r>
      <w:r>
        <w:rPr>
          <w:b/>
        </w:rPr>
        <w:t xml:space="preserve"> (Legal Practitioner)</w:t>
      </w:r>
    </w:p>
    <w:p w:rsidR="00927B8C" w:rsidRDefault="00927B8C" w:rsidP="00927B8C">
      <w:pPr>
        <w:spacing w:line="360" w:lineRule="auto"/>
        <w:jc w:val="both"/>
        <w:rPr>
          <w:b/>
          <w:sz w:val="28"/>
          <w:szCs w:val="28"/>
        </w:rPr>
      </w:pPr>
    </w:p>
    <w:p w:rsidR="00927B8C" w:rsidRDefault="00927B8C" w:rsidP="00927B8C">
      <w:pPr>
        <w:spacing w:line="360" w:lineRule="auto"/>
        <w:jc w:val="both"/>
        <w:rPr>
          <w:b/>
        </w:rPr>
      </w:pPr>
      <w:r>
        <w:rPr>
          <w:b/>
        </w:rPr>
        <w:t>MAXWELL, J:</w:t>
      </w:r>
    </w:p>
    <w:p w:rsidR="00476E18" w:rsidRDefault="00476E18" w:rsidP="00E41831">
      <w:pPr>
        <w:spacing w:line="360" w:lineRule="auto"/>
        <w:jc w:val="both"/>
      </w:pPr>
    </w:p>
    <w:p w:rsidR="00E41831" w:rsidRDefault="00E41831" w:rsidP="00E41831">
      <w:pPr>
        <w:spacing w:line="360" w:lineRule="auto"/>
        <w:jc w:val="both"/>
      </w:pPr>
      <w:r>
        <w:tab/>
        <w:t>This is an appeal against the decision of the respondent’s Appeals Authority to uphold the decision of the Disciplinary Committee dismissing the appellant.</w:t>
      </w:r>
    </w:p>
    <w:p w:rsidR="00E41831" w:rsidRDefault="00E41831" w:rsidP="00CC270D">
      <w:pPr>
        <w:jc w:val="both"/>
      </w:pPr>
    </w:p>
    <w:p w:rsidR="00E41831" w:rsidRDefault="00E41831" w:rsidP="00CC270D">
      <w:pPr>
        <w:spacing w:line="360" w:lineRule="auto"/>
        <w:ind w:firstLine="720"/>
        <w:jc w:val="both"/>
      </w:pPr>
      <w:r>
        <w:t xml:space="preserve">Appellant was employed by respondent as an </w:t>
      </w:r>
      <w:r w:rsidR="00CC270D">
        <w:t>accountant</w:t>
      </w:r>
      <w:r>
        <w:t xml:space="preserve"> at head office.  He was charged with fraud in terms of the respondent’s code of conduct.  He was convicted and dismissed from employment.  An internal appeal </w:t>
      </w:r>
      <w:r w:rsidR="00F96E1A">
        <w:t>was not successful leading to appellant approaching this court.  The grounds of appeal are</w:t>
      </w:r>
      <w:r w:rsidR="00CB5AAD">
        <w:t>:</w:t>
      </w:r>
    </w:p>
    <w:p w:rsidR="00CB5AAD" w:rsidRDefault="00CB5AAD" w:rsidP="004D4530">
      <w:pPr>
        <w:ind w:firstLine="720"/>
        <w:jc w:val="both"/>
      </w:pPr>
    </w:p>
    <w:p w:rsidR="00CB5AAD" w:rsidRDefault="00E4426B" w:rsidP="00CB5AAD">
      <w:pPr>
        <w:pStyle w:val="ListParagraph"/>
        <w:numPr>
          <w:ilvl w:val="0"/>
          <w:numId w:val="1"/>
        </w:numPr>
        <w:spacing w:line="360" w:lineRule="auto"/>
        <w:jc w:val="both"/>
      </w:pPr>
      <w:r>
        <w:t>The Appeals Authority fundamentally misdirected itself in finding appellant guilty of a charge of fraud when the facts did not support the charge.  It was a fact that appellant is not the one who prepared and submitted the p</w:t>
      </w:r>
      <w:r w:rsidR="00DC1DB4">
        <w:t>apers for payment.  No allegati</w:t>
      </w:r>
      <w:r>
        <w:t xml:space="preserve">ons of connivance </w:t>
      </w:r>
      <w:r w:rsidR="00DC1DB4">
        <w:t>were made against the appellant.  According to the facts the charge against appellant should have been failure to follow procedures. (SOPS).</w:t>
      </w:r>
    </w:p>
    <w:p w:rsidR="001A6B20" w:rsidRDefault="001A6B20" w:rsidP="00CB5AAD">
      <w:pPr>
        <w:pStyle w:val="ListParagraph"/>
        <w:numPr>
          <w:ilvl w:val="0"/>
          <w:numId w:val="1"/>
        </w:numPr>
        <w:spacing w:line="360" w:lineRule="auto"/>
        <w:jc w:val="both"/>
      </w:pPr>
      <w:r>
        <w:t>The charge of fraud was not proved against the appellant.</w:t>
      </w:r>
    </w:p>
    <w:p w:rsidR="001A6B20" w:rsidRDefault="001A6B20" w:rsidP="001A6B20">
      <w:pPr>
        <w:pStyle w:val="ListParagraph"/>
        <w:spacing w:line="360" w:lineRule="auto"/>
        <w:ind w:left="1080"/>
        <w:jc w:val="both"/>
      </w:pPr>
      <w:r>
        <w:t>Alternatively</w:t>
      </w:r>
    </w:p>
    <w:p w:rsidR="004751FC" w:rsidRDefault="004751FC" w:rsidP="004751FC">
      <w:pPr>
        <w:pStyle w:val="ListParagraph"/>
        <w:numPr>
          <w:ilvl w:val="0"/>
          <w:numId w:val="1"/>
        </w:numPr>
        <w:spacing w:line="360" w:lineRule="auto"/>
        <w:jc w:val="both"/>
      </w:pPr>
      <w:r>
        <w:lastRenderedPageBreak/>
        <w:t>The Appeals Authority misdirected itself both in fact and at law in dismissing the appellant when the company did not suffer actual prejudice.  The penalty of dismissal was not appropriate in the circumstance.</w:t>
      </w:r>
    </w:p>
    <w:p w:rsidR="004751FC" w:rsidRDefault="004751FC" w:rsidP="00CC270D">
      <w:pPr>
        <w:jc w:val="both"/>
      </w:pPr>
    </w:p>
    <w:p w:rsidR="004751FC" w:rsidRDefault="004751FC" w:rsidP="00846F0B">
      <w:pPr>
        <w:spacing w:line="360" w:lineRule="auto"/>
        <w:ind w:firstLine="720"/>
        <w:jc w:val="both"/>
      </w:pPr>
      <w:r>
        <w:t>Appellant prays for the decision of the Appeals Authority to be reversed and substituted with ether his acquittal or a penalty of a final written warning or de</w:t>
      </w:r>
      <w:r w:rsidR="00451BF4">
        <w:t>motion.</w:t>
      </w:r>
    </w:p>
    <w:p w:rsidR="00846F0B" w:rsidRDefault="00846F0B" w:rsidP="00CC270D">
      <w:pPr>
        <w:ind w:firstLine="720"/>
        <w:jc w:val="both"/>
      </w:pPr>
    </w:p>
    <w:p w:rsidR="00846F0B" w:rsidRDefault="00846F0B" w:rsidP="00846F0B">
      <w:pPr>
        <w:spacing w:line="360" w:lineRule="auto"/>
        <w:ind w:firstLine="720"/>
        <w:jc w:val="both"/>
      </w:pPr>
      <w:r>
        <w:t>In response respondent submitted that the offence had been proven and appellant had admitted improper behaviour.  Respondent further submitted that evidence was led to show that appellant caused a payment to be made when it was not due and</w:t>
      </w:r>
      <w:r w:rsidR="00473159">
        <w:t xml:space="preserve"> followed up on the excess payment to the supplier where he was given the excess money.  On the issue of penalty respondent submitted that the offence involved a breach of trust therefore the appeal lacks merit and should be dismissed.</w:t>
      </w:r>
    </w:p>
    <w:p w:rsidR="00F41766" w:rsidRDefault="00F41766" w:rsidP="00CC270D">
      <w:pPr>
        <w:ind w:firstLine="720"/>
        <w:jc w:val="both"/>
      </w:pPr>
    </w:p>
    <w:p w:rsidR="00F41766" w:rsidRDefault="00F41766" w:rsidP="00846F0B">
      <w:pPr>
        <w:spacing w:line="360" w:lineRule="auto"/>
        <w:ind w:firstLine="720"/>
        <w:jc w:val="both"/>
      </w:pPr>
      <w:proofErr w:type="gramStart"/>
      <w:r>
        <w:t>Now turning to the grounds of app</w:t>
      </w:r>
      <w:r w:rsidR="00772FAF">
        <w:t>eal, the first and second fault</w:t>
      </w:r>
      <w:r>
        <w:t xml:space="preserve"> the Appeals Authority for convicting him of fraud.</w:t>
      </w:r>
      <w:proofErr w:type="gramEnd"/>
      <w:r>
        <w:t xml:space="preserve">  He alleges that the facts did not support the charge</w:t>
      </w:r>
      <w:r w:rsidR="00F24934">
        <w:t xml:space="preserve"> and that he should have been charged with failure to follow standard operating procedures.  The </w:t>
      </w:r>
      <w:r w:rsidR="00D245E9">
        <w:t>record of proceedings does</w:t>
      </w:r>
      <w:r w:rsidR="00F24934">
        <w:t xml:space="preserve"> not bear him out at all.  Appellant’s heads of </w:t>
      </w:r>
      <w:r w:rsidR="00517BB5">
        <w:t>argument concentrated on the definition of fraud as given in Black’s Law Dictionary, volume 1.</w:t>
      </w:r>
      <w:r w:rsidR="004B12B5">
        <w:t xml:space="preserve"> Counsel analysed the requirements as per that definition and concluded that the </w:t>
      </w:r>
      <w:r w:rsidR="005D56DD">
        <w:t xml:space="preserve">intention to deceive was not proved in evidence.  His submissions ignored the fact that the code </w:t>
      </w:r>
      <w:r w:rsidR="00C32F13">
        <w:t>of</w:t>
      </w:r>
      <w:r w:rsidR="005D56DD">
        <w:t xml:space="preserve"> conduct gives a definition of fraud.  As stated in respondent’s heads of argument what was needed to be proved was unlawful and intentional misrepre</w:t>
      </w:r>
      <w:r w:rsidR="00872EC2">
        <w:t>se</w:t>
      </w:r>
      <w:r w:rsidR="005D56DD">
        <w:t>ntation</w:t>
      </w:r>
      <w:r w:rsidR="00772FAF">
        <w:t>, f</w:t>
      </w:r>
      <w:r w:rsidR="00872EC2">
        <w:t>alsification or attempt to falsify documents causing actual</w:t>
      </w:r>
      <w:r w:rsidR="00F6218F">
        <w:t xml:space="preserve"> or potential prejudice.</w:t>
      </w:r>
    </w:p>
    <w:p w:rsidR="00D104CA" w:rsidRDefault="00D104CA" w:rsidP="00CC270D">
      <w:pPr>
        <w:ind w:firstLine="720"/>
        <w:jc w:val="both"/>
      </w:pPr>
    </w:p>
    <w:p w:rsidR="00D104CA" w:rsidRDefault="00D104CA" w:rsidP="00846F0B">
      <w:pPr>
        <w:spacing w:line="360" w:lineRule="auto"/>
        <w:ind w:firstLine="720"/>
        <w:jc w:val="both"/>
      </w:pPr>
      <w:r>
        <w:t>The record of proceedings indicated that appellant admitted t</w:t>
      </w:r>
      <w:r w:rsidR="00BC04CA">
        <w:t>o have given a reconciliation of USD28 000.00 instead of USD22 000.00.  On being confronted with this by the Appeals Authority he stated on page 3 of the minutes of the Appeals authority.</w:t>
      </w:r>
    </w:p>
    <w:p w:rsidR="00BC04CA" w:rsidRPr="004179A2" w:rsidRDefault="00E83566" w:rsidP="004179A2">
      <w:pPr>
        <w:spacing w:line="276" w:lineRule="auto"/>
        <w:ind w:left="720"/>
        <w:jc w:val="both"/>
        <w:rPr>
          <w:sz w:val="22"/>
          <w:szCs w:val="22"/>
        </w:rPr>
      </w:pPr>
      <w:r w:rsidRPr="004179A2">
        <w:rPr>
          <w:sz w:val="22"/>
          <w:szCs w:val="22"/>
        </w:rPr>
        <w:t>“</w:t>
      </w:r>
      <w:r w:rsidR="001B601D" w:rsidRPr="004179A2">
        <w:rPr>
          <w:sz w:val="22"/>
          <w:szCs w:val="22"/>
        </w:rPr>
        <w:t>I</w:t>
      </w:r>
      <w:r w:rsidRPr="004179A2">
        <w:rPr>
          <w:sz w:val="22"/>
          <w:szCs w:val="22"/>
        </w:rPr>
        <w:t xml:space="preserve"> take responsibility for the USD6 000.00 that one you can say it was misappropriated …”</w:t>
      </w:r>
    </w:p>
    <w:p w:rsidR="001B601D" w:rsidRDefault="001B601D" w:rsidP="004179A2">
      <w:pPr>
        <w:ind w:firstLine="720"/>
        <w:jc w:val="both"/>
      </w:pPr>
    </w:p>
    <w:p w:rsidR="001B601D" w:rsidRDefault="001B601D" w:rsidP="00846F0B">
      <w:pPr>
        <w:spacing w:line="360" w:lineRule="auto"/>
        <w:ind w:firstLine="720"/>
        <w:jc w:val="both"/>
      </w:pPr>
      <w:r>
        <w:t xml:space="preserve">Whilst there is evidence that appellant did not follow proper procedures, the Appeals Authority cannot be faulted for confirming his guilt for fraud in the </w:t>
      </w:r>
      <w:r w:rsidR="00EE3ABC">
        <w:t xml:space="preserve">face of an admission to misappropriation.  Counsel for appellant seems to be challenging the standard of proof applied for the amount of </w:t>
      </w:r>
      <w:r w:rsidR="00D36AB5">
        <w:t xml:space="preserve">$10 000,00 that appellant was convicted of as well.  He submits that the evidence of </w:t>
      </w:r>
      <w:r w:rsidR="00D36AB5" w:rsidRPr="00C07EF4">
        <w:t xml:space="preserve">Nengomasha </w:t>
      </w:r>
      <w:r w:rsidR="00D36AB5">
        <w:t xml:space="preserve">from </w:t>
      </w:r>
      <w:r w:rsidR="00D36AB5" w:rsidRPr="00C07EF4">
        <w:t>Marple Electronics</w:t>
      </w:r>
      <w:r w:rsidR="00D36AB5">
        <w:t xml:space="preserve"> should not be relied on as he is not a credible witness.  This is to ignore the fact that the </w:t>
      </w:r>
      <w:r w:rsidR="00EE694E">
        <w:t>witness’ evidence</w:t>
      </w:r>
      <w:r w:rsidR="00C20038">
        <w:t xml:space="preserve"> was not challenged at all.  On page 3 of the minutes of the </w:t>
      </w:r>
      <w:r w:rsidR="00EE694E">
        <w:t>Disciplinary</w:t>
      </w:r>
      <w:r w:rsidR="00C20038">
        <w:t xml:space="preserve"> Hearing it is recorded that appellant refused to </w:t>
      </w:r>
      <w:r w:rsidR="00EE694E">
        <w:t>cross examine the witness.  The Appeals</w:t>
      </w:r>
      <w:r w:rsidR="000756E9">
        <w:t xml:space="preserve"> Authority cannot be faulted for finding that </w:t>
      </w:r>
      <w:r w:rsidR="005C369F">
        <w:t xml:space="preserve">on a balance of probabilities appellant facilitated the USD10 000.00 with fraudulent intentions.  It is trite that in civil matters the standard of proof is on a balance of probabilities.  See </w:t>
      </w:r>
      <w:r w:rsidR="005C369F" w:rsidRPr="005B261E">
        <w:rPr>
          <w:i/>
        </w:rPr>
        <w:t>Zimbabwe Financial Holdings</w:t>
      </w:r>
      <w:r w:rsidR="005C369F">
        <w:t xml:space="preserve"> </w:t>
      </w:r>
      <w:r w:rsidR="00AB7943">
        <w:t xml:space="preserve">v </w:t>
      </w:r>
      <w:r w:rsidR="00AB7943" w:rsidRPr="005B261E">
        <w:rPr>
          <w:i/>
        </w:rPr>
        <w:t>Mafunga</w:t>
      </w:r>
      <w:r w:rsidR="00AB7943">
        <w:t xml:space="preserve"> SC 45/05 </w:t>
      </w:r>
      <w:r w:rsidR="001D0A0F" w:rsidRPr="005B261E">
        <w:rPr>
          <w:i/>
        </w:rPr>
        <w:t>Insing Investments (Pvt) Ltd</w:t>
      </w:r>
      <w:r w:rsidR="001D0A0F">
        <w:t xml:space="preserve"> v </w:t>
      </w:r>
      <w:r w:rsidR="001D0A0F" w:rsidRPr="005B261E">
        <w:rPr>
          <w:i/>
        </w:rPr>
        <w:t>Cotton Company of Zimbabwe Limited</w:t>
      </w:r>
      <w:r w:rsidR="001D0A0F">
        <w:t xml:space="preserve"> H-H 440 – 2012.</w:t>
      </w:r>
    </w:p>
    <w:p w:rsidR="001D0A0F" w:rsidRDefault="001D0A0F" w:rsidP="006E2697">
      <w:pPr>
        <w:ind w:firstLine="720"/>
        <w:jc w:val="both"/>
      </w:pPr>
    </w:p>
    <w:p w:rsidR="001D0A0F" w:rsidRDefault="001D0A0F" w:rsidP="00846F0B">
      <w:pPr>
        <w:spacing w:line="360" w:lineRule="auto"/>
        <w:ind w:firstLine="720"/>
        <w:jc w:val="both"/>
      </w:pPr>
      <w:r>
        <w:t>The first and second grounds of appeal therefore have no merit and cannot succeed</w:t>
      </w:r>
      <w:r w:rsidR="00683854">
        <w:t>.  The third ground of appeal criticizes the Appeals Authority for dismissing the Appellant when the company did not suffer actual prejudice</w:t>
      </w:r>
      <w:r w:rsidR="004F3F8C">
        <w:t>.  Appellant in heads of argument argues that dismissal is a penalty of last resort.  He prays that the penalty of dismissal be substituted with a written w</w:t>
      </w:r>
      <w:r w:rsidR="00612BF1">
        <w:t>arning or demotion.  Appellant’s arguments ignore the decision</w:t>
      </w:r>
      <w:r w:rsidR="00A60D37">
        <w:t>s</w:t>
      </w:r>
      <w:r w:rsidR="00612BF1">
        <w:t xml:space="preserve"> of the Supreme Court on the matter.  These are amply set out in respondent’s heads of argument</w:t>
      </w:r>
      <w:r w:rsidR="00951FBE">
        <w:t>.  Counsel for appellant chose to ignore the principles set out in those cases and as pointed</w:t>
      </w:r>
      <w:r w:rsidR="00A60D37">
        <w:t xml:space="preserve"> out by respondent, such</w:t>
      </w:r>
      <w:r w:rsidR="00B501F3">
        <w:t xml:space="preserve"> an attitude is a clear waste of the court’s title</w:t>
      </w:r>
      <w:r w:rsidR="004E45B6">
        <w:t xml:space="preserve"> and a disservice to the client.  In the case of </w:t>
      </w:r>
      <w:r w:rsidR="004E45B6" w:rsidRPr="006E2697">
        <w:rPr>
          <w:i/>
        </w:rPr>
        <w:t>Innscor</w:t>
      </w:r>
      <w:r w:rsidR="004E45B6">
        <w:t xml:space="preserve"> v </w:t>
      </w:r>
      <w:r w:rsidR="004E45B6" w:rsidRPr="006E2697">
        <w:rPr>
          <w:i/>
        </w:rPr>
        <w:t xml:space="preserve">Chimoto </w:t>
      </w:r>
      <w:r w:rsidR="004E45B6">
        <w:t>SC 9/12 the court held that the issue of prejudice was irrelevant to the assessment of an appropriate penalty.  It is also trite that where the miscond</w:t>
      </w:r>
      <w:r w:rsidR="00CB1085">
        <w:t xml:space="preserve">uct goes to the root of the employment relationship, the employer is entitled to dismiss the employee.  See </w:t>
      </w:r>
      <w:r w:rsidR="00CB1085" w:rsidRPr="006E2697">
        <w:rPr>
          <w:i/>
        </w:rPr>
        <w:t>Mashonalan</w:t>
      </w:r>
      <w:r w:rsidR="00AD5864" w:rsidRPr="006E2697">
        <w:rPr>
          <w:i/>
        </w:rPr>
        <w:t>d</w:t>
      </w:r>
      <w:r w:rsidR="00CB1085" w:rsidRPr="006E2697">
        <w:rPr>
          <w:i/>
        </w:rPr>
        <w:t xml:space="preserve"> Turf Club</w:t>
      </w:r>
      <w:r w:rsidR="00CB1085">
        <w:t xml:space="preserve"> v </w:t>
      </w:r>
      <w:r w:rsidR="00952963" w:rsidRPr="006E2697">
        <w:rPr>
          <w:i/>
        </w:rPr>
        <w:t>Mutangadura</w:t>
      </w:r>
      <w:r w:rsidR="00952963">
        <w:t xml:space="preserve"> SC 5/12 </w:t>
      </w:r>
      <w:r w:rsidR="00952963" w:rsidRPr="006E2697">
        <w:rPr>
          <w:i/>
        </w:rPr>
        <w:t>Tregers Plastics (Pvt) Ltd</w:t>
      </w:r>
      <w:r w:rsidR="00952963">
        <w:t xml:space="preserve"> v </w:t>
      </w:r>
      <w:r w:rsidR="00952963" w:rsidRPr="006E2697">
        <w:rPr>
          <w:i/>
        </w:rPr>
        <w:t>Sibanda and Another</w:t>
      </w:r>
      <w:r w:rsidR="00952963">
        <w:t xml:space="preserve"> SC 22/12.  In </w:t>
      </w:r>
      <w:r w:rsidR="00952963" w:rsidRPr="006E2697">
        <w:rPr>
          <w:i/>
        </w:rPr>
        <w:t>Toyota Zimbabwe</w:t>
      </w:r>
      <w:r w:rsidR="00952963">
        <w:t xml:space="preserve"> v </w:t>
      </w:r>
      <w:r w:rsidR="0002190F" w:rsidRPr="006E2697">
        <w:rPr>
          <w:i/>
        </w:rPr>
        <w:t>Richard P</w:t>
      </w:r>
      <w:r w:rsidR="00AD5864" w:rsidRPr="006E2697">
        <w:rPr>
          <w:i/>
        </w:rPr>
        <w:t>a</w:t>
      </w:r>
      <w:r w:rsidR="0002190F" w:rsidRPr="006E2697">
        <w:rPr>
          <w:i/>
        </w:rPr>
        <w:t>si</w:t>
      </w:r>
      <w:r w:rsidR="0002190F">
        <w:t xml:space="preserve"> SC 55/07 the Supreme Court held that dismissal was appropriate even for a first offender.  Appellant’s arguments against the penalty of dismissal are therefore without a sound legal basis and cannot succeed.</w:t>
      </w:r>
    </w:p>
    <w:p w:rsidR="006A15EB" w:rsidRDefault="006A15EB" w:rsidP="006A15EB">
      <w:pPr>
        <w:spacing w:line="360" w:lineRule="auto"/>
        <w:jc w:val="both"/>
      </w:pPr>
    </w:p>
    <w:p w:rsidR="006A15EB" w:rsidRDefault="006A15EB" w:rsidP="006A15EB">
      <w:pPr>
        <w:spacing w:line="360" w:lineRule="auto"/>
        <w:jc w:val="both"/>
      </w:pPr>
      <w:r>
        <w:lastRenderedPageBreak/>
        <w:t>Accordingly the appeal has no merit and the following order is appropriate.</w:t>
      </w:r>
    </w:p>
    <w:p w:rsidR="006A15EB" w:rsidRDefault="006A15EB" w:rsidP="006E2697">
      <w:pPr>
        <w:jc w:val="both"/>
      </w:pPr>
    </w:p>
    <w:p w:rsidR="006A15EB" w:rsidRDefault="006A15EB" w:rsidP="006A15EB">
      <w:pPr>
        <w:spacing w:line="360" w:lineRule="auto"/>
        <w:jc w:val="both"/>
      </w:pPr>
      <w:r>
        <w:t xml:space="preserve">The appeal be and is hereby dismissed with costs for </w:t>
      </w:r>
      <w:r w:rsidR="004405F1">
        <w:t>lack</w:t>
      </w:r>
      <w:r>
        <w:t xml:space="preserve"> of merit.</w:t>
      </w:r>
    </w:p>
    <w:p w:rsidR="004405F1" w:rsidRDefault="004405F1" w:rsidP="006A15EB">
      <w:pPr>
        <w:spacing w:line="360" w:lineRule="auto"/>
        <w:jc w:val="both"/>
      </w:pPr>
    </w:p>
    <w:p w:rsidR="004405F1" w:rsidRDefault="004405F1" w:rsidP="006A15EB">
      <w:pPr>
        <w:spacing w:line="360" w:lineRule="auto"/>
        <w:jc w:val="both"/>
      </w:pPr>
    </w:p>
    <w:p w:rsidR="004405F1" w:rsidRDefault="004405F1" w:rsidP="006A15EB">
      <w:pPr>
        <w:spacing w:line="360" w:lineRule="auto"/>
        <w:jc w:val="both"/>
      </w:pPr>
      <w:r w:rsidRPr="000A6889">
        <w:rPr>
          <w:i/>
        </w:rPr>
        <w:t>Maunga Maanda &amp; Associates</w:t>
      </w:r>
      <w:r>
        <w:t>, applicant’s legal practitioners</w:t>
      </w:r>
    </w:p>
    <w:p w:rsidR="004405F1" w:rsidRPr="000A6889" w:rsidRDefault="000A6889" w:rsidP="006A15EB">
      <w:pPr>
        <w:spacing w:line="360" w:lineRule="auto"/>
        <w:jc w:val="both"/>
        <w:rPr>
          <w:lang w:val="en-ZW"/>
        </w:rPr>
      </w:pPr>
      <w:r w:rsidRPr="000A6889">
        <w:rPr>
          <w:i/>
        </w:rPr>
        <w:t xml:space="preserve">Dube Manikai </w:t>
      </w:r>
      <w:r w:rsidRPr="000A6889">
        <w:rPr>
          <w:i/>
          <w:lang w:val="en-ZW"/>
        </w:rPr>
        <w:t>&amp; Hwacha</w:t>
      </w:r>
      <w:r>
        <w:rPr>
          <w:lang w:val="en-ZW"/>
        </w:rPr>
        <w:t>, respondent’s legal practitioners</w:t>
      </w:r>
    </w:p>
    <w:p w:rsidR="00D104CA" w:rsidRDefault="00D104CA" w:rsidP="00846F0B">
      <w:pPr>
        <w:spacing w:line="360" w:lineRule="auto"/>
        <w:ind w:firstLine="720"/>
        <w:jc w:val="both"/>
      </w:pPr>
    </w:p>
    <w:p w:rsidR="00D104CA" w:rsidRDefault="00D104CA" w:rsidP="00846F0B">
      <w:pPr>
        <w:spacing w:line="360" w:lineRule="auto"/>
        <w:ind w:firstLine="720"/>
        <w:jc w:val="both"/>
      </w:pPr>
    </w:p>
    <w:sectPr w:rsidR="00D104CA" w:rsidSect="0082308D">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296" w:rsidRDefault="00BA7296" w:rsidP="0082308D">
      <w:r>
        <w:separator/>
      </w:r>
    </w:p>
  </w:endnote>
  <w:endnote w:type="continuationSeparator" w:id="0">
    <w:p w:rsidR="00BA7296" w:rsidRDefault="00BA7296" w:rsidP="00823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8203812"/>
      <w:docPartObj>
        <w:docPartGallery w:val="Page Numbers (Bottom of Page)"/>
        <w:docPartUnique/>
      </w:docPartObj>
    </w:sdtPr>
    <w:sdtEndPr>
      <w:rPr>
        <w:noProof/>
      </w:rPr>
    </w:sdtEndPr>
    <w:sdtContent>
      <w:p w:rsidR="004405F1" w:rsidRDefault="004405F1">
        <w:pPr>
          <w:pStyle w:val="Footer"/>
          <w:jc w:val="center"/>
        </w:pPr>
        <w:r>
          <w:fldChar w:fldCharType="begin"/>
        </w:r>
        <w:r>
          <w:instrText xml:space="preserve"> PAGE   \* MERGEFORMAT </w:instrText>
        </w:r>
        <w:r>
          <w:fldChar w:fldCharType="separate"/>
        </w:r>
        <w:r w:rsidR="002F1496">
          <w:rPr>
            <w:noProof/>
          </w:rPr>
          <w:t>4</w:t>
        </w:r>
        <w:r>
          <w:rPr>
            <w:noProof/>
          </w:rPr>
          <w:fldChar w:fldCharType="end"/>
        </w:r>
      </w:p>
    </w:sdtContent>
  </w:sdt>
  <w:p w:rsidR="004405F1" w:rsidRDefault="004405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296" w:rsidRDefault="00BA7296" w:rsidP="0082308D">
      <w:r>
        <w:separator/>
      </w:r>
    </w:p>
  </w:footnote>
  <w:footnote w:type="continuationSeparator" w:id="0">
    <w:p w:rsidR="00BA7296" w:rsidRDefault="00BA7296" w:rsidP="008230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5F1" w:rsidRPr="0082308D" w:rsidRDefault="004405F1">
    <w:pPr>
      <w:pStyle w:val="Header"/>
      <w:rPr>
        <w:lang w:val="en-ZW"/>
      </w:rPr>
    </w:pPr>
    <w:r>
      <w:rPr>
        <w:lang w:val="en-ZW"/>
      </w:rPr>
      <w:tab/>
    </w:r>
    <w:r>
      <w:rPr>
        <w:lang w:val="en-ZW"/>
      </w:rPr>
      <w:tab/>
      <w:t>JUDGMENT NO. LC/H/</w:t>
    </w:r>
    <w:r w:rsidR="00AE1EEA">
      <w:rPr>
        <w:lang w:val="en-ZW"/>
      </w:rPr>
      <w:t>153</w:t>
    </w:r>
    <w:r>
      <w:rPr>
        <w:lang w:val="en-ZW"/>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D2E00"/>
    <w:multiLevelType w:val="hybridMultilevel"/>
    <w:tmpl w:val="7F32104A"/>
    <w:lvl w:ilvl="0" w:tplc="7E64393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B8C"/>
    <w:rsid w:val="0002190F"/>
    <w:rsid w:val="00047C46"/>
    <w:rsid w:val="000756E9"/>
    <w:rsid w:val="000A6889"/>
    <w:rsid w:val="001A6B20"/>
    <w:rsid w:val="001B601D"/>
    <w:rsid w:val="001D0A0F"/>
    <w:rsid w:val="002F1496"/>
    <w:rsid w:val="004179A2"/>
    <w:rsid w:val="004405F1"/>
    <w:rsid w:val="00451BF4"/>
    <w:rsid w:val="00473159"/>
    <w:rsid w:val="004751FC"/>
    <w:rsid w:val="00476E18"/>
    <w:rsid w:val="004B12B5"/>
    <w:rsid w:val="004D4530"/>
    <w:rsid w:val="004E45B6"/>
    <w:rsid w:val="004F3F8C"/>
    <w:rsid w:val="00517BB5"/>
    <w:rsid w:val="005B261E"/>
    <w:rsid w:val="005C369F"/>
    <w:rsid w:val="005D56DD"/>
    <w:rsid w:val="00612BF1"/>
    <w:rsid w:val="00683854"/>
    <w:rsid w:val="006A15EB"/>
    <w:rsid w:val="006E2697"/>
    <w:rsid w:val="00772FAF"/>
    <w:rsid w:val="0082308D"/>
    <w:rsid w:val="00846F0B"/>
    <w:rsid w:val="00872EC2"/>
    <w:rsid w:val="008F30B0"/>
    <w:rsid w:val="008F4E3E"/>
    <w:rsid w:val="00927B8C"/>
    <w:rsid w:val="00951FBE"/>
    <w:rsid w:val="00952963"/>
    <w:rsid w:val="009C1BED"/>
    <w:rsid w:val="00A60D37"/>
    <w:rsid w:val="00A83671"/>
    <w:rsid w:val="00AB7943"/>
    <w:rsid w:val="00AD5864"/>
    <w:rsid w:val="00AE1EEA"/>
    <w:rsid w:val="00B501F3"/>
    <w:rsid w:val="00BA570C"/>
    <w:rsid w:val="00BA7296"/>
    <w:rsid w:val="00BC04CA"/>
    <w:rsid w:val="00C07EF4"/>
    <w:rsid w:val="00C20038"/>
    <w:rsid w:val="00C32F13"/>
    <w:rsid w:val="00CB1085"/>
    <w:rsid w:val="00CB5AAD"/>
    <w:rsid w:val="00CC270D"/>
    <w:rsid w:val="00D104CA"/>
    <w:rsid w:val="00D245E9"/>
    <w:rsid w:val="00D36AB5"/>
    <w:rsid w:val="00DC1DB4"/>
    <w:rsid w:val="00E41831"/>
    <w:rsid w:val="00E4426B"/>
    <w:rsid w:val="00E83566"/>
    <w:rsid w:val="00EE3ABC"/>
    <w:rsid w:val="00EE694E"/>
    <w:rsid w:val="00F24934"/>
    <w:rsid w:val="00F41766"/>
    <w:rsid w:val="00F6218F"/>
    <w:rsid w:val="00F96E1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B8C"/>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5AAD"/>
    <w:pPr>
      <w:ind w:left="720"/>
      <w:contextualSpacing/>
    </w:pPr>
  </w:style>
  <w:style w:type="paragraph" w:styleId="Header">
    <w:name w:val="header"/>
    <w:basedOn w:val="Normal"/>
    <w:link w:val="HeaderChar"/>
    <w:uiPriority w:val="99"/>
    <w:unhideWhenUsed/>
    <w:rsid w:val="0082308D"/>
    <w:pPr>
      <w:tabs>
        <w:tab w:val="center" w:pos="4513"/>
        <w:tab w:val="right" w:pos="9026"/>
      </w:tabs>
    </w:pPr>
  </w:style>
  <w:style w:type="character" w:customStyle="1" w:styleId="HeaderChar">
    <w:name w:val="Header Char"/>
    <w:basedOn w:val="DefaultParagraphFont"/>
    <w:link w:val="Header"/>
    <w:uiPriority w:val="99"/>
    <w:rsid w:val="0082308D"/>
    <w:rPr>
      <w:rFonts w:ascii="Tahoma" w:eastAsia="Times New Roman" w:hAnsi="Tahoma" w:cs="Times New Roman"/>
      <w:sz w:val="24"/>
      <w:szCs w:val="24"/>
      <w:lang w:val="en-US"/>
    </w:rPr>
  </w:style>
  <w:style w:type="paragraph" w:styleId="Footer">
    <w:name w:val="footer"/>
    <w:basedOn w:val="Normal"/>
    <w:link w:val="FooterChar"/>
    <w:uiPriority w:val="99"/>
    <w:unhideWhenUsed/>
    <w:rsid w:val="0082308D"/>
    <w:pPr>
      <w:tabs>
        <w:tab w:val="center" w:pos="4513"/>
        <w:tab w:val="right" w:pos="9026"/>
      </w:tabs>
    </w:pPr>
  </w:style>
  <w:style w:type="character" w:customStyle="1" w:styleId="FooterChar">
    <w:name w:val="Footer Char"/>
    <w:basedOn w:val="DefaultParagraphFont"/>
    <w:link w:val="Footer"/>
    <w:uiPriority w:val="99"/>
    <w:rsid w:val="0082308D"/>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4D4530"/>
    <w:rPr>
      <w:rFonts w:cs="Tahoma"/>
      <w:sz w:val="16"/>
      <w:szCs w:val="16"/>
    </w:rPr>
  </w:style>
  <w:style w:type="character" w:customStyle="1" w:styleId="BalloonTextChar">
    <w:name w:val="Balloon Text Char"/>
    <w:basedOn w:val="DefaultParagraphFont"/>
    <w:link w:val="BalloonText"/>
    <w:uiPriority w:val="99"/>
    <w:semiHidden/>
    <w:rsid w:val="004D4530"/>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B8C"/>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5AAD"/>
    <w:pPr>
      <w:ind w:left="720"/>
      <w:contextualSpacing/>
    </w:pPr>
  </w:style>
  <w:style w:type="paragraph" w:styleId="Header">
    <w:name w:val="header"/>
    <w:basedOn w:val="Normal"/>
    <w:link w:val="HeaderChar"/>
    <w:uiPriority w:val="99"/>
    <w:unhideWhenUsed/>
    <w:rsid w:val="0082308D"/>
    <w:pPr>
      <w:tabs>
        <w:tab w:val="center" w:pos="4513"/>
        <w:tab w:val="right" w:pos="9026"/>
      </w:tabs>
    </w:pPr>
  </w:style>
  <w:style w:type="character" w:customStyle="1" w:styleId="HeaderChar">
    <w:name w:val="Header Char"/>
    <w:basedOn w:val="DefaultParagraphFont"/>
    <w:link w:val="Header"/>
    <w:uiPriority w:val="99"/>
    <w:rsid w:val="0082308D"/>
    <w:rPr>
      <w:rFonts w:ascii="Tahoma" w:eastAsia="Times New Roman" w:hAnsi="Tahoma" w:cs="Times New Roman"/>
      <w:sz w:val="24"/>
      <w:szCs w:val="24"/>
      <w:lang w:val="en-US"/>
    </w:rPr>
  </w:style>
  <w:style w:type="paragraph" w:styleId="Footer">
    <w:name w:val="footer"/>
    <w:basedOn w:val="Normal"/>
    <w:link w:val="FooterChar"/>
    <w:uiPriority w:val="99"/>
    <w:unhideWhenUsed/>
    <w:rsid w:val="0082308D"/>
    <w:pPr>
      <w:tabs>
        <w:tab w:val="center" w:pos="4513"/>
        <w:tab w:val="right" w:pos="9026"/>
      </w:tabs>
    </w:pPr>
  </w:style>
  <w:style w:type="character" w:customStyle="1" w:styleId="FooterChar">
    <w:name w:val="Footer Char"/>
    <w:basedOn w:val="DefaultParagraphFont"/>
    <w:link w:val="Footer"/>
    <w:uiPriority w:val="99"/>
    <w:rsid w:val="0082308D"/>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4D4530"/>
    <w:rPr>
      <w:rFonts w:cs="Tahoma"/>
      <w:sz w:val="16"/>
      <w:szCs w:val="16"/>
    </w:rPr>
  </w:style>
  <w:style w:type="character" w:customStyle="1" w:styleId="BalloonTextChar">
    <w:name w:val="Balloon Text Char"/>
    <w:basedOn w:val="DefaultParagraphFont"/>
    <w:link w:val="BalloonText"/>
    <w:uiPriority w:val="99"/>
    <w:semiHidden/>
    <w:rsid w:val="004D4530"/>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914</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23</cp:revision>
  <cp:lastPrinted>2016-03-09T07:28:00Z</cp:lastPrinted>
  <dcterms:created xsi:type="dcterms:W3CDTF">2016-03-04T13:15:00Z</dcterms:created>
  <dcterms:modified xsi:type="dcterms:W3CDTF">2016-03-09T07:30:00Z</dcterms:modified>
</cp:coreProperties>
</file>