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BC" w:rsidRDefault="00B300BC" w:rsidP="00B300BC">
      <w:pPr>
        <w:spacing w:line="360" w:lineRule="auto"/>
        <w:jc w:val="both"/>
        <w:rPr>
          <w:b/>
          <w:sz w:val="22"/>
          <w:szCs w:val="22"/>
        </w:rPr>
      </w:pPr>
      <w:r>
        <w:rPr>
          <w:b/>
          <w:sz w:val="22"/>
          <w:szCs w:val="22"/>
        </w:rPr>
        <w:t>IN THE LABOUR COURT OF ZIMBABWE</w:t>
      </w:r>
      <w:r>
        <w:rPr>
          <w:b/>
          <w:sz w:val="22"/>
          <w:szCs w:val="22"/>
        </w:rPr>
        <w:tab/>
        <w:t xml:space="preserve">                 JUDGMENT NO. LC/H/</w:t>
      </w:r>
      <w:r w:rsidR="002870F8">
        <w:rPr>
          <w:b/>
          <w:sz w:val="22"/>
          <w:szCs w:val="22"/>
        </w:rPr>
        <w:t>783</w:t>
      </w:r>
      <w:r>
        <w:rPr>
          <w:b/>
          <w:sz w:val="22"/>
          <w:szCs w:val="22"/>
        </w:rPr>
        <w:t>/2016</w:t>
      </w:r>
    </w:p>
    <w:p w:rsidR="00B300BC" w:rsidRDefault="00B300BC" w:rsidP="00B300BC">
      <w:pPr>
        <w:spacing w:line="360" w:lineRule="auto"/>
        <w:jc w:val="both"/>
        <w:rPr>
          <w:b/>
          <w:sz w:val="22"/>
          <w:szCs w:val="22"/>
        </w:rPr>
      </w:pPr>
      <w:proofErr w:type="gramStart"/>
      <w:r>
        <w:rPr>
          <w:b/>
          <w:sz w:val="22"/>
          <w:szCs w:val="22"/>
        </w:rPr>
        <w:t>HARARE, 30 SEPTMBER 2016</w:t>
      </w:r>
      <w:r>
        <w:rPr>
          <w:b/>
          <w:sz w:val="22"/>
          <w:szCs w:val="22"/>
        </w:rPr>
        <w:tab/>
      </w:r>
      <w:r>
        <w:rPr>
          <w:b/>
          <w:sz w:val="22"/>
          <w:szCs w:val="22"/>
        </w:rPr>
        <w:tab/>
      </w:r>
      <w:r>
        <w:rPr>
          <w:b/>
          <w:sz w:val="22"/>
          <w:szCs w:val="22"/>
        </w:rPr>
        <w:tab/>
        <w:t xml:space="preserve">          </w:t>
      </w:r>
      <w:r w:rsidR="002870F8">
        <w:rPr>
          <w:b/>
          <w:sz w:val="22"/>
          <w:szCs w:val="22"/>
        </w:rPr>
        <w:t xml:space="preserve">  </w:t>
      </w:r>
      <w:r>
        <w:rPr>
          <w:b/>
          <w:sz w:val="22"/>
          <w:szCs w:val="22"/>
        </w:rPr>
        <w:t>CASE NO.</w:t>
      </w:r>
      <w:proofErr w:type="gramEnd"/>
      <w:r>
        <w:rPr>
          <w:b/>
          <w:sz w:val="22"/>
          <w:szCs w:val="22"/>
        </w:rPr>
        <w:t xml:space="preserve"> LC/H/LRA/48/16</w:t>
      </w:r>
    </w:p>
    <w:p w:rsidR="00B300BC" w:rsidRDefault="00B300BC" w:rsidP="00B300BC">
      <w:pPr>
        <w:spacing w:line="360" w:lineRule="auto"/>
        <w:jc w:val="both"/>
        <w:rPr>
          <w:b/>
          <w:sz w:val="22"/>
          <w:szCs w:val="22"/>
        </w:rPr>
      </w:pPr>
      <w:r>
        <w:rPr>
          <w:b/>
          <w:sz w:val="22"/>
          <w:szCs w:val="22"/>
        </w:rPr>
        <w:t xml:space="preserve">AND </w:t>
      </w:r>
      <w:r w:rsidR="00E456C4">
        <w:rPr>
          <w:b/>
          <w:sz w:val="22"/>
          <w:szCs w:val="22"/>
        </w:rPr>
        <w:t>9</w:t>
      </w:r>
      <w:r w:rsidR="002870F8">
        <w:rPr>
          <w:b/>
          <w:sz w:val="22"/>
          <w:szCs w:val="22"/>
        </w:rPr>
        <w:t xml:space="preserve"> DECEMBER </w:t>
      </w:r>
      <w:r>
        <w:rPr>
          <w:b/>
          <w:sz w:val="22"/>
          <w:szCs w:val="22"/>
        </w:rPr>
        <w:t>2016</w:t>
      </w:r>
    </w:p>
    <w:p w:rsidR="00B300BC" w:rsidRDefault="00B300BC" w:rsidP="00B300BC">
      <w:pPr>
        <w:spacing w:line="360" w:lineRule="auto"/>
        <w:jc w:val="both"/>
      </w:pPr>
      <w:r>
        <w:t>In the matter between:-</w:t>
      </w:r>
      <w:bookmarkStart w:id="0" w:name="_GoBack"/>
      <w:bookmarkEnd w:id="0"/>
    </w:p>
    <w:p w:rsidR="00B300BC" w:rsidRDefault="00B300BC" w:rsidP="00B300BC">
      <w:pPr>
        <w:spacing w:line="360" w:lineRule="auto"/>
        <w:jc w:val="both"/>
      </w:pPr>
    </w:p>
    <w:p w:rsidR="00B300BC" w:rsidRDefault="00B300BC" w:rsidP="00B300BC">
      <w:pPr>
        <w:spacing w:line="360" w:lineRule="auto"/>
        <w:jc w:val="both"/>
        <w:rPr>
          <w:b/>
        </w:rPr>
      </w:pPr>
      <w:r>
        <w:rPr>
          <w:b/>
        </w:rPr>
        <w:t xml:space="preserve">ELVIS MACHIKITI </w:t>
      </w:r>
      <w:r w:rsidR="00F32976">
        <w:rPr>
          <w:b/>
        </w:rPr>
        <w:t>(DESIGNATED AGENT)</w:t>
      </w:r>
      <w:r w:rsidR="00F32976">
        <w:rPr>
          <w:b/>
        </w:rPr>
        <w:tab/>
      </w:r>
      <w:r w:rsidR="00F32976">
        <w:rPr>
          <w:b/>
        </w:rPr>
        <w:tab/>
      </w:r>
      <w:r w:rsidR="00F32976">
        <w:rPr>
          <w:b/>
        </w:rPr>
        <w:tab/>
      </w:r>
      <w:r>
        <w:rPr>
          <w:b/>
        </w:rPr>
        <w:t xml:space="preserve">Applicant </w:t>
      </w:r>
    </w:p>
    <w:p w:rsidR="00B300BC" w:rsidRDefault="00B300BC" w:rsidP="00B300BC">
      <w:pPr>
        <w:spacing w:line="360" w:lineRule="auto"/>
        <w:jc w:val="both"/>
        <w:rPr>
          <w:sz w:val="22"/>
          <w:szCs w:val="22"/>
        </w:rPr>
      </w:pPr>
      <w:r>
        <w:rPr>
          <w:sz w:val="22"/>
          <w:szCs w:val="22"/>
        </w:rPr>
        <w:t>And</w:t>
      </w:r>
    </w:p>
    <w:p w:rsidR="00B300BC" w:rsidRDefault="00810E30" w:rsidP="00B300BC">
      <w:pPr>
        <w:spacing w:line="360" w:lineRule="auto"/>
        <w:jc w:val="both"/>
        <w:rPr>
          <w:b/>
        </w:rPr>
      </w:pPr>
      <w:r>
        <w:rPr>
          <w:b/>
        </w:rPr>
        <w:t>LYONS ZIMBABWE</w:t>
      </w:r>
      <w:r w:rsidR="00B300BC">
        <w:rPr>
          <w:b/>
        </w:rPr>
        <w:tab/>
      </w:r>
      <w:r w:rsidR="00B300BC">
        <w:rPr>
          <w:b/>
        </w:rPr>
        <w:tab/>
      </w:r>
      <w:r w:rsidR="00B300BC">
        <w:rPr>
          <w:b/>
        </w:rPr>
        <w:tab/>
      </w:r>
      <w:r w:rsidR="00B300BC">
        <w:rPr>
          <w:b/>
        </w:rPr>
        <w:tab/>
      </w:r>
      <w:r w:rsidR="00B300BC">
        <w:rPr>
          <w:b/>
        </w:rPr>
        <w:tab/>
      </w:r>
      <w:r w:rsidR="00B300BC">
        <w:rPr>
          <w:b/>
        </w:rPr>
        <w:tab/>
      </w:r>
      <w:r>
        <w:rPr>
          <w:b/>
        </w:rPr>
        <w:t>1</w:t>
      </w:r>
      <w:r w:rsidRPr="00810E30">
        <w:rPr>
          <w:b/>
          <w:vertAlign w:val="superscript"/>
        </w:rPr>
        <w:t>st</w:t>
      </w:r>
      <w:r>
        <w:rPr>
          <w:b/>
        </w:rPr>
        <w:t xml:space="preserve"> </w:t>
      </w:r>
      <w:r w:rsidR="00B300BC">
        <w:rPr>
          <w:b/>
        </w:rPr>
        <w:t>Respondent</w:t>
      </w:r>
    </w:p>
    <w:p w:rsidR="00810E30" w:rsidRDefault="00810E30" w:rsidP="00B300BC">
      <w:pPr>
        <w:spacing w:line="360" w:lineRule="auto"/>
        <w:jc w:val="both"/>
      </w:pPr>
      <w:r w:rsidRPr="00810E30">
        <w:t>A</w:t>
      </w:r>
      <w:r w:rsidR="00100928">
        <w:t>nd</w:t>
      </w:r>
    </w:p>
    <w:p w:rsidR="00100928" w:rsidRPr="00100928" w:rsidRDefault="00100928" w:rsidP="00B300BC">
      <w:pPr>
        <w:spacing w:line="360" w:lineRule="auto"/>
        <w:jc w:val="both"/>
        <w:rPr>
          <w:b/>
        </w:rPr>
      </w:pPr>
      <w:r>
        <w:rPr>
          <w:b/>
        </w:rPr>
        <w:t>CHAIN RUZVIDZO</w:t>
      </w:r>
      <w:r w:rsidR="00F32976">
        <w:rPr>
          <w:b/>
        </w:rPr>
        <w:tab/>
      </w:r>
      <w:r w:rsidR="00F32976">
        <w:rPr>
          <w:b/>
        </w:rPr>
        <w:tab/>
      </w:r>
      <w:r w:rsidR="00F32976">
        <w:rPr>
          <w:b/>
        </w:rPr>
        <w:tab/>
      </w:r>
      <w:r w:rsidR="00F32976">
        <w:rPr>
          <w:b/>
        </w:rPr>
        <w:tab/>
      </w:r>
      <w:r w:rsidR="00F32976">
        <w:rPr>
          <w:b/>
        </w:rPr>
        <w:tab/>
      </w:r>
      <w:r w:rsidR="00F32976">
        <w:rPr>
          <w:b/>
        </w:rPr>
        <w:tab/>
        <w:t>2</w:t>
      </w:r>
      <w:r w:rsidR="00F32976" w:rsidRPr="00F32976">
        <w:rPr>
          <w:b/>
          <w:vertAlign w:val="superscript"/>
        </w:rPr>
        <w:t>nd</w:t>
      </w:r>
      <w:r w:rsidR="00F32976">
        <w:rPr>
          <w:b/>
        </w:rPr>
        <w:t xml:space="preserve"> Respondent</w:t>
      </w:r>
    </w:p>
    <w:p w:rsidR="00B300BC" w:rsidRDefault="00B300BC" w:rsidP="00B300BC">
      <w:pPr>
        <w:spacing w:line="360" w:lineRule="auto"/>
        <w:jc w:val="both"/>
        <w:rPr>
          <w:b/>
        </w:rPr>
      </w:pPr>
    </w:p>
    <w:p w:rsidR="00B300BC" w:rsidRDefault="00B300BC" w:rsidP="00B300BC">
      <w:pPr>
        <w:spacing w:line="360" w:lineRule="auto"/>
        <w:jc w:val="both"/>
      </w:pPr>
      <w:r>
        <w:t>Before The Honourable F.C. Maxwell, Judge</w:t>
      </w:r>
    </w:p>
    <w:p w:rsidR="00B300BC" w:rsidRDefault="00B300BC" w:rsidP="00B300BC">
      <w:pPr>
        <w:spacing w:line="360" w:lineRule="auto"/>
        <w:jc w:val="both"/>
      </w:pPr>
    </w:p>
    <w:p w:rsidR="00B300BC" w:rsidRDefault="00B300BC" w:rsidP="00B300BC">
      <w:pPr>
        <w:spacing w:line="360" w:lineRule="auto"/>
        <w:jc w:val="both"/>
        <w:rPr>
          <w:b/>
        </w:rPr>
      </w:pPr>
      <w:r>
        <w:rPr>
          <w:b/>
        </w:rPr>
        <w:t>Applicant</w:t>
      </w:r>
      <w:r w:rsidR="00A17CBB">
        <w:rPr>
          <w:b/>
        </w:rPr>
        <w:tab/>
      </w:r>
      <w:r w:rsidR="00A17CBB">
        <w:rPr>
          <w:b/>
        </w:rPr>
        <w:tab/>
      </w:r>
      <w:r w:rsidR="00A17CBB">
        <w:rPr>
          <w:b/>
        </w:rPr>
        <w:tab/>
        <w:t>In person</w:t>
      </w:r>
      <w:r>
        <w:rPr>
          <w:b/>
        </w:rPr>
        <w:tab/>
      </w:r>
      <w:r>
        <w:rPr>
          <w:b/>
        </w:rPr>
        <w:tab/>
      </w:r>
      <w:r>
        <w:rPr>
          <w:b/>
        </w:rPr>
        <w:tab/>
      </w:r>
    </w:p>
    <w:p w:rsidR="007704CB" w:rsidRDefault="00B300BC" w:rsidP="00B300BC">
      <w:pPr>
        <w:spacing w:line="360" w:lineRule="auto"/>
        <w:jc w:val="both"/>
        <w:rPr>
          <w:b/>
        </w:rPr>
      </w:pPr>
      <w:r>
        <w:rPr>
          <w:b/>
        </w:rPr>
        <w:t xml:space="preserve">For </w:t>
      </w:r>
      <w:r w:rsidR="007704CB">
        <w:rPr>
          <w:b/>
        </w:rPr>
        <w:t>1</w:t>
      </w:r>
      <w:r w:rsidR="007704CB" w:rsidRPr="007704CB">
        <w:rPr>
          <w:b/>
          <w:vertAlign w:val="superscript"/>
        </w:rPr>
        <w:t>st</w:t>
      </w:r>
      <w:r w:rsidR="007704CB">
        <w:rPr>
          <w:b/>
        </w:rPr>
        <w:t xml:space="preserve"> </w:t>
      </w:r>
      <w:r>
        <w:rPr>
          <w:b/>
        </w:rPr>
        <w:t>Respondent</w:t>
      </w:r>
      <w:r w:rsidR="007704CB">
        <w:rPr>
          <w:b/>
        </w:rPr>
        <w:tab/>
      </w:r>
      <w:proofErr w:type="spellStart"/>
      <w:r w:rsidR="00A17CBB">
        <w:rPr>
          <w:b/>
        </w:rPr>
        <w:t>Mr</w:t>
      </w:r>
      <w:proofErr w:type="spellEnd"/>
      <w:r w:rsidR="00A17CBB">
        <w:rPr>
          <w:b/>
        </w:rPr>
        <w:t xml:space="preserve"> T. Marume (Legal Practitioner)</w:t>
      </w:r>
    </w:p>
    <w:p w:rsidR="00B300BC" w:rsidRDefault="007704CB" w:rsidP="00B300BC">
      <w:pPr>
        <w:spacing w:line="360" w:lineRule="auto"/>
        <w:jc w:val="both"/>
        <w:rPr>
          <w:b/>
        </w:rPr>
      </w:pPr>
      <w:r>
        <w:rPr>
          <w:b/>
        </w:rPr>
        <w:t>2</w:t>
      </w:r>
      <w:r w:rsidRPr="007704CB">
        <w:rPr>
          <w:b/>
          <w:vertAlign w:val="superscript"/>
        </w:rPr>
        <w:t>nd</w:t>
      </w:r>
      <w:r>
        <w:rPr>
          <w:b/>
        </w:rPr>
        <w:t xml:space="preserve"> Respondent</w:t>
      </w:r>
      <w:r>
        <w:rPr>
          <w:b/>
        </w:rPr>
        <w:tab/>
      </w:r>
      <w:r>
        <w:rPr>
          <w:b/>
        </w:rPr>
        <w:tab/>
        <w:t>In default</w:t>
      </w:r>
      <w:r w:rsidR="00B300BC">
        <w:rPr>
          <w:b/>
        </w:rPr>
        <w:tab/>
      </w:r>
      <w:r w:rsidR="00B300BC">
        <w:rPr>
          <w:b/>
        </w:rPr>
        <w:tab/>
      </w:r>
    </w:p>
    <w:p w:rsidR="00B300BC" w:rsidRDefault="00B300BC" w:rsidP="00B300BC">
      <w:pPr>
        <w:spacing w:line="360" w:lineRule="auto"/>
        <w:jc w:val="both"/>
        <w:rPr>
          <w:b/>
          <w:sz w:val="28"/>
          <w:szCs w:val="28"/>
        </w:rPr>
      </w:pPr>
    </w:p>
    <w:p w:rsidR="00B300BC" w:rsidRDefault="00B300BC" w:rsidP="00B300BC">
      <w:pPr>
        <w:rPr>
          <w:b/>
        </w:rPr>
      </w:pPr>
      <w:r>
        <w:rPr>
          <w:b/>
        </w:rPr>
        <w:t>MAXWELL, J:</w:t>
      </w:r>
    </w:p>
    <w:p w:rsidR="00B300BC" w:rsidRDefault="00B300BC" w:rsidP="00B300BC"/>
    <w:p w:rsidR="00CC4FE1" w:rsidRDefault="00CC4FE1" w:rsidP="00B458AD">
      <w:pPr>
        <w:spacing w:line="360" w:lineRule="auto"/>
        <w:jc w:val="both"/>
      </w:pPr>
    </w:p>
    <w:p w:rsidR="00B458AD" w:rsidRDefault="00157482" w:rsidP="00B458AD">
      <w:pPr>
        <w:spacing w:line="360" w:lineRule="auto"/>
        <w:jc w:val="both"/>
      </w:pPr>
      <w:r>
        <w:tab/>
        <w:t>This is an application for the confirmation of a draft ruling by the applicant in the matter between the first and second respondents</w:t>
      </w:r>
      <w:r w:rsidR="002E53C1">
        <w:t>.</w:t>
      </w:r>
    </w:p>
    <w:p w:rsidR="002E53C1" w:rsidRDefault="002E53C1" w:rsidP="00EC6F3B">
      <w:pPr>
        <w:jc w:val="both"/>
      </w:pPr>
    </w:p>
    <w:p w:rsidR="00891638" w:rsidRDefault="002E53C1" w:rsidP="00B458AD">
      <w:pPr>
        <w:spacing w:line="360" w:lineRule="auto"/>
        <w:jc w:val="both"/>
      </w:pPr>
      <w:r>
        <w:tab/>
        <w:t>2</w:t>
      </w:r>
      <w:r w:rsidRPr="002E53C1">
        <w:rPr>
          <w:vertAlign w:val="superscript"/>
        </w:rPr>
        <w:t>nd</w:t>
      </w:r>
      <w:r>
        <w:t xml:space="preserve"> Respondent was employed by 1</w:t>
      </w:r>
      <w:r w:rsidRPr="002E53C1">
        <w:rPr>
          <w:vertAlign w:val="superscript"/>
        </w:rPr>
        <w:t>st</w:t>
      </w:r>
      <w:r>
        <w:t xml:space="preserve"> </w:t>
      </w:r>
      <w:r w:rsidR="00271825">
        <w:t xml:space="preserve">Respondent for a period in excess of 40 years.  He retired from employment due to age and received his </w:t>
      </w:r>
      <w:r w:rsidR="00CF33A6">
        <w:t>pension</w:t>
      </w:r>
      <w:r w:rsidR="00271825">
        <w:t>.  He th</w:t>
      </w:r>
      <w:r w:rsidR="00891638">
        <w:t>en requested for gratuity from 1</w:t>
      </w:r>
      <w:r w:rsidR="00891638" w:rsidRPr="00891638">
        <w:rPr>
          <w:vertAlign w:val="superscript"/>
        </w:rPr>
        <w:t>st</w:t>
      </w:r>
      <w:r w:rsidR="00891638">
        <w:t xml:space="preserve"> Respondent.  His request was not responded to and he took the matter to conciliation.  The 1</w:t>
      </w:r>
      <w:r w:rsidR="00891638" w:rsidRPr="00891638">
        <w:rPr>
          <w:vertAlign w:val="superscript"/>
        </w:rPr>
        <w:t>st</w:t>
      </w:r>
      <w:r w:rsidR="00891638">
        <w:t xml:space="preserve"> Respondent disputed the 2</w:t>
      </w:r>
      <w:r w:rsidR="00891638" w:rsidRPr="00891638">
        <w:rPr>
          <w:vertAlign w:val="superscript"/>
        </w:rPr>
        <w:t>nd</w:t>
      </w:r>
      <w:r w:rsidR="00891638">
        <w:t xml:space="preserve"> Respondent’s entitlement to gratuity.  1</w:t>
      </w:r>
      <w:r w:rsidR="00891638" w:rsidRPr="00891638">
        <w:rPr>
          <w:vertAlign w:val="superscript"/>
        </w:rPr>
        <w:t>st</w:t>
      </w:r>
      <w:r w:rsidR="00891638">
        <w:t xml:space="preserve"> Respondent argued that 2</w:t>
      </w:r>
      <w:r w:rsidR="00891638" w:rsidRPr="00891638">
        <w:rPr>
          <w:vertAlign w:val="superscript"/>
        </w:rPr>
        <w:t>nd</w:t>
      </w:r>
      <w:r w:rsidR="00891638">
        <w:t xml:space="preserve"> Respondent was entitled to a pension only and cannot claim gratuity over</w:t>
      </w:r>
      <w:r w:rsidR="00025B29">
        <w:t xml:space="preserve"> and above the pension that was paid to him.  Upon his retirement.  It further argued that once a pension</w:t>
      </w:r>
      <w:r w:rsidR="00F80201">
        <w:t xml:space="preserve"> scheme exists, an employer cannot be compelled to pay gratuity as that is contrary to public policy.</w:t>
      </w:r>
    </w:p>
    <w:p w:rsidR="00F80201" w:rsidRDefault="00F80201" w:rsidP="00B458AD">
      <w:pPr>
        <w:spacing w:line="360" w:lineRule="auto"/>
        <w:jc w:val="both"/>
      </w:pPr>
    </w:p>
    <w:p w:rsidR="00F80201" w:rsidRDefault="00F80201" w:rsidP="00B458AD">
      <w:pPr>
        <w:spacing w:line="360" w:lineRule="auto"/>
        <w:jc w:val="both"/>
      </w:pPr>
      <w:r>
        <w:lastRenderedPageBreak/>
        <w:tab/>
        <w:t>2</w:t>
      </w:r>
      <w:r w:rsidRPr="00F80201">
        <w:rPr>
          <w:vertAlign w:val="superscript"/>
        </w:rPr>
        <w:t>nd</w:t>
      </w:r>
      <w:r>
        <w:t xml:space="preserve"> Respondent based his claim on section 26 of S</w:t>
      </w:r>
      <w:r w:rsidR="004E6722">
        <w:t xml:space="preserve">I 34 of </w:t>
      </w:r>
      <w:r w:rsidR="00C8186E">
        <w:t>2012. The Section 26 (4) states;</w:t>
      </w:r>
    </w:p>
    <w:p w:rsidR="00C8186E" w:rsidRDefault="00C8186E" w:rsidP="00EC6F3B">
      <w:pPr>
        <w:jc w:val="both"/>
      </w:pPr>
    </w:p>
    <w:p w:rsidR="00C8186E" w:rsidRPr="00EC6F3B" w:rsidRDefault="00C8186E" w:rsidP="00EC6F3B">
      <w:pPr>
        <w:spacing w:line="276" w:lineRule="auto"/>
        <w:ind w:left="720"/>
        <w:jc w:val="both"/>
        <w:rPr>
          <w:sz w:val="22"/>
          <w:szCs w:val="22"/>
        </w:rPr>
      </w:pPr>
      <w:r w:rsidRPr="00EC6F3B">
        <w:rPr>
          <w:sz w:val="22"/>
          <w:szCs w:val="22"/>
        </w:rPr>
        <w:t>“Where the pension is less than the gratuity, the employer shall pay the pension plus the difference between the pension and the gratuity.”</w:t>
      </w:r>
    </w:p>
    <w:p w:rsidR="00C8186E" w:rsidRDefault="00C8186E" w:rsidP="00EC6F3B">
      <w:pPr>
        <w:jc w:val="both"/>
      </w:pPr>
    </w:p>
    <w:p w:rsidR="009D29D4" w:rsidRDefault="00C8186E" w:rsidP="00B458AD">
      <w:pPr>
        <w:spacing w:line="360" w:lineRule="auto"/>
        <w:jc w:val="both"/>
      </w:pPr>
      <w:r>
        <w:tab/>
        <w:t>SI 34 of 2012 gives the formula</w:t>
      </w:r>
      <w:r w:rsidR="0071032F">
        <w:t xml:space="preserve"> for calculating the gratuity based on the length of service.  The third schedule thereto outlines the percentage of monthly wage on termination of employment that is to be </w:t>
      </w:r>
      <w:r w:rsidR="002713E7">
        <w:t>used</w:t>
      </w:r>
      <w:r w:rsidR="0071032F">
        <w:t xml:space="preserve"> de</w:t>
      </w:r>
      <w:r w:rsidR="002713E7">
        <w:t>pending on the length of service. 1</w:t>
      </w:r>
      <w:r w:rsidR="002713E7" w:rsidRPr="002713E7">
        <w:rPr>
          <w:vertAlign w:val="superscript"/>
        </w:rPr>
        <w:t>st</w:t>
      </w:r>
      <w:r w:rsidR="002713E7">
        <w:t xml:space="preserve"> Respondent contended that Section</w:t>
      </w:r>
      <w:r w:rsidR="001F3C29">
        <w:t xml:space="preserve"> 26 of SI 34 of 2012 is contrary to </w:t>
      </w:r>
      <w:r w:rsidR="009D29D4">
        <w:t>public</w:t>
      </w:r>
      <w:r w:rsidR="001F3C29">
        <w:t xml:space="preserve"> policy and violates section 65 (1) of the Constitution of Zimbabwe as well as the provisions of the Pension and Provident Act.</w:t>
      </w:r>
    </w:p>
    <w:p w:rsidR="00C96862" w:rsidRDefault="00C96862" w:rsidP="00EC6F3B">
      <w:pPr>
        <w:jc w:val="both"/>
      </w:pPr>
    </w:p>
    <w:p w:rsidR="00C96862" w:rsidRDefault="00C96862" w:rsidP="00B458AD">
      <w:pPr>
        <w:spacing w:line="360" w:lineRule="auto"/>
        <w:jc w:val="both"/>
      </w:pPr>
      <w:r>
        <w:tab/>
        <w:t>Applicant ruled that gratuity is a statutory right of employees which</w:t>
      </w:r>
      <w:r w:rsidR="00A81F62">
        <w:t xml:space="preserve"> cannot be denied to them on the ground that they are being given pension benefits.  Applicant states in his ruling that the express provisions of the collective bargaining agreement (SI 34 of 2012) whose provisions form part of the contract between Claimants and Respondent</w:t>
      </w:r>
      <w:r w:rsidR="0072583C">
        <w:t xml:space="preserve"> i</w:t>
      </w:r>
      <w:r w:rsidR="00D6169D">
        <w:t>n</w:t>
      </w:r>
      <w:r w:rsidR="00C41F35">
        <w:t>disputably undermined and rendered untenable Respondent</w:t>
      </w:r>
      <w:r w:rsidR="00E63C1C">
        <w:t>’s Contention of negating to pay the difference between pension and gratuity.  Applicant ordered the 1</w:t>
      </w:r>
      <w:r w:rsidR="00E63C1C" w:rsidRPr="00E63C1C">
        <w:rPr>
          <w:vertAlign w:val="superscript"/>
        </w:rPr>
        <w:t>st</w:t>
      </w:r>
      <w:r w:rsidR="00E63C1C">
        <w:t xml:space="preserve"> Respondent to pay 2</w:t>
      </w:r>
      <w:r w:rsidR="00E63C1C" w:rsidRPr="00E63C1C">
        <w:rPr>
          <w:vertAlign w:val="superscript"/>
        </w:rPr>
        <w:t>nd</w:t>
      </w:r>
      <w:r w:rsidR="00E63C1C">
        <w:t xml:space="preserve"> Respondent $4 069,</w:t>
      </w:r>
      <w:r w:rsidR="00011B04">
        <w:t>67 being the difference between the pension and the gratuity.</w:t>
      </w:r>
    </w:p>
    <w:p w:rsidR="00011B04" w:rsidRDefault="00011B04" w:rsidP="00EC6F3B">
      <w:pPr>
        <w:jc w:val="both"/>
      </w:pPr>
    </w:p>
    <w:p w:rsidR="00011B04" w:rsidRDefault="00011B04" w:rsidP="00B458AD">
      <w:pPr>
        <w:spacing w:line="360" w:lineRule="auto"/>
        <w:jc w:val="both"/>
      </w:pPr>
      <w:r>
        <w:tab/>
        <w:t>I am of the view that Applicant’s reasoning cannot be faulted.  In heads of argument, 1</w:t>
      </w:r>
      <w:r w:rsidRPr="00011B04">
        <w:rPr>
          <w:vertAlign w:val="superscript"/>
        </w:rPr>
        <w:t>st</w:t>
      </w:r>
      <w:r>
        <w:t xml:space="preserve"> Respondent’s counsel refers to the Pension and </w:t>
      </w:r>
      <w:r w:rsidR="00CE1894">
        <w:t xml:space="preserve">Other Benefits Act [Chapter 16:01] and states that it is prohibited to receive double benefits as in the present case.  The Court was referred to Section 10 of the said Act. The section prohibits “a contributor who is paid any pension or commutation thereof in terms of this Part” from </w:t>
      </w:r>
      <w:r w:rsidR="00744392">
        <w:t xml:space="preserve">receiving any pension in terms of the Pensions Regulations. “This </w:t>
      </w:r>
      <w:r w:rsidR="00AC0657">
        <w:t>Part” is Part II</w:t>
      </w:r>
      <w:r w:rsidR="00CD4F45">
        <w:t xml:space="preserve"> of the Pensions and other Benefits Act [Chapter 16:01]</w:t>
      </w:r>
      <w:r w:rsidR="00F04470">
        <w:t>. It is entitled “Benefits for members of Public Service and Others”. Section 2 of the Act in question defines a contributor as a person who contributes to the Consolidated</w:t>
      </w:r>
      <w:r w:rsidR="007C628B">
        <w:t xml:space="preserve"> Revenue Fund. “Pension </w:t>
      </w:r>
      <w:r w:rsidR="007907A6">
        <w:t>Regulations” are</w:t>
      </w:r>
      <w:r w:rsidR="00206DBE">
        <w:t xml:space="preserve"> defined as the State Service (Pensions) (Public Service) Regulations 1976.  The provisions of the Pensions and Other Benefits </w:t>
      </w:r>
      <w:r w:rsidR="007C4B3E">
        <w:t>are, in my view, not applicable to this case.</w:t>
      </w:r>
    </w:p>
    <w:p w:rsidR="007C4B3E" w:rsidRDefault="007C4B3E" w:rsidP="00EC6F3B">
      <w:pPr>
        <w:jc w:val="both"/>
      </w:pPr>
    </w:p>
    <w:p w:rsidR="007C4B3E" w:rsidRDefault="007C4B3E" w:rsidP="00B458AD">
      <w:pPr>
        <w:spacing w:line="360" w:lineRule="auto"/>
        <w:jc w:val="both"/>
      </w:pPr>
      <w:r>
        <w:tab/>
        <w:t>Counsel for 1</w:t>
      </w:r>
      <w:r w:rsidRPr="007C4B3E">
        <w:rPr>
          <w:vertAlign w:val="superscript"/>
        </w:rPr>
        <w:t>st</w:t>
      </w:r>
      <w:r>
        <w:t xml:space="preserve"> Respondent also argued that the </w:t>
      </w:r>
      <w:r w:rsidR="00647149">
        <w:t>provisions of S26 of S</w:t>
      </w:r>
      <w:r w:rsidR="00944BC6">
        <w:t xml:space="preserve">I 34 of 2012 are a nullity as they are contrary to the dictates of the law.  Further that the Collective Bargaining Agreement is not legally supported and also seeks to emphasize </w:t>
      </w:r>
      <w:r w:rsidR="009209FC">
        <w:t>payment of monies which 2</w:t>
      </w:r>
      <w:r w:rsidR="009209FC" w:rsidRPr="009209FC">
        <w:rPr>
          <w:vertAlign w:val="superscript"/>
        </w:rPr>
        <w:t>nd</w:t>
      </w:r>
      <w:r w:rsidR="009209FC">
        <w:t xml:space="preserve"> Respondent did not contribute to 1</w:t>
      </w:r>
      <w:r w:rsidR="009209FC" w:rsidRPr="009209FC">
        <w:rPr>
          <w:vertAlign w:val="superscript"/>
        </w:rPr>
        <w:t>st</w:t>
      </w:r>
      <w:r w:rsidR="009209FC">
        <w:t xml:space="preserve"> Respondent or to any fund.  Counsel argued that the dictum in </w:t>
      </w:r>
      <w:r w:rsidR="0043049A" w:rsidRPr="000A455B">
        <w:rPr>
          <w:i/>
        </w:rPr>
        <w:t>Macfoy</w:t>
      </w:r>
      <w:r w:rsidR="0043049A">
        <w:t xml:space="preserve"> v </w:t>
      </w:r>
      <w:r w:rsidR="0043049A" w:rsidRPr="000A455B">
        <w:rPr>
          <w:i/>
        </w:rPr>
        <w:t>United Africa Co Ltd</w:t>
      </w:r>
      <w:r w:rsidR="0043049A">
        <w:t xml:space="preserve"> [1961] 3 ALLRL 1169 applies with full force</w:t>
      </w:r>
      <w:r w:rsidR="0044797A">
        <w:t xml:space="preserve"> and effect that a void act is a nullity and is incurably bad.  Applicant placed reliance on the case of </w:t>
      </w:r>
      <w:r w:rsidR="0044797A" w:rsidRPr="004E406E">
        <w:rPr>
          <w:i/>
        </w:rPr>
        <w:t xml:space="preserve">Delta </w:t>
      </w:r>
      <w:r w:rsidR="00F37F3C" w:rsidRPr="004E406E">
        <w:rPr>
          <w:i/>
        </w:rPr>
        <w:t xml:space="preserve">Beverages </w:t>
      </w:r>
      <w:r w:rsidR="00F37F3C">
        <w:t xml:space="preserve">v </w:t>
      </w:r>
      <w:r w:rsidR="002409F2">
        <w:rPr>
          <w:i/>
        </w:rPr>
        <w:t>Ori</w:t>
      </w:r>
      <w:r w:rsidR="00F37F3C" w:rsidRPr="004E406E">
        <w:rPr>
          <w:i/>
        </w:rPr>
        <w:t>gen Corporation (</w:t>
      </w:r>
      <w:proofErr w:type="spellStart"/>
      <w:r w:rsidR="00F37F3C" w:rsidRPr="004E406E">
        <w:rPr>
          <w:i/>
        </w:rPr>
        <w:t>Pvt</w:t>
      </w:r>
      <w:proofErr w:type="spellEnd"/>
      <w:r w:rsidR="00F37F3C" w:rsidRPr="004E406E">
        <w:rPr>
          <w:i/>
        </w:rPr>
        <w:t>) Ltd</w:t>
      </w:r>
      <w:r w:rsidR="00F37F3C">
        <w:t xml:space="preserve"> SC 86/06 in which it was stated that public policy requires that </w:t>
      </w:r>
      <w:r w:rsidR="004E406E">
        <w:t>contracts</w:t>
      </w:r>
      <w:r w:rsidR="00F37F3C">
        <w:t xml:space="preserve"> entered</w:t>
      </w:r>
      <w:r w:rsidR="00336CD4">
        <w:t xml:space="preserve"> into freely and v</w:t>
      </w:r>
      <w:r w:rsidR="00617E75">
        <w:t>oluntarily be held sacred.</w:t>
      </w:r>
      <w:r w:rsidR="00C71098">
        <w:t xml:space="preserve"> He also relied on the case of </w:t>
      </w:r>
      <w:r w:rsidR="00C71098" w:rsidRPr="00F40081">
        <w:rPr>
          <w:i/>
        </w:rPr>
        <w:t>Kundai Magodora &amp; Others</w:t>
      </w:r>
      <w:r w:rsidR="00C71098">
        <w:t xml:space="preserve"> v </w:t>
      </w:r>
      <w:r w:rsidR="00C71098" w:rsidRPr="00F40081">
        <w:rPr>
          <w:i/>
        </w:rPr>
        <w:t xml:space="preserve">Care International Zimbabwe </w:t>
      </w:r>
      <w:r w:rsidR="00C71098">
        <w:t>SC 24/14 in which it is stated that it is not open to courts to rewrite a contract entered into between the parties or to excuse any of them from the consequences of the</w:t>
      </w:r>
      <w:r w:rsidR="007132E0">
        <w:t xml:space="preserve"> contract that they freely and voluntarily accepted, even if they are seen to be onerous or oppressive</w:t>
      </w:r>
      <w:r w:rsidR="00CC472C">
        <w:t>.  Applicant stated that what the parties agreed upon at the employment council is stated in SI 34 of 20</w:t>
      </w:r>
      <w:r w:rsidR="00581671">
        <w:t xml:space="preserve">12, a product of collective bargaining between the employers </w:t>
      </w:r>
      <w:r w:rsidR="00251BC4">
        <w:t>and employees of the food processing sector.</w:t>
      </w:r>
    </w:p>
    <w:p w:rsidR="00640EAF" w:rsidRDefault="00640EAF" w:rsidP="00EC6F3B">
      <w:pPr>
        <w:jc w:val="both"/>
      </w:pPr>
    </w:p>
    <w:p w:rsidR="00EC2E4E" w:rsidRDefault="00640EAF" w:rsidP="00B458AD">
      <w:pPr>
        <w:spacing w:line="360" w:lineRule="auto"/>
        <w:jc w:val="both"/>
      </w:pPr>
      <w:r>
        <w:tab/>
        <w:t>1</w:t>
      </w:r>
      <w:r w:rsidRPr="00640EAF">
        <w:rPr>
          <w:vertAlign w:val="superscript"/>
        </w:rPr>
        <w:t>st</w:t>
      </w:r>
      <w:r>
        <w:t xml:space="preserve"> Respondent paid a pension which is less favourable than gratuity and Applicant wa</w:t>
      </w:r>
      <w:r w:rsidR="000F1311">
        <w:t xml:space="preserve">s </w:t>
      </w:r>
      <w:r>
        <w:t xml:space="preserve">of the </w:t>
      </w:r>
      <w:r w:rsidR="00AA7460">
        <w:t>view that nothing militated against the award of paying the differe</w:t>
      </w:r>
      <w:r w:rsidR="00EE1B07">
        <w:t>nt between the pension and</w:t>
      </w:r>
      <w:r w:rsidR="00EC2E4E">
        <w:t xml:space="preserve"> the gratuity to the 2</w:t>
      </w:r>
      <w:r w:rsidR="00EC2E4E" w:rsidRPr="00EC2E4E">
        <w:rPr>
          <w:vertAlign w:val="superscript"/>
        </w:rPr>
        <w:t>nd</w:t>
      </w:r>
      <w:r w:rsidR="00EC2E4E">
        <w:t xml:space="preserve"> Respondent.  I agree.  The provisions of Sectio</w:t>
      </w:r>
      <w:r w:rsidR="007E5779">
        <w:t>n 26 (4) of SI 34 of</w:t>
      </w:r>
      <w:r w:rsidR="00EC2E4E">
        <w:t xml:space="preserve"> 2012 are clear and unambiguous. 1</w:t>
      </w:r>
      <w:r w:rsidR="00EC2E4E" w:rsidRPr="00EC2E4E">
        <w:rPr>
          <w:vertAlign w:val="superscript"/>
        </w:rPr>
        <w:t>st</w:t>
      </w:r>
      <w:r w:rsidR="00EC2E4E">
        <w:t xml:space="preserve"> Respondent has an obligation to comply with </w:t>
      </w:r>
      <w:r w:rsidR="004E2988">
        <w:t>those provisions</w:t>
      </w:r>
      <w:r w:rsidR="00EC2E4E">
        <w:t>.</w:t>
      </w:r>
    </w:p>
    <w:p w:rsidR="00EC2E4E" w:rsidRDefault="00EC2E4E" w:rsidP="00EC6F3B">
      <w:pPr>
        <w:jc w:val="both"/>
      </w:pPr>
    </w:p>
    <w:p w:rsidR="008314E1" w:rsidRDefault="00EC2E4E" w:rsidP="00B458AD">
      <w:pPr>
        <w:spacing w:line="360" w:lineRule="auto"/>
        <w:jc w:val="both"/>
      </w:pPr>
      <w:r>
        <w:tab/>
        <w:t>Counsel for 1</w:t>
      </w:r>
      <w:r w:rsidRPr="00EC2E4E">
        <w:rPr>
          <w:vertAlign w:val="superscript"/>
        </w:rPr>
        <w:t>st</w:t>
      </w:r>
      <w:r>
        <w:t xml:space="preserve"> Respondent also</w:t>
      </w:r>
      <w:r w:rsidR="003436E5">
        <w:t xml:space="preserve"> argued that the provisions of Section 26 of SI 34 of 2012 are contrary to public policy.  I do not agree.  In </w:t>
      </w:r>
      <w:r w:rsidR="003436E5" w:rsidRPr="000766FD">
        <w:rPr>
          <w:i/>
        </w:rPr>
        <w:t>Delta Operations (Pvt)</w:t>
      </w:r>
      <w:r w:rsidR="003436E5">
        <w:t xml:space="preserve"> </w:t>
      </w:r>
      <w:r w:rsidR="003436E5" w:rsidRPr="000766FD">
        <w:rPr>
          <w:i/>
        </w:rPr>
        <w:t>Ltd</w:t>
      </w:r>
      <w:r w:rsidR="003436E5">
        <w:t xml:space="preserve"> v </w:t>
      </w:r>
      <w:r w:rsidR="002409F2">
        <w:rPr>
          <w:i/>
        </w:rPr>
        <w:t>Ori</w:t>
      </w:r>
      <w:r w:rsidR="000766FD" w:rsidRPr="000766FD">
        <w:rPr>
          <w:i/>
        </w:rPr>
        <w:t>gen Corperation (Pvt) Ltd</w:t>
      </w:r>
      <w:r w:rsidR="000766FD">
        <w:t xml:space="preserve"> (</w:t>
      </w:r>
      <w:r w:rsidR="000766FD" w:rsidRPr="000766FD">
        <w:rPr>
          <w:i/>
        </w:rPr>
        <w:t>supra</w:t>
      </w:r>
      <w:r w:rsidR="000766FD">
        <w:t xml:space="preserve">) it is stated that </w:t>
      </w:r>
      <w:r w:rsidR="00001FAB">
        <w:t>one of the most important tenets of public policy is the sanctity of contracts.  In that case it was held that it was contrary to public policy for the arbitrator to grant remedies</w:t>
      </w:r>
      <w:r w:rsidR="00BE1BC2">
        <w:t xml:space="preserve"> which were not available in terms of the contrac</w:t>
      </w:r>
      <w:r w:rsidR="002E29C8">
        <w:t>t</w:t>
      </w:r>
      <w:r w:rsidR="00D01360">
        <w:t>.</w:t>
      </w:r>
      <w:r w:rsidR="00EE1B07">
        <w:t xml:space="preserve"> </w:t>
      </w:r>
      <w:r w:rsidR="004A6A09" w:rsidRPr="00577136">
        <w:rPr>
          <w:i/>
        </w:rPr>
        <w:t>In casu</w:t>
      </w:r>
      <w:r w:rsidR="004A6A09">
        <w:t xml:space="preserve">, the Applicant awarded simply what </w:t>
      </w:r>
      <w:r w:rsidR="00577136">
        <w:t xml:space="preserve">is </w:t>
      </w:r>
      <w:r w:rsidR="00EE1EEC">
        <w:t>sta</w:t>
      </w:r>
      <w:r w:rsidR="004A6A09">
        <w:t xml:space="preserve">ted in the collective bargaining agreement.  </w:t>
      </w:r>
      <w:r w:rsidR="005B7B8C">
        <w:t>In my view it would be contrary to public policy to consider the economic realities of the nation</w:t>
      </w:r>
      <w:r w:rsidR="008314E1">
        <w:t xml:space="preserve"> at the expense of an agreement between parties. The sanctity of contract must be upheld.</w:t>
      </w:r>
    </w:p>
    <w:p w:rsidR="008314E1" w:rsidRDefault="008314E1" w:rsidP="00EC6F3B">
      <w:pPr>
        <w:jc w:val="both"/>
      </w:pPr>
    </w:p>
    <w:p w:rsidR="006D6809" w:rsidRDefault="007051D0" w:rsidP="00B458AD">
      <w:pPr>
        <w:spacing w:line="360" w:lineRule="auto"/>
        <w:jc w:val="both"/>
      </w:pPr>
      <w:r>
        <w:t>It is for the above reasons that I am persuaded to confirm the ruling by Applicant. Consequently</w:t>
      </w:r>
      <w:r w:rsidR="006D6809">
        <w:t xml:space="preserve"> the following order is appropriate.</w:t>
      </w:r>
    </w:p>
    <w:p w:rsidR="006D6809" w:rsidRDefault="006D6809" w:rsidP="006D6809">
      <w:pPr>
        <w:pStyle w:val="ListParagraph"/>
        <w:numPr>
          <w:ilvl w:val="0"/>
          <w:numId w:val="1"/>
        </w:numPr>
        <w:spacing w:line="360" w:lineRule="auto"/>
        <w:jc w:val="both"/>
      </w:pPr>
      <w:r>
        <w:t>The ruling by the applicant be and is hereby confirmed.</w:t>
      </w:r>
    </w:p>
    <w:p w:rsidR="00EC6F3B" w:rsidRDefault="006D6809" w:rsidP="006D6809">
      <w:pPr>
        <w:pStyle w:val="ListParagraph"/>
        <w:numPr>
          <w:ilvl w:val="0"/>
          <w:numId w:val="1"/>
        </w:numPr>
        <w:spacing w:line="360" w:lineRule="auto"/>
        <w:jc w:val="both"/>
      </w:pPr>
      <w:r>
        <w:t>1</w:t>
      </w:r>
      <w:r w:rsidRPr="006D6809">
        <w:rPr>
          <w:vertAlign w:val="superscript"/>
        </w:rPr>
        <w:t>st</w:t>
      </w:r>
      <w:r>
        <w:t xml:space="preserve"> Respondent be and is hereby ordered to pay $4 069,67 to 2</w:t>
      </w:r>
      <w:r w:rsidRPr="006D6809">
        <w:rPr>
          <w:vertAlign w:val="superscript"/>
        </w:rPr>
        <w:t>nd</w:t>
      </w:r>
      <w:r>
        <w:t xml:space="preserve"> Respondent withi</w:t>
      </w:r>
      <w:r w:rsidR="00DF600C">
        <w:t>n 30 days of this order, being the difference between pension and gratuity</w:t>
      </w:r>
      <w:r w:rsidR="00EC6F3B">
        <w:t>.</w:t>
      </w:r>
    </w:p>
    <w:p w:rsidR="00EC6F3B" w:rsidRDefault="00EC6F3B" w:rsidP="00EC6F3B">
      <w:pPr>
        <w:spacing w:line="360" w:lineRule="auto"/>
        <w:jc w:val="both"/>
      </w:pPr>
    </w:p>
    <w:p w:rsidR="00EC6F3B" w:rsidRDefault="00EC6F3B" w:rsidP="00EC6F3B">
      <w:pPr>
        <w:spacing w:line="360" w:lineRule="auto"/>
        <w:jc w:val="both"/>
      </w:pPr>
    </w:p>
    <w:p w:rsidR="00640EAF" w:rsidRDefault="00EC6F3B" w:rsidP="00EC6F3B">
      <w:pPr>
        <w:spacing w:line="360" w:lineRule="auto"/>
        <w:jc w:val="both"/>
      </w:pPr>
      <w:r w:rsidRPr="00EC6F3B">
        <w:rPr>
          <w:i/>
        </w:rPr>
        <w:t>Matsikidze and Mucheche</w:t>
      </w:r>
      <w:r>
        <w:t>, 1</w:t>
      </w:r>
      <w:r w:rsidRPr="00EC6F3B">
        <w:rPr>
          <w:vertAlign w:val="superscript"/>
        </w:rPr>
        <w:t>st</w:t>
      </w:r>
      <w:r>
        <w:t xml:space="preserve"> respondent’s legal practitioners</w:t>
      </w:r>
      <w:r w:rsidR="005B7B8C">
        <w:t xml:space="preserve"> </w:t>
      </w:r>
    </w:p>
    <w:p w:rsidR="00C8186E" w:rsidRPr="00891638" w:rsidRDefault="002713E7" w:rsidP="00B458AD">
      <w:pPr>
        <w:spacing w:line="360" w:lineRule="auto"/>
        <w:jc w:val="both"/>
        <w:rPr>
          <w:vertAlign w:val="superscript"/>
        </w:rPr>
      </w:pPr>
      <w:r>
        <w:t xml:space="preserve">  </w:t>
      </w:r>
    </w:p>
    <w:sectPr w:rsidR="00C8186E" w:rsidRPr="00891638" w:rsidSect="00C96862">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A48" w:rsidRDefault="00864A48" w:rsidP="00C96862">
      <w:r>
        <w:separator/>
      </w:r>
    </w:p>
  </w:endnote>
  <w:endnote w:type="continuationSeparator" w:id="0">
    <w:p w:rsidR="00864A48" w:rsidRDefault="00864A48" w:rsidP="00C9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360522"/>
      <w:docPartObj>
        <w:docPartGallery w:val="Page Numbers (Bottom of Page)"/>
        <w:docPartUnique/>
      </w:docPartObj>
    </w:sdtPr>
    <w:sdtEndPr>
      <w:rPr>
        <w:noProof/>
      </w:rPr>
    </w:sdtEndPr>
    <w:sdtContent>
      <w:p w:rsidR="00AA7460" w:rsidRDefault="00AA7460">
        <w:pPr>
          <w:pStyle w:val="Footer"/>
          <w:jc w:val="center"/>
        </w:pPr>
        <w:r>
          <w:fldChar w:fldCharType="begin"/>
        </w:r>
        <w:r>
          <w:instrText xml:space="preserve"> PAGE   \* MERGEFORMAT </w:instrText>
        </w:r>
        <w:r>
          <w:fldChar w:fldCharType="separate"/>
        </w:r>
        <w:r w:rsidR="00E456C4">
          <w:rPr>
            <w:noProof/>
          </w:rPr>
          <w:t>4</w:t>
        </w:r>
        <w:r>
          <w:rPr>
            <w:noProof/>
          </w:rPr>
          <w:fldChar w:fldCharType="end"/>
        </w:r>
      </w:p>
    </w:sdtContent>
  </w:sdt>
  <w:p w:rsidR="00AA7460" w:rsidRDefault="00AA74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A48" w:rsidRDefault="00864A48" w:rsidP="00C96862">
      <w:r>
        <w:separator/>
      </w:r>
    </w:p>
  </w:footnote>
  <w:footnote w:type="continuationSeparator" w:id="0">
    <w:p w:rsidR="00864A48" w:rsidRDefault="00864A48" w:rsidP="00C96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60" w:rsidRPr="00C96862" w:rsidRDefault="00AA7460">
    <w:pPr>
      <w:pStyle w:val="Header"/>
      <w:rPr>
        <w:lang w:val="en-ZW"/>
      </w:rPr>
    </w:pPr>
    <w:r>
      <w:rPr>
        <w:lang w:val="en-ZW"/>
      </w:rPr>
      <w:tab/>
    </w:r>
    <w:r>
      <w:rPr>
        <w:lang w:val="en-ZW"/>
      </w:rPr>
      <w:tab/>
      <w:t>JUDGMENT NO. LC/H/</w:t>
    </w:r>
    <w:r w:rsidR="0005072E">
      <w:rPr>
        <w:lang w:val="en-ZW"/>
      </w:rPr>
      <w:t>783</w:t>
    </w:r>
    <w:r>
      <w:rPr>
        <w:lang w:val="en-ZW"/>
      </w:rPr>
      <w:t>/2012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07C31"/>
    <w:multiLevelType w:val="hybridMultilevel"/>
    <w:tmpl w:val="53EAD2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0BC"/>
    <w:rsid w:val="00001FAB"/>
    <w:rsid w:val="00011B04"/>
    <w:rsid w:val="00025B29"/>
    <w:rsid w:val="0005072E"/>
    <w:rsid w:val="000766FD"/>
    <w:rsid w:val="000A455B"/>
    <w:rsid w:val="000F1311"/>
    <w:rsid w:val="00100928"/>
    <w:rsid w:val="0011149A"/>
    <w:rsid w:val="00134F39"/>
    <w:rsid w:val="00157482"/>
    <w:rsid w:val="001F3C29"/>
    <w:rsid w:val="00206DBE"/>
    <w:rsid w:val="002409F2"/>
    <w:rsid w:val="00251BC4"/>
    <w:rsid w:val="002713E7"/>
    <w:rsid w:val="00271825"/>
    <w:rsid w:val="00281533"/>
    <w:rsid w:val="002870F8"/>
    <w:rsid w:val="002E1E8D"/>
    <w:rsid w:val="002E29C8"/>
    <w:rsid w:val="002E53C1"/>
    <w:rsid w:val="00336CD4"/>
    <w:rsid w:val="003436E5"/>
    <w:rsid w:val="0043049A"/>
    <w:rsid w:val="0044797A"/>
    <w:rsid w:val="00493D48"/>
    <w:rsid w:val="004A6A09"/>
    <w:rsid w:val="004C63B5"/>
    <w:rsid w:val="004E2988"/>
    <w:rsid w:val="004E406E"/>
    <w:rsid w:val="004E6722"/>
    <w:rsid w:val="00577136"/>
    <w:rsid w:val="00581671"/>
    <w:rsid w:val="005842AD"/>
    <w:rsid w:val="005B7B8C"/>
    <w:rsid w:val="006121D6"/>
    <w:rsid w:val="00617E75"/>
    <w:rsid w:val="00636528"/>
    <w:rsid w:val="00640EAF"/>
    <w:rsid w:val="00647149"/>
    <w:rsid w:val="006D6809"/>
    <w:rsid w:val="007051D0"/>
    <w:rsid w:val="0071032F"/>
    <w:rsid w:val="007132E0"/>
    <w:rsid w:val="0072583C"/>
    <w:rsid w:val="00744392"/>
    <w:rsid w:val="007704CB"/>
    <w:rsid w:val="007907A6"/>
    <w:rsid w:val="007A63EB"/>
    <w:rsid w:val="007C4B3E"/>
    <w:rsid w:val="007C628B"/>
    <w:rsid w:val="007C78B7"/>
    <w:rsid w:val="007E5779"/>
    <w:rsid w:val="00810E30"/>
    <w:rsid w:val="008314E1"/>
    <w:rsid w:val="00864A48"/>
    <w:rsid w:val="00891638"/>
    <w:rsid w:val="008E4848"/>
    <w:rsid w:val="009209FC"/>
    <w:rsid w:val="00944BC6"/>
    <w:rsid w:val="009D1690"/>
    <w:rsid w:val="009D29D4"/>
    <w:rsid w:val="009D3B46"/>
    <w:rsid w:val="00A17CBB"/>
    <w:rsid w:val="00A81F62"/>
    <w:rsid w:val="00AA7460"/>
    <w:rsid w:val="00AC0657"/>
    <w:rsid w:val="00AC75AC"/>
    <w:rsid w:val="00B300BC"/>
    <w:rsid w:val="00B458AD"/>
    <w:rsid w:val="00B64163"/>
    <w:rsid w:val="00BE1BC2"/>
    <w:rsid w:val="00C12391"/>
    <w:rsid w:val="00C41F35"/>
    <w:rsid w:val="00C71098"/>
    <w:rsid w:val="00C8186E"/>
    <w:rsid w:val="00C96862"/>
    <w:rsid w:val="00CC472C"/>
    <w:rsid w:val="00CC4FE1"/>
    <w:rsid w:val="00CD4F45"/>
    <w:rsid w:val="00CE1894"/>
    <w:rsid w:val="00CF33A6"/>
    <w:rsid w:val="00D01360"/>
    <w:rsid w:val="00D6169D"/>
    <w:rsid w:val="00DF600C"/>
    <w:rsid w:val="00E10B23"/>
    <w:rsid w:val="00E456C4"/>
    <w:rsid w:val="00E51655"/>
    <w:rsid w:val="00E540C4"/>
    <w:rsid w:val="00E63C1C"/>
    <w:rsid w:val="00EC2E4E"/>
    <w:rsid w:val="00EC6F3B"/>
    <w:rsid w:val="00EE1B07"/>
    <w:rsid w:val="00EE1EEC"/>
    <w:rsid w:val="00F04470"/>
    <w:rsid w:val="00F32976"/>
    <w:rsid w:val="00F37F3C"/>
    <w:rsid w:val="00F40081"/>
    <w:rsid w:val="00F802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0B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862"/>
    <w:pPr>
      <w:tabs>
        <w:tab w:val="center" w:pos="4513"/>
        <w:tab w:val="right" w:pos="9026"/>
      </w:tabs>
    </w:pPr>
  </w:style>
  <w:style w:type="character" w:customStyle="1" w:styleId="HeaderChar">
    <w:name w:val="Header Char"/>
    <w:basedOn w:val="DefaultParagraphFont"/>
    <w:link w:val="Header"/>
    <w:uiPriority w:val="99"/>
    <w:rsid w:val="00C96862"/>
    <w:rPr>
      <w:rFonts w:ascii="Tahoma" w:eastAsia="Times New Roman" w:hAnsi="Tahoma" w:cs="Times New Roman"/>
      <w:sz w:val="24"/>
      <w:szCs w:val="24"/>
      <w:lang w:val="en-US"/>
    </w:rPr>
  </w:style>
  <w:style w:type="paragraph" w:styleId="Footer">
    <w:name w:val="footer"/>
    <w:basedOn w:val="Normal"/>
    <w:link w:val="FooterChar"/>
    <w:uiPriority w:val="99"/>
    <w:unhideWhenUsed/>
    <w:rsid w:val="00C96862"/>
    <w:pPr>
      <w:tabs>
        <w:tab w:val="center" w:pos="4513"/>
        <w:tab w:val="right" w:pos="9026"/>
      </w:tabs>
    </w:pPr>
  </w:style>
  <w:style w:type="character" w:customStyle="1" w:styleId="FooterChar">
    <w:name w:val="Footer Char"/>
    <w:basedOn w:val="DefaultParagraphFont"/>
    <w:link w:val="Footer"/>
    <w:uiPriority w:val="99"/>
    <w:rsid w:val="00C96862"/>
    <w:rPr>
      <w:rFonts w:ascii="Tahoma" w:eastAsia="Times New Roman" w:hAnsi="Tahoma" w:cs="Times New Roman"/>
      <w:sz w:val="24"/>
      <w:szCs w:val="24"/>
      <w:lang w:val="en-US"/>
    </w:rPr>
  </w:style>
  <w:style w:type="paragraph" w:styleId="ListParagraph">
    <w:name w:val="List Paragraph"/>
    <w:basedOn w:val="Normal"/>
    <w:uiPriority w:val="34"/>
    <w:qFormat/>
    <w:rsid w:val="006D68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0B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862"/>
    <w:pPr>
      <w:tabs>
        <w:tab w:val="center" w:pos="4513"/>
        <w:tab w:val="right" w:pos="9026"/>
      </w:tabs>
    </w:pPr>
  </w:style>
  <w:style w:type="character" w:customStyle="1" w:styleId="HeaderChar">
    <w:name w:val="Header Char"/>
    <w:basedOn w:val="DefaultParagraphFont"/>
    <w:link w:val="Header"/>
    <w:uiPriority w:val="99"/>
    <w:rsid w:val="00C96862"/>
    <w:rPr>
      <w:rFonts w:ascii="Tahoma" w:eastAsia="Times New Roman" w:hAnsi="Tahoma" w:cs="Times New Roman"/>
      <w:sz w:val="24"/>
      <w:szCs w:val="24"/>
      <w:lang w:val="en-US"/>
    </w:rPr>
  </w:style>
  <w:style w:type="paragraph" w:styleId="Footer">
    <w:name w:val="footer"/>
    <w:basedOn w:val="Normal"/>
    <w:link w:val="FooterChar"/>
    <w:uiPriority w:val="99"/>
    <w:unhideWhenUsed/>
    <w:rsid w:val="00C96862"/>
    <w:pPr>
      <w:tabs>
        <w:tab w:val="center" w:pos="4513"/>
        <w:tab w:val="right" w:pos="9026"/>
      </w:tabs>
    </w:pPr>
  </w:style>
  <w:style w:type="character" w:customStyle="1" w:styleId="FooterChar">
    <w:name w:val="Footer Char"/>
    <w:basedOn w:val="DefaultParagraphFont"/>
    <w:link w:val="Footer"/>
    <w:uiPriority w:val="99"/>
    <w:rsid w:val="00C96862"/>
    <w:rPr>
      <w:rFonts w:ascii="Tahoma" w:eastAsia="Times New Roman" w:hAnsi="Tahoma" w:cs="Times New Roman"/>
      <w:sz w:val="24"/>
      <w:szCs w:val="24"/>
      <w:lang w:val="en-US"/>
    </w:rPr>
  </w:style>
  <w:style w:type="paragraph" w:styleId="ListParagraph">
    <w:name w:val="List Paragraph"/>
    <w:basedOn w:val="Normal"/>
    <w:uiPriority w:val="34"/>
    <w:qFormat/>
    <w:rsid w:val="006D6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14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19AC7-553A-4444-B1C9-9184A46D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42</cp:revision>
  <cp:lastPrinted>2016-11-24T07:06:00Z</cp:lastPrinted>
  <dcterms:created xsi:type="dcterms:W3CDTF">2016-11-23T12:03:00Z</dcterms:created>
  <dcterms:modified xsi:type="dcterms:W3CDTF">2016-12-08T13:17:00Z</dcterms:modified>
</cp:coreProperties>
</file>