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A0B4" w14:textId="77777777" w:rsidR="005D0E10" w:rsidRDefault="002B3CFF">
      <w:pPr>
        <w:spacing w:before="79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</w:p>
    <w:p w14:paraId="6328BD0E" w14:textId="77777777" w:rsidR="005D0E10" w:rsidRDefault="005D0E10">
      <w:pPr>
        <w:pStyle w:val="BodyText"/>
        <w:rPr>
          <w:b/>
        </w:rPr>
      </w:pPr>
    </w:p>
    <w:p w14:paraId="2CE9AD9D" w14:textId="77777777" w:rsidR="005D0E10" w:rsidRDefault="002B3CFF">
      <w:pPr>
        <w:ind w:left="100"/>
        <w:rPr>
          <w:b/>
          <w:sz w:val="24"/>
        </w:rPr>
      </w:pPr>
      <w:r>
        <w:rPr>
          <w:b/>
          <w:sz w:val="24"/>
        </w:rPr>
        <w:t xml:space="preserve">HARARE, 19 JANUARY, </w:t>
      </w:r>
      <w:r>
        <w:rPr>
          <w:b/>
          <w:spacing w:val="-4"/>
          <w:sz w:val="24"/>
        </w:rPr>
        <w:t>2024</w:t>
      </w:r>
    </w:p>
    <w:p w14:paraId="1BB61D41" w14:textId="77777777" w:rsidR="005D0E10" w:rsidRDefault="002B3CFF">
      <w:pPr>
        <w:ind w:left="100"/>
        <w:rPr>
          <w:b/>
          <w:sz w:val="24"/>
        </w:rPr>
      </w:pP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348D0973" w14:textId="77777777" w:rsidR="005D0E10" w:rsidRDefault="002B3CFF">
      <w:pPr>
        <w:spacing w:before="76" w:line="480" w:lineRule="auto"/>
        <w:ind w:left="100" w:right="422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LC/H/80/2024 CASE NO LC/H/909/23</w:t>
      </w:r>
    </w:p>
    <w:p w14:paraId="21B05B85" w14:textId="77777777" w:rsidR="005D0E10" w:rsidRDefault="005D0E10">
      <w:pPr>
        <w:spacing w:line="480" w:lineRule="auto"/>
        <w:rPr>
          <w:sz w:val="24"/>
        </w:rPr>
        <w:sectPr w:rsidR="005D0E10">
          <w:footerReference w:type="default" r:id="rId7"/>
          <w:type w:val="continuous"/>
          <w:pgSz w:w="12240" w:h="15840"/>
          <w:pgMar w:top="1360" w:right="1320" w:bottom="1200" w:left="1340" w:header="0" w:footer="1012" w:gutter="0"/>
          <w:pgNumType w:start="1"/>
          <w:cols w:num="2" w:space="720" w:equalWidth="0">
            <w:col w:w="4814" w:space="948"/>
            <w:col w:w="3818"/>
          </w:cols>
        </w:sectPr>
      </w:pPr>
    </w:p>
    <w:p w14:paraId="05B3AF86" w14:textId="77777777" w:rsidR="005D0E10" w:rsidRDefault="005D0E10">
      <w:pPr>
        <w:pStyle w:val="BodyText"/>
        <w:rPr>
          <w:b/>
        </w:rPr>
      </w:pPr>
    </w:p>
    <w:p w14:paraId="59614F9E" w14:textId="77777777" w:rsidR="005D0E10" w:rsidRDefault="005D0E10">
      <w:pPr>
        <w:pStyle w:val="BodyText"/>
        <w:rPr>
          <w:b/>
        </w:rPr>
      </w:pPr>
    </w:p>
    <w:p w14:paraId="05383320" w14:textId="77777777" w:rsidR="005D0E10" w:rsidRDefault="005D0E10">
      <w:pPr>
        <w:pStyle w:val="BodyText"/>
        <w:rPr>
          <w:b/>
        </w:rPr>
      </w:pPr>
    </w:p>
    <w:p w14:paraId="580DF41E" w14:textId="77777777" w:rsidR="005D0E10" w:rsidRDefault="005D0E10">
      <w:pPr>
        <w:pStyle w:val="BodyText"/>
        <w:rPr>
          <w:b/>
        </w:rPr>
      </w:pPr>
    </w:p>
    <w:p w14:paraId="2A5B0428" w14:textId="77777777" w:rsidR="005D0E10" w:rsidRDefault="002B3CFF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 xml:space="preserve">ELTON </w:t>
      </w:r>
      <w:r>
        <w:rPr>
          <w:b/>
          <w:spacing w:val="-2"/>
          <w:sz w:val="24"/>
        </w:rPr>
        <w:t>NTINI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00BB4388" w14:textId="77777777" w:rsidR="005D0E10" w:rsidRDefault="005D0E10">
      <w:pPr>
        <w:pStyle w:val="BodyText"/>
        <w:rPr>
          <w:b/>
        </w:rPr>
      </w:pPr>
    </w:p>
    <w:p w14:paraId="2B1A7972" w14:textId="77777777" w:rsidR="005D0E10" w:rsidRDefault="005D0E10">
      <w:pPr>
        <w:pStyle w:val="BodyText"/>
        <w:rPr>
          <w:b/>
        </w:rPr>
      </w:pPr>
    </w:p>
    <w:p w14:paraId="31B1D75E" w14:textId="77777777" w:rsidR="005D0E10" w:rsidRDefault="005D0E10">
      <w:pPr>
        <w:pStyle w:val="BodyText"/>
        <w:spacing w:before="1"/>
        <w:rPr>
          <w:b/>
        </w:rPr>
      </w:pPr>
    </w:p>
    <w:p w14:paraId="0EA00509" w14:textId="77777777" w:rsidR="005D0E10" w:rsidRDefault="002B3CFF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RYDINGS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COLLEGE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2BEDD7DD" w14:textId="77777777" w:rsidR="005D0E10" w:rsidRDefault="005D0E10">
      <w:pPr>
        <w:pStyle w:val="BodyText"/>
        <w:rPr>
          <w:b/>
        </w:rPr>
      </w:pPr>
    </w:p>
    <w:p w14:paraId="5E7F1436" w14:textId="77777777" w:rsidR="005D0E10" w:rsidRDefault="005D0E10">
      <w:pPr>
        <w:pStyle w:val="BodyText"/>
        <w:rPr>
          <w:b/>
        </w:rPr>
      </w:pPr>
    </w:p>
    <w:p w14:paraId="4C37326C" w14:textId="77777777" w:rsidR="005D0E10" w:rsidRDefault="002B3CFF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 xml:space="preserve">Musariri, </w:t>
      </w:r>
      <w:r>
        <w:rPr>
          <w:spacing w:val="-2"/>
        </w:rPr>
        <w:t>Judge:</w:t>
      </w:r>
    </w:p>
    <w:p w14:paraId="7C963073" w14:textId="77777777" w:rsidR="005D0E10" w:rsidRDefault="005D0E10">
      <w:pPr>
        <w:pStyle w:val="BodyText"/>
      </w:pPr>
    </w:p>
    <w:p w14:paraId="28CD961A" w14:textId="77777777" w:rsidR="005D0E10" w:rsidRDefault="005D0E10">
      <w:pPr>
        <w:pStyle w:val="BodyText"/>
      </w:pPr>
    </w:p>
    <w:p w14:paraId="720433B1" w14:textId="77777777" w:rsidR="005D0E10" w:rsidRDefault="002B3CFF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Appellant</w:t>
      </w:r>
      <w:r>
        <w:tab/>
        <w:t>-</w:t>
      </w:r>
      <w:r>
        <w:rPr>
          <w:spacing w:val="-4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proofErr w:type="spellStart"/>
      <w:r>
        <w:t>Musikadi</w:t>
      </w:r>
      <w:proofErr w:type="spellEnd"/>
      <w:r>
        <w:t xml:space="preserve">, </w:t>
      </w:r>
      <w:r>
        <w:rPr>
          <w:spacing w:val="-2"/>
        </w:rPr>
        <w:t>Attorney</w:t>
      </w:r>
    </w:p>
    <w:p w14:paraId="263FFBBF" w14:textId="77777777" w:rsidR="005D0E10" w:rsidRDefault="002B3CFF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Respondent</w:t>
      </w:r>
      <w:r>
        <w:tab/>
        <w:t>-</w:t>
      </w:r>
      <w:r>
        <w:rPr>
          <w:spacing w:val="-4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 xml:space="preserve">J. Mafongoya, </w:t>
      </w:r>
      <w:r>
        <w:rPr>
          <w:spacing w:val="-2"/>
        </w:rPr>
        <w:t>Attorney</w:t>
      </w:r>
    </w:p>
    <w:p w14:paraId="7FA99E55" w14:textId="77777777" w:rsidR="005D0E10" w:rsidRDefault="005D0E10">
      <w:pPr>
        <w:pStyle w:val="BodyText"/>
      </w:pPr>
    </w:p>
    <w:p w14:paraId="292C1BD1" w14:textId="77777777" w:rsidR="005D0E10" w:rsidRDefault="005D0E10">
      <w:pPr>
        <w:pStyle w:val="BodyText"/>
      </w:pPr>
    </w:p>
    <w:p w14:paraId="1C33DAFF" w14:textId="77777777" w:rsidR="005D0E10" w:rsidRDefault="005D0E10">
      <w:pPr>
        <w:pStyle w:val="BodyText"/>
      </w:pPr>
    </w:p>
    <w:p w14:paraId="0C6539B6" w14:textId="77777777" w:rsidR="005D0E10" w:rsidRDefault="005D0E10">
      <w:pPr>
        <w:pStyle w:val="BodyText"/>
      </w:pPr>
    </w:p>
    <w:p w14:paraId="2263C320" w14:textId="77777777" w:rsidR="005D0E10" w:rsidRDefault="002B3CFF">
      <w:pPr>
        <w:spacing w:before="1"/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68416B74" w14:textId="77777777" w:rsidR="005D0E10" w:rsidRDefault="005D0E10">
      <w:pPr>
        <w:pStyle w:val="BodyText"/>
        <w:rPr>
          <w:b/>
        </w:rPr>
      </w:pPr>
    </w:p>
    <w:p w14:paraId="30C43043" w14:textId="77777777" w:rsidR="005D0E10" w:rsidRDefault="005D0E10">
      <w:pPr>
        <w:pStyle w:val="BodyText"/>
        <w:rPr>
          <w:b/>
        </w:rPr>
      </w:pPr>
    </w:p>
    <w:p w14:paraId="717C3C20" w14:textId="77777777" w:rsidR="005D0E10" w:rsidRDefault="005D0E10">
      <w:pPr>
        <w:pStyle w:val="BodyText"/>
        <w:rPr>
          <w:b/>
        </w:rPr>
      </w:pPr>
    </w:p>
    <w:p w14:paraId="461B83E5" w14:textId="77777777" w:rsidR="005D0E10" w:rsidRDefault="005D0E10">
      <w:pPr>
        <w:pStyle w:val="BodyText"/>
        <w:rPr>
          <w:b/>
        </w:rPr>
      </w:pPr>
    </w:p>
    <w:p w14:paraId="289FD42A" w14:textId="77777777" w:rsidR="005D0E10" w:rsidRDefault="002B3CFF">
      <w:pPr>
        <w:pStyle w:val="BodyText"/>
        <w:spacing w:line="360" w:lineRule="auto"/>
        <w:ind w:left="100" w:firstLine="719"/>
        <w:rPr>
          <w:b/>
        </w:rPr>
      </w:pPr>
      <w:r>
        <w:t>At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onset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oral</w:t>
      </w:r>
      <w:r>
        <w:rPr>
          <w:spacing w:val="38"/>
        </w:rPr>
        <w:t xml:space="preserve"> </w:t>
      </w:r>
      <w:r>
        <w:t>argument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Court</w:t>
      </w:r>
      <w:r>
        <w:rPr>
          <w:spacing w:val="37"/>
        </w:rPr>
        <w:t xml:space="preserve"> </w:t>
      </w:r>
      <w:r>
        <w:t>respondent</w:t>
      </w:r>
      <w:r>
        <w:rPr>
          <w:spacing w:val="38"/>
        </w:rPr>
        <w:t xml:space="preserve"> </w:t>
      </w:r>
      <w:r>
        <w:t>raised</w:t>
      </w:r>
      <w:r>
        <w:rPr>
          <w:spacing w:val="37"/>
        </w:rPr>
        <w:t xml:space="preserve"> </w:t>
      </w:r>
      <w:r>
        <w:t>points</w:t>
      </w:r>
      <w:r>
        <w:rPr>
          <w:spacing w:val="40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proofErr w:type="spellStart"/>
      <w:r>
        <w:rPr>
          <w:b/>
        </w:rPr>
        <w:t>limine</w:t>
      </w:r>
      <w:proofErr w:type="spellEnd"/>
      <w:r>
        <w:rPr>
          <w:b/>
          <w:spacing w:val="37"/>
        </w:rPr>
        <w:t xml:space="preserve"> </w:t>
      </w:r>
      <w:r>
        <w:t xml:space="preserve">which appellant. The points shall be dealt with </w:t>
      </w:r>
      <w:r>
        <w:rPr>
          <w:b/>
        </w:rPr>
        <w:t>ad seriatim.</w:t>
      </w:r>
    </w:p>
    <w:p w14:paraId="169B1F49" w14:textId="77777777" w:rsidR="005D0E10" w:rsidRDefault="005D0E10">
      <w:pPr>
        <w:pStyle w:val="BodyText"/>
        <w:spacing w:before="139"/>
        <w:rPr>
          <w:b/>
        </w:rPr>
      </w:pPr>
    </w:p>
    <w:p w14:paraId="580BE6B2" w14:textId="77777777" w:rsidR="005D0E10" w:rsidRDefault="002B3CFF">
      <w:pPr>
        <w:ind w:left="100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improperly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Court:</w:t>
      </w:r>
    </w:p>
    <w:p w14:paraId="5B9E16D3" w14:textId="77777777" w:rsidR="005D0E10" w:rsidRDefault="002B3CFF">
      <w:pPr>
        <w:pStyle w:val="BodyText"/>
        <w:spacing w:before="137"/>
        <w:ind w:left="100"/>
      </w:pP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expatiated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opposing</w:t>
      </w:r>
      <w:r>
        <w:rPr>
          <w:spacing w:val="-1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rPr>
          <w:spacing w:val="-2"/>
        </w:rPr>
        <w:t>thus;</w:t>
      </w:r>
    </w:p>
    <w:p w14:paraId="5ADE8686" w14:textId="77777777" w:rsidR="005D0E10" w:rsidRDefault="005D0E10">
      <w:pPr>
        <w:pStyle w:val="BodyText"/>
      </w:pPr>
    </w:p>
    <w:p w14:paraId="25DBB5C5" w14:textId="77777777" w:rsidR="005D0E10" w:rsidRDefault="005D0E10">
      <w:pPr>
        <w:pStyle w:val="BodyText"/>
      </w:pPr>
    </w:p>
    <w:p w14:paraId="78D92067" w14:textId="77777777" w:rsidR="005D0E10" w:rsidRDefault="002B3CFF">
      <w:pPr>
        <w:pStyle w:val="BodyText"/>
        <w:spacing w:before="1" w:line="360" w:lineRule="auto"/>
        <w:ind w:left="1540" w:right="116" w:hanging="720"/>
        <w:jc w:val="both"/>
      </w:pPr>
      <w:r>
        <w:t>“4.1</w:t>
      </w:r>
      <w:r>
        <w:rPr>
          <w:spacing w:val="80"/>
          <w:w w:val="150"/>
        </w:rPr>
        <w:t xml:space="preserve"> </w:t>
      </w:r>
      <w:r>
        <w:t xml:space="preserve">I am advised that the present Appeal is improperly before the Court and violating Section 101 of the </w:t>
      </w:r>
      <w:proofErr w:type="spellStart"/>
      <w:r>
        <w:t>Labour</w:t>
      </w:r>
      <w:proofErr w:type="spellEnd"/>
      <w:r>
        <w:t xml:space="preserve"> Act as amended. The Appeal ought to have been filed before the </w:t>
      </w:r>
      <w:proofErr w:type="spellStart"/>
      <w:r>
        <w:t>Labour</w:t>
      </w:r>
      <w:proofErr w:type="spellEnd"/>
      <w:r>
        <w:t xml:space="preserve"> Officer/Designated Agent in terms of the </w:t>
      </w:r>
      <w:proofErr w:type="spellStart"/>
      <w:r>
        <w:t>Labour</w:t>
      </w:r>
      <w:proofErr w:type="spellEnd"/>
      <w:r>
        <w:t xml:space="preserve"> Amendment and not the </w:t>
      </w:r>
      <w:proofErr w:type="spellStart"/>
      <w:r>
        <w:t>Labour</w:t>
      </w:r>
      <w:proofErr w:type="spellEnd"/>
      <w:r>
        <w:t xml:space="preserve"> Court within provided statutory timelines.</w:t>
      </w:r>
    </w:p>
    <w:p w14:paraId="3CBD0774" w14:textId="77777777" w:rsidR="005D0E10" w:rsidRDefault="005D0E10">
      <w:pPr>
        <w:spacing w:line="360" w:lineRule="auto"/>
        <w:jc w:val="both"/>
        <w:sectPr w:rsidR="005D0E10">
          <w:type w:val="continuous"/>
          <w:pgSz w:w="12240" w:h="15840"/>
          <w:pgMar w:top="1360" w:right="1320" w:bottom="1200" w:left="1340" w:header="0" w:footer="1012" w:gutter="0"/>
          <w:cols w:space="720"/>
        </w:sectPr>
      </w:pPr>
    </w:p>
    <w:p w14:paraId="3AD3C6AE" w14:textId="77777777" w:rsidR="005D0E10" w:rsidRDefault="005D0E10">
      <w:pPr>
        <w:pStyle w:val="BodyText"/>
        <w:spacing w:before="171"/>
      </w:pPr>
    </w:p>
    <w:p w14:paraId="6979DD5F" w14:textId="77777777" w:rsidR="005D0E10" w:rsidRDefault="002B3CFF">
      <w:pPr>
        <w:pStyle w:val="BodyText"/>
        <w:tabs>
          <w:tab w:val="left" w:pos="1540"/>
        </w:tabs>
        <w:spacing w:line="360" w:lineRule="auto"/>
        <w:ind w:left="1540" w:right="124" w:hanging="720"/>
      </w:pPr>
      <w:r>
        <w:rPr>
          <w:spacing w:val="-4"/>
        </w:rPr>
        <w:t>4.2</w:t>
      </w:r>
      <w:r>
        <w:tab/>
        <w:t>The</w:t>
      </w:r>
      <w:r>
        <w:rPr>
          <w:spacing w:val="31"/>
        </w:rPr>
        <w:t xml:space="preserve"> </w:t>
      </w:r>
      <w:r>
        <w:t>Appeal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improperly</w:t>
      </w:r>
      <w:r>
        <w:rPr>
          <w:spacing w:val="33"/>
        </w:rPr>
        <w:t xml:space="preserve"> </w:t>
      </w:r>
      <w:r>
        <w:t>before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proofErr w:type="spellStart"/>
      <w:r>
        <w:t>Labour</w:t>
      </w:r>
      <w:proofErr w:type="spellEnd"/>
      <w:r>
        <w:rPr>
          <w:spacing w:val="32"/>
        </w:rPr>
        <w:t xml:space="preserve"> </w:t>
      </w:r>
      <w:r>
        <w:t>Court</w:t>
      </w:r>
      <w:r>
        <w:rPr>
          <w:spacing w:val="32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Court</w:t>
      </w:r>
      <w:r>
        <w:rPr>
          <w:spacing w:val="32"/>
        </w:rPr>
        <w:t xml:space="preserve"> </w:t>
      </w:r>
      <w:r>
        <w:t>lacks</w:t>
      </w:r>
      <w:r>
        <w:rPr>
          <w:spacing w:val="35"/>
        </w:rPr>
        <w:t xml:space="preserve"> </w:t>
      </w:r>
      <w:r>
        <w:t>merit</w:t>
      </w:r>
      <w:r>
        <w:rPr>
          <w:spacing w:val="33"/>
        </w:rPr>
        <w:t xml:space="preserve"> </w:t>
      </w:r>
      <w:r>
        <w:t>to entertain the present matter.”</w:t>
      </w:r>
    </w:p>
    <w:p w14:paraId="032E6F64" w14:textId="77777777" w:rsidR="005D0E10" w:rsidRDefault="005D0E10">
      <w:pPr>
        <w:pStyle w:val="BodyText"/>
        <w:spacing w:before="137"/>
      </w:pPr>
    </w:p>
    <w:p w14:paraId="2773F5B1" w14:textId="77777777" w:rsidR="005D0E10" w:rsidRDefault="002B3CFF">
      <w:pPr>
        <w:pStyle w:val="BodyText"/>
        <w:spacing w:line="360" w:lineRule="auto"/>
        <w:ind w:left="100" w:right="117"/>
        <w:jc w:val="both"/>
      </w:pP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b/>
        </w:rPr>
        <w:t>Labour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Act</w:t>
      </w:r>
      <w:r>
        <w:rPr>
          <w:b/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28:01</w:t>
      </w:r>
      <w:r>
        <w:rPr>
          <w:spacing w:val="-2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 xml:space="preserve">Act) had just been amended by the </w:t>
      </w:r>
      <w:proofErr w:type="spellStart"/>
      <w:r>
        <w:rPr>
          <w:b/>
        </w:rPr>
        <w:t>Labour</w:t>
      </w:r>
      <w:proofErr w:type="spellEnd"/>
      <w:r>
        <w:rPr>
          <w:b/>
        </w:rPr>
        <w:t xml:space="preserve"> Amendment Act </w:t>
      </w:r>
      <w:r>
        <w:t>No 11 of 2023 (the Amendment). Respondent relied on Section 31 of the Amendment which provides that;</w:t>
      </w:r>
    </w:p>
    <w:p w14:paraId="26A56125" w14:textId="77777777" w:rsidR="005D0E10" w:rsidRDefault="005D0E10">
      <w:pPr>
        <w:pStyle w:val="BodyText"/>
        <w:spacing w:before="139"/>
      </w:pPr>
    </w:p>
    <w:p w14:paraId="318C8AC1" w14:textId="77777777" w:rsidR="005D0E10" w:rsidRDefault="002B3CFF">
      <w:pPr>
        <w:pStyle w:val="BodyText"/>
        <w:spacing w:line="360" w:lineRule="auto"/>
        <w:ind w:left="820" w:right="1202"/>
        <w:jc w:val="both"/>
      </w:pPr>
      <w:r>
        <w:t>“Section</w:t>
      </w:r>
      <w:r>
        <w:rPr>
          <w:spacing w:val="-3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(Employment</w:t>
      </w:r>
      <w:r>
        <w:rPr>
          <w:spacing w:val="-3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amended- </w:t>
      </w:r>
      <w:r>
        <w:rPr>
          <w:spacing w:val="-6"/>
        </w:rPr>
        <w:t>a)</w:t>
      </w:r>
    </w:p>
    <w:p w14:paraId="77B3DE6F" w14:textId="77777777" w:rsidR="005D0E10" w:rsidRDefault="002B3CFF">
      <w:pPr>
        <w:pStyle w:val="BodyText"/>
        <w:ind w:left="820"/>
        <w:jc w:val="both"/>
      </w:pPr>
      <w:r>
        <w:t>b)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insertion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 xml:space="preserve">proviso in subsection </w:t>
      </w:r>
      <w:r>
        <w:rPr>
          <w:spacing w:val="-4"/>
        </w:rPr>
        <w:t>(5)-</w:t>
      </w:r>
    </w:p>
    <w:p w14:paraId="4A693DBD" w14:textId="77777777" w:rsidR="005D0E10" w:rsidRDefault="002B3CFF">
      <w:pPr>
        <w:pStyle w:val="BodyText"/>
        <w:spacing w:before="139" w:line="360" w:lineRule="auto"/>
        <w:ind w:left="1540" w:right="115"/>
        <w:jc w:val="both"/>
      </w:pPr>
      <w:r>
        <w:t>‘Provided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proceedings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notwithstanding</w:t>
      </w:r>
      <w:r>
        <w:rPr>
          <w:spacing w:val="-7"/>
        </w:rPr>
        <w:t xml:space="preserve"> </w:t>
      </w:r>
      <w:r>
        <w:t>anything to the contrary in an employment code, at the instance of any party aggrieved by those</w:t>
      </w:r>
      <w:r>
        <w:rPr>
          <w:spacing w:val="-10"/>
        </w:rPr>
        <w:t xml:space="preserve"> </w:t>
      </w:r>
      <w:r>
        <w:t>proceedings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rPr>
          <w:b/>
        </w:rPr>
        <w:t>appeal</w:t>
      </w:r>
      <w:r>
        <w:rPr>
          <w:b/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rPr>
          <w:b/>
        </w:rPr>
        <w:t>labour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officer</w:t>
      </w:r>
      <w:r>
        <w:rPr>
          <w:b/>
          <w:spacing w:val="-8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conclusion of the proceedings whereupon the </w:t>
      </w:r>
      <w:proofErr w:type="spellStart"/>
      <w:r>
        <w:t>labour</w:t>
      </w:r>
      <w:proofErr w:type="spellEnd"/>
      <w:r>
        <w:t xml:space="preserve"> officer shall attempt to </w:t>
      </w:r>
      <w:r>
        <w:rPr>
          <w:b/>
        </w:rPr>
        <w:t xml:space="preserve">conciliate </w:t>
      </w:r>
      <w:r>
        <w:t xml:space="preserve">the dispute in terms of Section 93 or exercise any other power provided for in that </w:t>
      </w:r>
      <w:r>
        <w:rPr>
          <w:spacing w:val="-2"/>
        </w:rPr>
        <w:t>Section.’</w:t>
      </w:r>
    </w:p>
    <w:p w14:paraId="4272476A" w14:textId="77777777" w:rsidR="005D0E10" w:rsidRDefault="005D0E10">
      <w:pPr>
        <w:pStyle w:val="BodyText"/>
        <w:spacing w:before="137"/>
      </w:pPr>
    </w:p>
    <w:p w14:paraId="352A797C" w14:textId="77777777" w:rsidR="005D0E10" w:rsidRDefault="002B3CFF">
      <w:pPr>
        <w:pStyle w:val="BodyText"/>
        <w:spacing w:before="1" w:line="360" w:lineRule="auto"/>
        <w:ind w:left="100" w:right="120"/>
        <w:jc w:val="both"/>
      </w:pPr>
      <w:r>
        <w:t>Respondent argued that the amendment means that appellant should have</w:t>
      </w:r>
      <w:r>
        <w:rPr>
          <w:spacing w:val="-1"/>
        </w:rPr>
        <w:t xml:space="preserve"> </w:t>
      </w:r>
      <w:r>
        <w:t>referred the matter</w:t>
      </w:r>
      <w:r>
        <w:rPr>
          <w:spacing w:val="-1"/>
        </w:rPr>
        <w:t xml:space="preserve"> </w:t>
      </w:r>
      <w:r>
        <w:t xml:space="preserve">to a </w:t>
      </w:r>
      <w:proofErr w:type="spellStart"/>
      <w:r>
        <w:t>Labour</w:t>
      </w:r>
      <w:proofErr w:type="spellEnd"/>
      <w:r>
        <w:t xml:space="preserve"> Officer and not the </w:t>
      </w:r>
      <w:proofErr w:type="spellStart"/>
      <w:r>
        <w:t>Labour</w:t>
      </w:r>
      <w:proofErr w:type="spellEnd"/>
      <w:r>
        <w:t xml:space="preserve"> Court.</w:t>
      </w:r>
    </w:p>
    <w:p w14:paraId="39836AEE" w14:textId="77777777" w:rsidR="005D0E10" w:rsidRDefault="002B3CFF">
      <w:pPr>
        <w:pStyle w:val="BodyText"/>
        <w:ind w:left="100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gramStart"/>
      <w:r>
        <w:t>hand</w:t>
      </w:r>
      <w:proofErr w:type="gramEnd"/>
      <w:r>
        <w:rPr>
          <w:spacing w:val="2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relied on</w:t>
      </w:r>
      <w:r>
        <w:rPr>
          <w:spacing w:val="-1"/>
        </w:rPr>
        <w:t xml:space="preserve"> </w:t>
      </w:r>
      <w:r>
        <w:t>Section 92</w:t>
      </w:r>
      <w:r>
        <w:rPr>
          <w:spacing w:val="3"/>
        </w:rPr>
        <w:t xml:space="preserve"> </w:t>
      </w:r>
      <w:r>
        <w:t>D of</w:t>
      </w:r>
      <w:r>
        <w:rPr>
          <w:spacing w:val="-3"/>
        </w:rPr>
        <w:t xml:space="preserve"> </w:t>
      </w:r>
      <w:r>
        <w:t>the Act</w:t>
      </w:r>
      <w:r>
        <w:rPr>
          <w:spacing w:val="-1"/>
        </w:rPr>
        <w:t xml:space="preserve"> </w:t>
      </w:r>
      <w:r>
        <w:t xml:space="preserve">which provides </w:t>
      </w:r>
      <w:r>
        <w:rPr>
          <w:spacing w:val="-2"/>
        </w:rPr>
        <w:t>that;</w:t>
      </w:r>
    </w:p>
    <w:p w14:paraId="01AA00FC" w14:textId="77777777" w:rsidR="005D0E10" w:rsidRDefault="005D0E10">
      <w:pPr>
        <w:pStyle w:val="BodyText"/>
      </w:pPr>
    </w:p>
    <w:p w14:paraId="71F472D3" w14:textId="77777777" w:rsidR="005D0E10" w:rsidRDefault="005D0E10">
      <w:pPr>
        <w:pStyle w:val="BodyText"/>
      </w:pPr>
    </w:p>
    <w:p w14:paraId="49E5FA18" w14:textId="77777777" w:rsidR="005D0E10" w:rsidRDefault="002B3CFF">
      <w:pPr>
        <w:pStyle w:val="BodyText"/>
        <w:spacing w:line="360" w:lineRule="auto"/>
        <w:ind w:left="820"/>
      </w:pPr>
      <w:r>
        <w:t>“A person who is aggrieved by a determination made under an employment code, may,</w:t>
      </w:r>
      <w:r>
        <w:rPr>
          <w:spacing w:val="40"/>
        </w:rPr>
        <w:t xml:space="preserve"> </w:t>
      </w:r>
      <w:r>
        <w:t xml:space="preserve">within such time and in such manner as may be prescribed, appeal to the </w:t>
      </w:r>
      <w:proofErr w:type="spellStart"/>
      <w:r>
        <w:t>Labour</w:t>
      </w:r>
      <w:proofErr w:type="spellEnd"/>
      <w:r>
        <w:t xml:space="preserve"> Court.”</w:t>
      </w:r>
    </w:p>
    <w:p w14:paraId="16B85040" w14:textId="77777777" w:rsidR="005D0E10" w:rsidRDefault="005D0E10">
      <w:pPr>
        <w:pStyle w:val="BodyText"/>
        <w:spacing w:before="139"/>
      </w:pPr>
    </w:p>
    <w:p w14:paraId="37EB5F72" w14:textId="77777777" w:rsidR="005D0E10" w:rsidRDefault="002B3CFF">
      <w:pPr>
        <w:pStyle w:val="BodyText"/>
        <w:spacing w:before="1" w:line="360" w:lineRule="auto"/>
        <w:ind w:left="100"/>
      </w:pPr>
      <w:r>
        <w:t>Appellant</w:t>
      </w:r>
      <w:r>
        <w:rPr>
          <w:spacing w:val="-12"/>
        </w:rPr>
        <w:t xml:space="preserve"> </w:t>
      </w:r>
      <w:r>
        <w:t>argued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retained</w:t>
      </w:r>
      <w:r>
        <w:rPr>
          <w:spacing w:val="-13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spellStart"/>
      <w:r>
        <w:t>Labour</w:t>
      </w:r>
      <w:proofErr w:type="spellEnd"/>
      <w:r>
        <w:rPr>
          <w:spacing w:val="-14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despite the Amendment.</w:t>
      </w:r>
    </w:p>
    <w:p w14:paraId="5BB97B18" w14:textId="77777777" w:rsidR="005D0E10" w:rsidRDefault="002B3CFF">
      <w:pPr>
        <w:pStyle w:val="BodyText"/>
        <w:ind w:left="100"/>
      </w:pP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Amendment a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rPr>
          <w:spacing w:val="-2"/>
        </w:rPr>
        <w:t xml:space="preserve"> </w:t>
      </w:r>
      <w:r>
        <w:t>Court in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7"/>
        </w:rPr>
        <w:t>92</w:t>
      </w:r>
    </w:p>
    <w:p w14:paraId="75B42A06" w14:textId="77777777" w:rsidR="005D0E10" w:rsidRDefault="002B3CFF">
      <w:pPr>
        <w:pStyle w:val="BodyText"/>
        <w:spacing w:before="137" w:line="360" w:lineRule="auto"/>
        <w:ind w:left="100"/>
      </w:pPr>
      <w:r>
        <w:t>D.</w:t>
      </w:r>
      <w:r>
        <w:rPr>
          <w:spacing w:val="2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right</w:t>
      </w:r>
      <w:r>
        <w:rPr>
          <w:spacing w:val="25"/>
        </w:rPr>
        <w:t xml:space="preserve"> </w:t>
      </w:r>
      <w:r>
        <w:t>cannot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presumed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taken</w:t>
      </w:r>
      <w:r>
        <w:rPr>
          <w:spacing w:val="25"/>
        </w:rPr>
        <w:t xml:space="preserve"> </w:t>
      </w:r>
      <w:r>
        <w:t>away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another</w:t>
      </w:r>
      <w:r>
        <w:rPr>
          <w:spacing w:val="24"/>
        </w:rPr>
        <w:t xml:space="preserve"> </w:t>
      </w:r>
      <w:r>
        <w:t>statute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absence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clear wording to that effect. See</w:t>
      </w:r>
    </w:p>
    <w:p w14:paraId="1BBD0E03" w14:textId="77777777" w:rsidR="005D0E10" w:rsidRDefault="005D0E10">
      <w:pPr>
        <w:spacing w:line="360" w:lineRule="auto"/>
        <w:sectPr w:rsidR="005D0E10">
          <w:footerReference w:type="default" r:id="rId8"/>
          <w:pgSz w:w="12240" w:h="15840"/>
          <w:pgMar w:top="1820" w:right="1320" w:bottom="1200" w:left="1340" w:header="0" w:footer="1012" w:gutter="0"/>
          <w:pgNumType w:start="2"/>
          <w:cols w:space="720"/>
        </w:sectPr>
      </w:pPr>
    </w:p>
    <w:p w14:paraId="3ECF36DF" w14:textId="77777777" w:rsidR="005D0E10" w:rsidRDefault="005D0E10">
      <w:pPr>
        <w:pStyle w:val="BodyText"/>
        <w:spacing w:before="171"/>
      </w:pPr>
    </w:p>
    <w:p w14:paraId="2E78E22E" w14:textId="77777777" w:rsidR="005D0E10" w:rsidRDefault="002B3CFF">
      <w:pPr>
        <w:spacing w:line="360" w:lineRule="auto"/>
        <w:ind w:left="820" w:right="4026"/>
        <w:rPr>
          <w:sz w:val="24"/>
        </w:rPr>
      </w:pPr>
      <w:r>
        <w:rPr>
          <w:b/>
          <w:sz w:val="24"/>
        </w:rPr>
        <w:t>Bater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Muchengeti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1995(1)</w:t>
      </w:r>
      <w:r>
        <w:rPr>
          <w:spacing w:val="-6"/>
          <w:sz w:val="24"/>
        </w:rPr>
        <w:t xml:space="preserve"> </w:t>
      </w:r>
      <w:r>
        <w:rPr>
          <w:sz w:val="24"/>
        </w:rPr>
        <w:t>ZLR</w:t>
      </w:r>
      <w:r>
        <w:rPr>
          <w:spacing w:val="-6"/>
          <w:sz w:val="24"/>
        </w:rPr>
        <w:t xml:space="preserve"> </w:t>
      </w:r>
      <w:r>
        <w:rPr>
          <w:sz w:val="24"/>
        </w:rPr>
        <w:t>80,</w:t>
      </w:r>
      <w:r>
        <w:rPr>
          <w:spacing w:val="-6"/>
          <w:sz w:val="24"/>
        </w:rPr>
        <w:t xml:space="preserve"> </w:t>
      </w:r>
      <w:r>
        <w:rPr>
          <w:sz w:val="24"/>
        </w:rPr>
        <w:t>84</w:t>
      </w:r>
      <w:r>
        <w:rPr>
          <w:spacing w:val="-6"/>
          <w:sz w:val="24"/>
        </w:rPr>
        <w:t xml:space="preserve"> </w:t>
      </w:r>
      <w:r>
        <w:rPr>
          <w:sz w:val="24"/>
        </w:rPr>
        <w:t>G-H per Gubbay CJ</w:t>
      </w:r>
    </w:p>
    <w:p w14:paraId="6E89B807" w14:textId="77777777" w:rsidR="005D0E10" w:rsidRDefault="005D0E10">
      <w:pPr>
        <w:pStyle w:val="BodyText"/>
        <w:spacing w:before="137"/>
      </w:pPr>
    </w:p>
    <w:p w14:paraId="3465E306" w14:textId="77777777" w:rsidR="005D0E10" w:rsidRDefault="002B3CFF">
      <w:pPr>
        <w:pStyle w:val="BodyText"/>
        <w:spacing w:line="360" w:lineRule="auto"/>
        <w:ind w:left="820" w:right="115"/>
        <w:jc w:val="both"/>
      </w:pPr>
      <w:r>
        <w:t>“The correctness of that view of the matter is underscored when account is taken to the fundamental</w:t>
      </w:r>
      <w:r>
        <w:rPr>
          <w:spacing w:val="-8"/>
        </w:rPr>
        <w:t xml:space="preserve"> </w:t>
      </w:r>
      <w:r>
        <w:t>rule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law,</w:t>
      </w:r>
      <w:r>
        <w:rPr>
          <w:spacing w:val="-8"/>
        </w:rPr>
        <w:t xml:space="preserve"> </w:t>
      </w:r>
      <w:r>
        <w:t>dating</w:t>
      </w:r>
      <w:r>
        <w:rPr>
          <w:spacing w:val="-8"/>
        </w:rPr>
        <w:t xml:space="preserve"> </w:t>
      </w:r>
      <w:r>
        <w:t>probably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Codex</w:t>
      </w:r>
      <w:r>
        <w:rPr>
          <w:spacing w:val="-8"/>
        </w:rPr>
        <w:t xml:space="preserve"> </w:t>
      </w:r>
      <w:r>
        <w:t>1:14:7,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there is not to be given to an enactment so as to remove or in any way impair existing rights or obligations,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arises</w:t>
      </w:r>
      <w:r>
        <w:rPr>
          <w:spacing w:val="-6"/>
        </w:rPr>
        <w:t xml:space="preserve"> </w:t>
      </w:r>
      <w:r>
        <w:t>by necessary implication.”</w:t>
      </w:r>
    </w:p>
    <w:p w14:paraId="43C32808" w14:textId="77777777" w:rsidR="005D0E10" w:rsidRDefault="005D0E10">
      <w:pPr>
        <w:pStyle w:val="BodyText"/>
        <w:spacing w:before="139"/>
      </w:pPr>
    </w:p>
    <w:p w14:paraId="30E3A65B" w14:textId="77777777" w:rsidR="005D0E10" w:rsidRDefault="002B3CFF">
      <w:pPr>
        <w:pStyle w:val="BodyText"/>
        <w:spacing w:line="360" w:lineRule="auto"/>
        <w:ind w:left="100" w:right="115"/>
        <w:jc w:val="both"/>
      </w:pPr>
      <w:r>
        <w:t xml:space="preserve">The Amendment does not purport to amend Section 92 D but specifically amends Section 101. That really is the end of the matter. </w:t>
      </w:r>
      <w:proofErr w:type="gramStart"/>
      <w:r>
        <w:t>Alternatively</w:t>
      </w:r>
      <w:proofErr w:type="gramEnd"/>
      <w:r>
        <w:t xml:space="preserve"> the Amendment does not by </w:t>
      </w:r>
      <w:r>
        <w:rPr>
          <w:b/>
        </w:rPr>
        <w:t xml:space="preserve">necessary </w:t>
      </w:r>
      <w:r>
        <w:rPr>
          <w:b/>
          <w:spacing w:val="-2"/>
        </w:rPr>
        <w:t>implication</w:t>
      </w:r>
      <w:r>
        <w:rPr>
          <w:b/>
          <w:spacing w:val="-6"/>
        </w:rPr>
        <w:t xml:space="preserve"> </w:t>
      </w:r>
      <w:r>
        <w:rPr>
          <w:spacing w:val="-2"/>
        </w:rPr>
        <w:t>amend</w:t>
      </w:r>
      <w:r>
        <w:rPr>
          <w:spacing w:val="-8"/>
        </w:rPr>
        <w:t xml:space="preserve"> </w:t>
      </w: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92</w:t>
      </w:r>
      <w:r>
        <w:rPr>
          <w:spacing w:val="-8"/>
        </w:rPr>
        <w:t xml:space="preserve"> </w:t>
      </w:r>
      <w:r>
        <w:rPr>
          <w:spacing w:val="-2"/>
        </w:rPr>
        <w:t>D.</w:t>
      </w:r>
      <w:r>
        <w:rPr>
          <w:spacing w:val="-8"/>
        </w:rPr>
        <w:t xml:space="preserve"> </w:t>
      </w:r>
      <w:r>
        <w:rPr>
          <w:spacing w:val="-2"/>
        </w:rPr>
        <w:t>what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Amendment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>effectively</w:t>
      </w:r>
      <w:r>
        <w:rPr>
          <w:spacing w:val="-6"/>
        </w:rPr>
        <w:t xml:space="preserve"> </w:t>
      </w:r>
      <w:r>
        <w:rPr>
          <w:spacing w:val="-2"/>
        </w:rPr>
        <w:t>done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give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 xml:space="preserve">aggrieved </w:t>
      </w:r>
      <w:r>
        <w:t>party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(two)</w:t>
      </w:r>
      <w:r>
        <w:rPr>
          <w:spacing w:val="-3"/>
        </w:rPr>
        <w:t xml:space="preserve"> </w:t>
      </w:r>
      <w:r>
        <w:t>options.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may appeal</w:t>
      </w:r>
      <w:r>
        <w:rPr>
          <w:spacing w:val="-2"/>
        </w:rPr>
        <w:t xml:space="preserve"> </w:t>
      </w:r>
      <w:r>
        <w:t>to either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rPr>
          <w:spacing w:val="-3"/>
        </w:rPr>
        <w:t xml:space="preserve"> </w:t>
      </w:r>
      <w:r>
        <w:t>Officer.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the party considers that </w:t>
      </w:r>
      <w:r>
        <w:rPr>
          <w:b/>
        </w:rPr>
        <w:t xml:space="preserve">conciliation </w:t>
      </w:r>
      <w:r>
        <w:t xml:space="preserve">will resolve his grievances his obvious option is the </w:t>
      </w:r>
      <w:proofErr w:type="spellStart"/>
      <w:r>
        <w:t>Labour</w:t>
      </w:r>
      <w:proofErr w:type="spellEnd"/>
      <w:r>
        <w:t xml:space="preserve"> Officer. </w:t>
      </w:r>
      <w:proofErr w:type="gramStart"/>
      <w:r>
        <w:t>Otherwise</w:t>
      </w:r>
      <w:proofErr w:type="gramEnd"/>
      <w:r>
        <w:t xml:space="preserve"> a party who considers that his grievance may be solely resolved by </w:t>
      </w:r>
      <w:r>
        <w:rPr>
          <w:b/>
        </w:rPr>
        <w:t xml:space="preserve">appeal </w:t>
      </w:r>
      <w:r>
        <w:t xml:space="preserve">might prefer the </w:t>
      </w:r>
      <w:proofErr w:type="spellStart"/>
      <w:r>
        <w:t>Labour</w:t>
      </w:r>
      <w:proofErr w:type="spellEnd"/>
      <w:r>
        <w:t xml:space="preserve"> Court. This interpretation is consonant with another ca</w:t>
      </w:r>
      <w:r>
        <w:t>rdinal canon of interpretation of statutes viz that statutes must be read to speak to each other rather than against each other.</w:t>
      </w:r>
    </w:p>
    <w:p w14:paraId="2871B6AB" w14:textId="77777777" w:rsidR="005D0E10" w:rsidRDefault="005D0E10">
      <w:pPr>
        <w:pStyle w:val="BodyText"/>
        <w:spacing w:before="139"/>
      </w:pPr>
    </w:p>
    <w:p w14:paraId="2D798E25" w14:textId="77777777" w:rsidR="005D0E10" w:rsidRDefault="002B3CFF">
      <w:pPr>
        <w:ind w:left="100"/>
        <w:jc w:val="both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disciplinary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appeals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determinations:</w:t>
      </w:r>
    </w:p>
    <w:p w14:paraId="2B4EFAFB" w14:textId="77777777" w:rsidR="005D0E10" w:rsidRDefault="002B3CFF">
      <w:pPr>
        <w:pStyle w:val="BodyText"/>
        <w:spacing w:before="139" w:line="360" w:lineRule="auto"/>
        <w:ind w:left="100" w:right="120"/>
        <w:jc w:val="both"/>
      </w:pPr>
      <w:r>
        <w:t xml:space="preserve">The point is rather </w:t>
      </w:r>
      <w:proofErr w:type="spellStart"/>
      <w:r>
        <w:t>pendantic</w:t>
      </w:r>
      <w:proofErr w:type="spellEnd"/>
      <w:r>
        <w:t xml:space="preserve">. The appeal determination upheld the ruling of the disciplinary authority. </w:t>
      </w:r>
      <w:proofErr w:type="gramStart"/>
      <w:r>
        <w:t>So</w:t>
      </w:r>
      <w:proofErr w:type="gramEnd"/>
      <w:r>
        <w:t xml:space="preserve"> mentioning both rulings in the</w:t>
      </w:r>
      <w:r>
        <w:rPr>
          <w:spacing w:val="-1"/>
        </w:rPr>
        <w:t xml:space="preserve"> </w:t>
      </w:r>
      <w:r>
        <w:t>appeal against the</w:t>
      </w:r>
      <w:r>
        <w:rPr>
          <w:spacing w:val="-1"/>
        </w:rPr>
        <w:t xml:space="preserve"> </w:t>
      </w:r>
      <w:r>
        <w:t>appeals ruling does not nullify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appeal.</w:t>
      </w:r>
    </w:p>
    <w:p w14:paraId="0FFF4B59" w14:textId="77777777" w:rsidR="005D0E10" w:rsidRDefault="005D0E10">
      <w:pPr>
        <w:pStyle w:val="BodyText"/>
        <w:spacing w:before="138"/>
      </w:pPr>
    </w:p>
    <w:p w14:paraId="4FFA58D7" w14:textId="77777777" w:rsidR="005D0E10" w:rsidRDefault="002B3CFF">
      <w:pPr>
        <w:pStyle w:val="ListParagraph"/>
        <w:numPr>
          <w:ilvl w:val="0"/>
          <w:numId w:val="1"/>
        </w:numPr>
        <w:tabs>
          <w:tab w:val="left" w:pos="340"/>
        </w:tabs>
        <w:spacing w:line="360" w:lineRule="auto"/>
        <w:ind w:right="385" w:firstLine="0"/>
        <w:rPr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defective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violating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19(1)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Rules,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2017</w:t>
      </w:r>
      <w:r>
        <w:rPr>
          <w:sz w:val="24"/>
        </w:rPr>
        <w:t>: Respondent abandoned the point during oral argument.</w:t>
      </w:r>
    </w:p>
    <w:p w14:paraId="522F2332" w14:textId="77777777" w:rsidR="005D0E10" w:rsidRDefault="005D0E10">
      <w:pPr>
        <w:spacing w:line="360" w:lineRule="auto"/>
        <w:rPr>
          <w:sz w:val="24"/>
        </w:rPr>
        <w:sectPr w:rsidR="005D0E10">
          <w:pgSz w:w="12240" w:h="15840"/>
          <w:pgMar w:top="1820" w:right="1320" w:bottom="1200" w:left="1340" w:header="0" w:footer="1012" w:gutter="0"/>
          <w:cols w:space="720"/>
        </w:sectPr>
      </w:pPr>
    </w:p>
    <w:p w14:paraId="75660F00" w14:textId="77777777" w:rsidR="005D0E10" w:rsidRDefault="005D0E10">
      <w:pPr>
        <w:pStyle w:val="BodyText"/>
        <w:spacing w:before="171"/>
      </w:pPr>
    </w:p>
    <w:p w14:paraId="675A6B08" w14:textId="77777777" w:rsidR="005D0E10" w:rsidRDefault="002B3CFF">
      <w:pPr>
        <w:pStyle w:val="ListParagraph"/>
        <w:numPr>
          <w:ilvl w:val="0"/>
          <w:numId w:val="1"/>
        </w:numPr>
        <w:tabs>
          <w:tab w:val="left" w:pos="340"/>
        </w:tabs>
        <w:spacing w:before="0"/>
        <w:ind w:left="340"/>
        <w:jc w:val="both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defective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 to specify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whole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part:</w:t>
      </w:r>
    </w:p>
    <w:p w14:paraId="12C911D0" w14:textId="77777777" w:rsidR="005D0E10" w:rsidRDefault="002B3CFF">
      <w:pPr>
        <w:pStyle w:val="BodyText"/>
        <w:spacing w:before="137" w:line="360" w:lineRule="auto"/>
        <w:ind w:left="100" w:right="121"/>
        <w:jc w:val="both"/>
      </w:pPr>
      <w:r>
        <w:t xml:space="preserve">There is no Rule in the </w:t>
      </w:r>
      <w:proofErr w:type="spellStart"/>
      <w:r>
        <w:rPr>
          <w:b/>
        </w:rPr>
        <w:t>Labour</w:t>
      </w:r>
      <w:proofErr w:type="spellEnd"/>
      <w:r>
        <w:rPr>
          <w:b/>
        </w:rPr>
        <w:t xml:space="preserve"> Court Rules </w:t>
      </w:r>
      <w:r>
        <w:t>which requires an appellant to state that they are appealing against part or the entirety of ruling or determination. Respondent was unable to refer to such Rule or practice.</w:t>
      </w:r>
    </w:p>
    <w:p w14:paraId="46BD0E5C" w14:textId="77777777" w:rsidR="005D0E10" w:rsidRDefault="005D0E10">
      <w:pPr>
        <w:pStyle w:val="BodyText"/>
        <w:spacing w:before="138"/>
      </w:pPr>
    </w:p>
    <w:p w14:paraId="5DDCC94B" w14:textId="77777777" w:rsidR="005D0E10" w:rsidRDefault="002B3CFF">
      <w:pPr>
        <w:ind w:left="100"/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p w14:paraId="7A233555" w14:textId="77777777" w:rsidR="005D0E10" w:rsidRDefault="002B3CFF">
      <w:pPr>
        <w:pStyle w:val="BodyText"/>
        <w:spacing w:before="140"/>
        <w:ind w:left="100"/>
      </w:pP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argued by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merit and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dismissed.</w:t>
      </w:r>
    </w:p>
    <w:p w14:paraId="33C1FE15" w14:textId="77777777" w:rsidR="005D0E10" w:rsidRDefault="005D0E10">
      <w:pPr>
        <w:pStyle w:val="BodyText"/>
      </w:pPr>
    </w:p>
    <w:p w14:paraId="343D3D60" w14:textId="77777777" w:rsidR="005D0E10" w:rsidRDefault="005D0E10">
      <w:pPr>
        <w:pStyle w:val="BodyText"/>
      </w:pPr>
    </w:p>
    <w:p w14:paraId="2C686C3C" w14:textId="77777777" w:rsidR="005D0E10" w:rsidRDefault="005D0E10">
      <w:pPr>
        <w:pStyle w:val="BodyText"/>
      </w:pPr>
    </w:p>
    <w:p w14:paraId="3D0D03E7" w14:textId="77777777" w:rsidR="005D0E10" w:rsidRDefault="005D0E10">
      <w:pPr>
        <w:pStyle w:val="BodyText"/>
      </w:pPr>
    </w:p>
    <w:p w14:paraId="375B810C" w14:textId="77777777" w:rsidR="005D0E10" w:rsidRDefault="005D0E10">
      <w:pPr>
        <w:pStyle w:val="BodyText"/>
      </w:pPr>
    </w:p>
    <w:p w14:paraId="4C7271D1" w14:textId="77777777" w:rsidR="005D0E10" w:rsidRDefault="005D0E10">
      <w:pPr>
        <w:pStyle w:val="BodyText"/>
        <w:spacing w:before="137"/>
      </w:pPr>
    </w:p>
    <w:p w14:paraId="5D852B34" w14:textId="77777777" w:rsidR="005D0E10" w:rsidRDefault="002B3CFF">
      <w:pPr>
        <w:ind w:left="10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58D74048" w14:textId="77777777" w:rsidR="005D0E10" w:rsidRDefault="005D0E10">
      <w:pPr>
        <w:pStyle w:val="BodyText"/>
        <w:rPr>
          <w:b/>
        </w:rPr>
      </w:pPr>
    </w:p>
    <w:p w14:paraId="54C9F48E" w14:textId="77777777" w:rsidR="005D0E10" w:rsidRDefault="005D0E10">
      <w:pPr>
        <w:pStyle w:val="BodyText"/>
        <w:rPr>
          <w:b/>
        </w:rPr>
      </w:pPr>
    </w:p>
    <w:p w14:paraId="62B7C2BA" w14:textId="77777777" w:rsidR="005D0E10" w:rsidRDefault="005D0E10">
      <w:pPr>
        <w:pStyle w:val="BodyText"/>
        <w:rPr>
          <w:b/>
        </w:rPr>
      </w:pPr>
    </w:p>
    <w:p w14:paraId="3EB63CED" w14:textId="77777777" w:rsidR="005D0E10" w:rsidRDefault="005D0E10">
      <w:pPr>
        <w:pStyle w:val="BodyText"/>
        <w:rPr>
          <w:b/>
        </w:rPr>
      </w:pPr>
    </w:p>
    <w:p w14:paraId="704C2464" w14:textId="77777777" w:rsidR="005D0E10" w:rsidRDefault="005D0E10">
      <w:pPr>
        <w:pStyle w:val="BodyText"/>
        <w:rPr>
          <w:b/>
        </w:rPr>
      </w:pPr>
    </w:p>
    <w:p w14:paraId="341CF76E" w14:textId="77777777" w:rsidR="005D0E10" w:rsidRDefault="002B3CF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limine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dismissed;</w:t>
      </w:r>
    </w:p>
    <w:p w14:paraId="564D0E67" w14:textId="77777777" w:rsidR="005D0E10" w:rsidRDefault="005D0E10">
      <w:pPr>
        <w:pStyle w:val="BodyText"/>
        <w:rPr>
          <w:b/>
        </w:rPr>
      </w:pPr>
    </w:p>
    <w:p w14:paraId="652E5E48" w14:textId="77777777" w:rsidR="005D0E10" w:rsidRDefault="005D0E10">
      <w:pPr>
        <w:pStyle w:val="BodyText"/>
        <w:rPr>
          <w:b/>
        </w:rPr>
      </w:pPr>
    </w:p>
    <w:p w14:paraId="3EE3DA54" w14:textId="77777777" w:rsidR="005D0E10" w:rsidRDefault="005D0E10">
      <w:pPr>
        <w:pStyle w:val="BodyText"/>
        <w:rPr>
          <w:b/>
        </w:rPr>
      </w:pPr>
    </w:p>
    <w:p w14:paraId="463BB11E" w14:textId="77777777" w:rsidR="005D0E10" w:rsidRDefault="005D0E10">
      <w:pPr>
        <w:pStyle w:val="BodyText"/>
        <w:spacing w:before="275"/>
        <w:rPr>
          <w:b/>
        </w:rPr>
      </w:pPr>
    </w:p>
    <w:p w14:paraId="7B069540" w14:textId="77777777" w:rsidR="005D0E10" w:rsidRDefault="002B3CFF">
      <w:pPr>
        <w:pStyle w:val="ListParagraph"/>
        <w:numPr>
          <w:ilvl w:val="1"/>
          <w:numId w:val="1"/>
        </w:numPr>
        <w:tabs>
          <w:tab w:val="left" w:pos="820"/>
        </w:tabs>
        <w:spacing w:line="360" w:lineRule="auto"/>
        <w:ind w:right="11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this Court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 directed to re-set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matter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hearing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earliest available date; and</w:t>
      </w:r>
    </w:p>
    <w:p w14:paraId="4698B1C9" w14:textId="77777777" w:rsidR="005D0E10" w:rsidRDefault="005D0E10">
      <w:pPr>
        <w:pStyle w:val="BodyText"/>
        <w:rPr>
          <w:b/>
        </w:rPr>
      </w:pPr>
    </w:p>
    <w:p w14:paraId="6AE93778" w14:textId="77777777" w:rsidR="005D0E10" w:rsidRDefault="005D0E10">
      <w:pPr>
        <w:pStyle w:val="BodyText"/>
        <w:rPr>
          <w:b/>
        </w:rPr>
      </w:pPr>
    </w:p>
    <w:p w14:paraId="1001F36D" w14:textId="77777777" w:rsidR="005D0E10" w:rsidRDefault="005D0E10">
      <w:pPr>
        <w:pStyle w:val="BodyText"/>
        <w:rPr>
          <w:b/>
        </w:rPr>
      </w:pPr>
    </w:p>
    <w:p w14:paraId="35E467C0" w14:textId="77777777" w:rsidR="005D0E10" w:rsidRDefault="005D0E10">
      <w:pPr>
        <w:pStyle w:val="BodyText"/>
        <w:spacing w:before="139"/>
        <w:rPr>
          <w:b/>
        </w:rPr>
      </w:pPr>
    </w:p>
    <w:p w14:paraId="166D11B6" w14:textId="26D988C2" w:rsidR="005D0E10" w:rsidRDefault="002B3CF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Costs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costs in the </w:t>
      </w:r>
      <w:r>
        <w:rPr>
          <w:b/>
          <w:spacing w:val="-2"/>
          <w:sz w:val="24"/>
        </w:rPr>
        <w:t>cause.</w:t>
      </w:r>
    </w:p>
    <w:p w14:paraId="714D283D" w14:textId="77777777" w:rsidR="005D0E10" w:rsidRDefault="005D0E10">
      <w:pPr>
        <w:pStyle w:val="BodyText"/>
        <w:rPr>
          <w:b/>
        </w:rPr>
      </w:pPr>
    </w:p>
    <w:p w14:paraId="380DA40C" w14:textId="77777777" w:rsidR="005D0E10" w:rsidRDefault="005D0E10">
      <w:pPr>
        <w:pStyle w:val="BodyText"/>
        <w:rPr>
          <w:b/>
        </w:rPr>
      </w:pPr>
    </w:p>
    <w:p w14:paraId="7E5B2BCF" w14:textId="77777777" w:rsidR="005D0E10" w:rsidRDefault="005D0E10">
      <w:pPr>
        <w:pStyle w:val="BodyText"/>
        <w:spacing w:before="136"/>
        <w:rPr>
          <w:b/>
        </w:rPr>
      </w:pPr>
    </w:p>
    <w:p w14:paraId="0AACA109" w14:textId="77777777" w:rsidR="005D0E10" w:rsidRDefault="002B3CFF">
      <w:pPr>
        <w:spacing w:before="1" w:line="360" w:lineRule="auto"/>
        <w:ind w:left="4214" w:right="4026" w:hanging="209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5D0E10">
      <w:pgSz w:w="12240" w:h="15840"/>
      <w:pgMar w:top="182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DD84" w14:textId="77777777" w:rsidR="002B3CFF" w:rsidRDefault="002B3CFF">
      <w:r>
        <w:separator/>
      </w:r>
    </w:p>
  </w:endnote>
  <w:endnote w:type="continuationSeparator" w:id="0">
    <w:p w14:paraId="3A7111C8" w14:textId="77777777" w:rsidR="002B3CFF" w:rsidRDefault="002B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ECC5" w14:textId="77777777" w:rsidR="005D0E10" w:rsidRDefault="002B3C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7B963ECC" wp14:editId="4DF4164A">
              <wp:simplePos x="0" y="0"/>
              <wp:positionH relativeFrom="page">
                <wp:posOffset>3645534</wp:posOffset>
              </wp:positionH>
              <wp:positionV relativeFrom="page">
                <wp:posOffset>9275774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3BFAF" w14:textId="77777777" w:rsidR="005D0E10" w:rsidRDefault="002B3CF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63E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05pt;margin-top:730.4pt;width:7.6pt;height:13.0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J79RDThAAAADQEA&#10;AA8AAAAAAAAAAAAAAAAA6wMAAGRycy9kb3ducmV2LnhtbFBLBQYAAAAABAAEAPMAAAD5BAAAAAA=&#10;" filled="f" stroked="f">
              <v:textbox inset="0,0,0,0">
                <w:txbxContent>
                  <w:p w14:paraId="7FD3BFAF" w14:textId="77777777" w:rsidR="005D0E10" w:rsidRDefault="002B3CF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4A3A" w14:textId="77777777" w:rsidR="005D0E10" w:rsidRDefault="002B3C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807EA3A" wp14:editId="52B188A3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82897" w14:textId="77777777" w:rsidR="005D0E10" w:rsidRDefault="002B3CF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7EA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0.3pt;margin-top:730.4pt;width:12.6pt;height:13.0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" filled="f" stroked="f">
              <v:textbox inset="0,0,0,0">
                <w:txbxContent>
                  <w:p w14:paraId="7DC82897" w14:textId="77777777" w:rsidR="005D0E10" w:rsidRDefault="002B3CF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BCAB" w14:textId="77777777" w:rsidR="002B3CFF" w:rsidRDefault="002B3CFF">
      <w:r>
        <w:separator/>
      </w:r>
    </w:p>
  </w:footnote>
  <w:footnote w:type="continuationSeparator" w:id="0">
    <w:p w14:paraId="5632EF0E" w14:textId="77777777" w:rsidR="002B3CFF" w:rsidRDefault="002B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440C"/>
    <w:multiLevelType w:val="hybridMultilevel"/>
    <w:tmpl w:val="97A65F2C"/>
    <w:lvl w:ilvl="0" w:tplc="705CD9B8">
      <w:start w:val="3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5A094C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7A05B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C9D80ED0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7FFEC98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5F42014E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698E093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C686A2B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8D407C9E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 w16cid:durableId="161594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10"/>
    <w:rsid w:val="002B3CFF"/>
    <w:rsid w:val="005D0E10"/>
    <w:rsid w:val="0091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F3FF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3</cp:revision>
  <dcterms:created xsi:type="dcterms:W3CDTF">2024-03-25T08:11:00Z</dcterms:created>
  <dcterms:modified xsi:type="dcterms:W3CDTF">2024-03-25T08:11:00Z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  <property fmtid="{D5CDD505-2E9C-101B-9397-08002B2CF9AE}" pid="5" name="Producer">
    <vt:lpwstr>䵩捲潳潦璮⁗潲搠㈰ㄹ㬠浯摩晩敤⁵獩湧⁩呥硴′⸱⸷⁢礠ㅔ㍘吀</vt:lpwstr>
  </property>
</Properties>
</file>