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A9" w:rsidRDefault="005F2471" w:rsidP="005F2471">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ELTON HAKATA</w:t>
      </w:r>
    </w:p>
    <w:p w:rsidR="005F2471" w:rsidRDefault="005F2471" w:rsidP="005F2471">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5F2471" w:rsidRDefault="005F2471" w:rsidP="005F2471">
      <w:pPr>
        <w:pStyle w:val="NoSpacing"/>
        <w:jc w:val="both"/>
        <w:rPr>
          <w:rFonts w:ascii="Times New Roman" w:hAnsi="Times New Roman" w:cs="Times New Roman"/>
          <w:sz w:val="24"/>
          <w:szCs w:val="24"/>
        </w:rPr>
      </w:pPr>
      <w:r>
        <w:rPr>
          <w:rFonts w:ascii="Times New Roman" w:hAnsi="Times New Roman" w:cs="Times New Roman"/>
          <w:sz w:val="24"/>
          <w:szCs w:val="24"/>
        </w:rPr>
        <w:t>EDIAS GONDO</w:t>
      </w:r>
    </w:p>
    <w:p w:rsidR="005F2471" w:rsidRDefault="005F2471" w:rsidP="005F2471">
      <w:pPr>
        <w:pStyle w:val="NoSpacing"/>
        <w:jc w:val="both"/>
        <w:rPr>
          <w:rFonts w:ascii="Times New Roman" w:hAnsi="Times New Roman" w:cs="Times New Roman"/>
          <w:sz w:val="24"/>
          <w:szCs w:val="24"/>
        </w:rPr>
      </w:pPr>
    </w:p>
    <w:p w:rsidR="005F2471" w:rsidRDefault="005F2471" w:rsidP="005F2471">
      <w:pPr>
        <w:pStyle w:val="NoSpacing"/>
        <w:jc w:val="both"/>
        <w:rPr>
          <w:rFonts w:ascii="Times New Roman" w:hAnsi="Times New Roman" w:cs="Times New Roman"/>
          <w:sz w:val="24"/>
          <w:szCs w:val="24"/>
        </w:rPr>
      </w:pPr>
    </w:p>
    <w:p w:rsidR="005F2471" w:rsidRDefault="005F2471" w:rsidP="005F2471">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5F2471" w:rsidRPr="005F2471" w:rsidRDefault="007924AA" w:rsidP="005F247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DUBE JP &amp; </w:t>
      </w:r>
      <w:r w:rsidR="005F2471" w:rsidRPr="005F2471">
        <w:rPr>
          <w:rFonts w:ascii="Times New Roman" w:hAnsi="Times New Roman" w:cs="Times New Roman"/>
          <w:b/>
          <w:sz w:val="24"/>
          <w:szCs w:val="24"/>
        </w:rPr>
        <w:t>FOROMA J</w:t>
      </w:r>
    </w:p>
    <w:p w:rsidR="005F2471" w:rsidRDefault="0008205E" w:rsidP="005F2471">
      <w:pPr>
        <w:pStyle w:val="NoSpacing"/>
        <w:jc w:val="both"/>
        <w:rPr>
          <w:rFonts w:ascii="Times New Roman" w:hAnsi="Times New Roman" w:cs="Times New Roman"/>
          <w:sz w:val="24"/>
          <w:szCs w:val="24"/>
        </w:rPr>
      </w:pPr>
      <w:r>
        <w:rPr>
          <w:rFonts w:ascii="Times New Roman" w:hAnsi="Times New Roman" w:cs="Times New Roman"/>
          <w:sz w:val="24"/>
          <w:szCs w:val="24"/>
        </w:rPr>
        <w:t>HARARE; 23 January &amp; 9 June 2025</w:t>
      </w:r>
    </w:p>
    <w:p w:rsidR="005F2471" w:rsidRDefault="005F2471" w:rsidP="005F2471">
      <w:pPr>
        <w:pStyle w:val="NoSpacing"/>
        <w:jc w:val="both"/>
        <w:rPr>
          <w:rFonts w:ascii="Times New Roman" w:hAnsi="Times New Roman" w:cs="Times New Roman"/>
          <w:sz w:val="24"/>
          <w:szCs w:val="24"/>
        </w:rPr>
      </w:pPr>
    </w:p>
    <w:p w:rsidR="005F2471" w:rsidRDefault="005F2471" w:rsidP="005F2471">
      <w:pPr>
        <w:pStyle w:val="NoSpacing"/>
        <w:jc w:val="both"/>
        <w:rPr>
          <w:rFonts w:ascii="Times New Roman" w:hAnsi="Times New Roman" w:cs="Times New Roman"/>
          <w:sz w:val="24"/>
          <w:szCs w:val="24"/>
        </w:rPr>
      </w:pPr>
    </w:p>
    <w:p w:rsidR="005F2471" w:rsidRPr="007924AA" w:rsidRDefault="005F2471" w:rsidP="005F2471">
      <w:pPr>
        <w:pStyle w:val="NoSpacing"/>
        <w:jc w:val="both"/>
        <w:rPr>
          <w:rFonts w:ascii="Times New Roman" w:hAnsi="Times New Roman" w:cs="Times New Roman"/>
          <w:b/>
          <w:i/>
          <w:sz w:val="24"/>
          <w:szCs w:val="24"/>
        </w:rPr>
      </w:pPr>
      <w:r w:rsidRPr="007924AA">
        <w:rPr>
          <w:rFonts w:ascii="Times New Roman" w:hAnsi="Times New Roman" w:cs="Times New Roman"/>
          <w:b/>
          <w:i/>
          <w:sz w:val="24"/>
          <w:szCs w:val="24"/>
        </w:rPr>
        <w:t>Ruling on a Point in Limine</w:t>
      </w:r>
    </w:p>
    <w:p w:rsidR="005F2471" w:rsidRDefault="005F2471" w:rsidP="005F2471">
      <w:pPr>
        <w:pStyle w:val="NoSpacing"/>
        <w:jc w:val="both"/>
        <w:rPr>
          <w:rFonts w:ascii="Times New Roman" w:hAnsi="Times New Roman" w:cs="Times New Roman"/>
          <w:b/>
          <w:sz w:val="24"/>
          <w:szCs w:val="24"/>
        </w:rPr>
      </w:pPr>
    </w:p>
    <w:p w:rsidR="005F2471" w:rsidRDefault="005F2471" w:rsidP="005F2471">
      <w:pPr>
        <w:pStyle w:val="NoSpacing"/>
        <w:jc w:val="both"/>
        <w:rPr>
          <w:rFonts w:ascii="Times New Roman" w:hAnsi="Times New Roman" w:cs="Times New Roman"/>
          <w:b/>
          <w:sz w:val="24"/>
          <w:szCs w:val="24"/>
        </w:rPr>
      </w:pPr>
    </w:p>
    <w:p w:rsidR="005F2471" w:rsidRDefault="00080E2F" w:rsidP="005F247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Advocate J </w:t>
      </w:r>
      <w:r w:rsidR="007924AA" w:rsidRPr="007924AA">
        <w:rPr>
          <w:rFonts w:ascii="Times New Roman" w:hAnsi="Times New Roman" w:cs="Times New Roman"/>
          <w:i/>
          <w:sz w:val="24"/>
          <w:szCs w:val="24"/>
        </w:rPr>
        <w:t>C</w:t>
      </w:r>
      <w:r w:rsidR="007924AA">
        <w:rPr>
          <w:rFonts w:ascii="Times New Roman" w:hAnsi="Times New Roman" w:cs="Times New Roman"/>
          <w:i/>
          <w:sz w:val="24"/>
          <w:szCs w:val="24"/>
        </w:rPr>
        <w:t>hirambwe</w:t>
      </w:r>
      <w:r w:rsidR="005F2471">
        <w:rPr>
          <w:rFonts w:ascii="Times New Roman" w:hAnsi="Times New Roman" w:cs="Times New Roman"/>
          <w:sz w:val="24"/>
          <w:szCs w:val="24"/>
        </w:rPr>
        <w:t>, for the appellant</w:t>
      </w:r>
    </w:p>
    <w:p w:rsidR="005F2471" w:rsidRDefault="007924AA" w:rsidP="005F2471">
      <w:pPr>
        <w:pStyle w:val="NoSpacing"/>
        <w:jc w:val="both"/>
        <w:rPr>
          <w:rFonts w:ascii="Times New Roman" w:hAnsi="Times New Roman" w:cs="Times New Roman"/>
          <w:sz w:val="24"/>
          <w:szCs w:val="24"/>
        </w:rPr>
      </w:pPr>
      <w:r w:rsidRPr="007924AA">
        <w:rPr>
          <w:rFonts w:ascii="Times New Roman" w:hAnsi="Times New Roman" w:cs="Times New Roman"/>
          <w:i/>
          <w:sz w:val="24"/>
          <w:szCs w:val="24"/>
        </w:rPr>
        <w:t>F Nyamayaro</w:t>
      </w:r>
      <w:r w:rsidR="005F2471">
        <w:rPr>
          <w:rFonts w:ascii="Times New Roman" w:hAnsi="Times New Roman" w:cs="Times New Roman"/>
          <w:sz w:val="24"/>
          <w:szCs w:val="24"/>
        </w:rPr>
        <w:t>, for the respondent</w:t>
      </w:r>
    </w:p>
    <w:p w:rsidR="005F2471" w:rsidRDefault="005F2471" w:rsidP="005F2471">
      <w:pPr>
        <w:pStyle w:val="NoSpacing"/>
        <w:jc w:val="both"/>
        <w:rPr>
          <w:rFonts w:ascii="Times New Roman" w:hAnsi="Times New Roman" w:cs="Times New Roman"/>
          <w:sz w:val="24"/>
          <w:szCs w:val="24"/>
        </w:rPr>
      </w:pPr>
    </w:p>
    <w:p w:rsidR="005F2471" w:rsidRDefault="005F2471" w:rsidP="005F2471">
      <w:pPr>
        <w:pStyle w:val="NoSpacing"/>
        <w:jc w:val="both"/>
        <w:rPr>
          <w:rFonts w:ascii="Times New Roman" w:hAnsi="Times New Roman" w:cs="Times New Roman"/>
          <w:sz w:val="24"/>
          <w:szCs w:val="24"/>
        </w:rPr>
      </w:pPr>
    </w:p>
    <w:p w:rsidR="005F2471" w:rsidRDefault="005F2471" w:rsidP="005F2471">
      <w:pPr>
        <w:pStyle w:val="NoSpacing"/>
        <w:jc w:val="both"/>
        <w:rPr>
          <w:rFonts w:ascii="Times New Roman" w:hAnsi="Times New Roman" w:cs="Times New Roman"/>
          <w:sz w:val="24"/>
          <w:szCs w:val="24"/>
        </w:rPr>
      </w:pPr>
      <w:r>
        <w:rPr>
          <w:rFonts w:ascii="Times New Roman" w:hAnsi="Times New Roman" w:cs="Times New Roman"/>
          <w:sz w:val="24"/>
          <w:szCs w:val="24"/>
        </w:rPr>
        <w:tab/>
        <w:t>FOROMA J:</w:t>
      </w:r>
    </w:p>
    <w:p w:rsidR="005F2471" w:rsidRDefault="005F2471" w:rsidP="005F2471">
      <w:pPr>
        <w:pStyle w:val="NoSpacing"/>
        <w:jc w:val="both"/>
        <w:rPr>
          <w:rFonts w:ascii="Times New Roman" w:hAnsi="Times New Roman" w:cs="Times New Roman"/>
          <w:sz w:val="24"/>
          <w:szCs w:val="24"/>
        </w:rPr>
      </w:pPr>
    </w:p>
    <w:p w:rsidR="005F2471" w:rsidRDefault="005F2471" w:rsidP="005F2471">
      <w:pPr>
        <w:pStyle w:val="NoSpacing"/>
        <w:jc w:val="both"/>
        <w:rPr>
          <w:rFonts w:ascii="Times New Roman" w:hAnsi="Times New Roman" w:cs="Times New Roman"/>
          <w:sz w:val="24"/>
          <w:szCs w:val="24"/>
        </w:rPr>
      </w:pPr>
    </w:p>
    <w:p w:rsidR="005F2471" w:rsidRDefault="005F2471" w:rsidP="005F24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commencement of the hearing of this appeal Mr </w:t>
      </w:r>
      <w:r w:rsidRPr="00C81224">
        <w:rPr>
          <w:rFonts w:ascii="Times New Roman" w:hAnsi="Times New Roman" w:cs="Times New Roman"/>
          <w:i/>
          <w:sz w:val="24"/>
          <w:szCs w:val="24"/>
        </w:rPr>
        <w:t>F Nyamayaro</w:t>
      </w:r>
      <w:r>
        <w:rPr>
          <w:rFonts w:ascii="Times New Roman" w:hAnsi="Times New Roman" w:cs="Times New Roman"/>
          <w:sz w:val="24"/>
          <w:szCs w:val="24"/>
        </w:rPr>
        <w:t xml:space="preserve"> representing the respondent took a point </w:t>
      </w:r>
      <w:r w:rsidRPr="00080E2F">
        <w:rPr>
          <w:rFonts w:ascii="Times New Roman" w:hAnsi="Times New Roman" w:cs="Times New Roman"/>
          <w:i/>
          <w:sz w:val="24"/>
          <w:szCs w:val="24"/>
        </w:rPr>
        <w:t>in limine</w:t>
      </w:r>
      <w:r>
        <w:rPr>
          <w:rFonts w:ascii="Times New Roman" w:hAnsi="Times New Roman" w:cs="Times New Roman"/>
          <w:sz w:val="24"/>
          <w:szCs w:val="24"/>
        </w:rPr>
        <w:t xml:space="preserve"> in terms of which he submitted that there was no valid notice of appeal before the court by reason of the fact that the appellant did not pay the security for respondent’s costs</w:t>
      </w:r>
      <w:r w:rsidR="00EC12CB">
        <w:rPr>
          <w:rFonts w:ascii="Times New Roman" w:hAnsi="Times New Roman" w:cs="Times New Roman"/>
          <w:sz w:val="24"/>
          <w:szCs w:val="24"/>
        </w:rPr>
        <w:t xml:space="preserve"> in breach of Order 31</w:t>
      </w:r>
      <w:r w:rsidR="007924AA">
        <w:rPr>
          <w:rFonts w:ascii="Times New Roman" w:hAnsi="Times New Roman" w:cs="Times New Roman"/>
          <w:sz w:val="24"/>
          <w:szCs w:val="24"/>
        </w:rPr>
        <w:t xml:space="preserve"> Rule 1</w:t>
      </w:r>
      <w:r w:rsidR="00EC12CB">
        <w:rPr>
          <w:rFonts w:ascii="Times New Roman" w:hAnsi="Times New Roman" w:cs="Times New Roman"/>
          <w:sz w:val="24"/>
          <w:szCs w:val="24"/>
        </w:rPr>
        <w:t>(2)(b</w:t>
      </w:r>
      <w:r w:rsidR="00887784">
        <w:rPr>
          <w:rFonts w:ascii="Times New Roman" w:hAnsi="Times New Roman" w:cs="Times New Roman"/>
          <w:sz w:val="24"/>
          <w:szCs w:val="24"/>
        </w:rPr>
        <w:t>)</w:t>
      </w:r>
      <w:r w:rsidR="00EC12CB">
        <w:rPr>
          <w:rFonts w:ascii="Times New Roman" w:hAnsi="Times New Roman" w:cs="Times New Roman"/>
          <w:sz w:val="24"/>
          <w:szCs w:val="24"/>
        </w:rPr>
        <w:t>(i)</w:t>
      </w:r>
      <w:r w:rsidR="00887784">
        <w:rPr>
          <w:rFonts w:ascii="Times New Roman" w:hAnsi="Times New Roman" w:cs="Times New Roman"/>
          <w:sz w:val="24"/>
          <w:szCs w:val="24"/>
        </w:rPr>
        <w:t xml:space="preserve"> an</w:t>
      </w:r>
      <w:r w:rsidR="00143C49">
        <w:rPr>
          <w:rFonts w:ascii="Times New Roman" w:hAnsi="Times New Roman" w:cs="Times New Roman"/>
          <w:sz w:val="24"/>
          <w:szCs w:val="24"/>
        </w:rPr>
        <w:t xml:space="preserve">d (b) of the Magistrates Court </w:t>
      </w:r>
      <w:r w:rsidR="00EC12CB">
        <w:rPr>
          <w:rFonts w:ascii="Times New Roman" w:hAnsi="Times New Roman" w:cs="Times New Roman"/>
          <w:sz w:val="24"/>
          <w:szCs w:val="24"/>
        </w:rPr>
        <w:t>(</w:t>
      </w:r>
      <w:r w:rsidR="00143C49">
        <w:rPr>
          <w:rFonts w:ascii="Times New Roman" w:hAnsi="Times New Roman" w:cs="Times New Roman"/>
          <w:sz w:val="24"/>
          <w:szCs w:val="24"/>
        </w:rPr>
        <w:t>C</w:t>
      </w:r>
      <w:r w:rsidR="00887784">
        <w:rPr>
          <w:rFonts w:ascii="Times New Roman" w:hAnsi="Times New Roman" w:cs="Times New Roman"/>
          <w:sz w:val="24"/>
          <w:szCs w:val="24"/>
        </w:rPr>
        <w:t>ivil</w:t>
      </w:r>
      <w:r w:rsidR="00EC12CB">
        <w:rPr>
          <w:rFonts w:ascii="Times New Roman" w:hAnsi="Times New Roman" w:cs="Times New Roman"/>
          <w:sz w:val="24"/>
          <w:szCs w:val="24"/>
        </w:rPr>
        <w:t>)</w:t>
      </w:r>
      <w:r w:rsidR="00887784">
        <w:rPr>
          <w:rFonts w:ascii="Times New Roman" w:hAnsi="Times New Roman" w:cs="Times New Roman"/>
          <w:sz w:val="24"/>
          <w:szCs w:val="24"/>
        </w:rPr>
        <w:t xml:space="preserve"> Rules</w:t>
      </w:r>
      <w:r w:rsidR="00080E2F">
        <w:rPr>
          <w:rFonts w:ascii="Times New Roman" w:hAnsi="Times New Roman" w:cs="Times New Roman"/>
          <w:sz w:val="24"/>
          <w:szCs w:val="24"/>
        </w:rPr>
        <w:t>,</w:t>
      </w:r>
      <w:r w:rsidR="00EC12CB">
        <w:rPr>
          <w:rFonts w:ascii="Times New Roman" w:hAnsi="Times New Roman" w:cs="Times New Roman"/>
          <w:sz w:val="24"/>
          <w:szCs w:val="24"/>
        </w:rPr>
        <w:t xml:space="preserve"> 2019</w:t>
      </w:r>
      <w:r>
        <w:rPr>
          <w:rFonts w:ascii="Times New Roman" w:hAnsi="Times New Roman" w:cs="Times New Roman"/>
          <w:sz w:val="24"/>
          <w:szCs w:val="24"/>
        </w:rPr>
        <w:t xml:space="preserve">. The point </w:t>
      </w:r>
      <w:r w:rsidR="00080E2F">
        <w:rPr>
          <w:rFonts w:ascii="Times New Roman" w:hAnsi="Times New Roman" w:cs="Times New Roman"/>
          <w:i/>
          <w:sz w:val="24"/>
          <w:szCs w:val="24"/>
        </w:rPr>
        <w:t xml:space="preserve">in </w:t>
      </w:r>
      <w:r w:rsidRPr="00080E2F">
        <w:rPr>
          <w:rFonts w:ascii="Times New Roman" w:hAnsi="Times New Roman" w:cs="Times New Roman"/>
          <w:i/>
          <w:sz w:val="24"/>
          <w:szCs w:val="24"/>
        </w:rPr>
        <w:t>limine</w:t>
      </w:r>
      <w:r>
        <w:rPr>
          <w:rFonts w:ascii="Times New Roman" w:hAnsi="Times New Roman" w:cs="Times New Roman"/>
          <w:sz w:val="24"/>
          <w:szCs w:val="24"/>
        </w:rPr>
        <w:t xml:space="preserve"> was strenuously</w:t>
      </w:r>
      <w:r w:rsidR="00D12A2D">
        <w:rPr>
          <w:rFonts w:ascii="Times New Roman" w:hAnsi="Times New Roman" w:cs="Times New Roman"/>
          <w:sz w:val="24"/>
          <w:szCs w:val="24"/>
        </w:rPr>
        <w:t xml:space="preserve"> opposed by </w:t>
      </w:r>
      <w:r w:rsidR="00D12A2D" w:rsidRPr="00C81224">
        <w:rPr>
          <w:rFonts w:ascii="Times New Roman" w:hAnsi="Times New Roman" w:cs="Times New Roman"/>
          <w:i/>
          <w:sz w:val="24"/>
          <w:szCs w:val="24"/>
        </w:rPr>
        <w:t>Advocate C. Chirambwe</w:t>
      </w:r>
      <w:r w:rsidR="00D12A2D">
        <w:rPr>
          <w:rFonts w:ascii="Times New Roman" w:hAnsi="Times New Roman" w:cs="Times New Roman"/>
          <w:sz w:val="24"/>
          <w:szCs w:val="24"/>
        </w:rPr>
        <w:t xml:space="preserve"> who contended that the failure to pay security for costs did not invalidate the notice of appeal.</w:t>
      </w:r>
      <w:r>
        <w:rPr>
          <w:rFonts w:ascii="Times New Roman" w:hAnsi="Times New Roman" w:cs="Times New Roman"/>
          <w:sz w:val="24"/>
          <w:szCs w:val="24"/>
        </w:rPr>
        <w:t xml:space="preserve"> </w:t>
      </w:r>
    </w:p>
    <w:p w:rsidR="00D12A2D" w:rsidRDefault="00EC12CB" w:rsidP="005F24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Order 31 </w:t>
      </w:r>
      <w:r w:rsidR="007924AA">
        <w:rPr>
          <w:rFonts w:ascii="Times New Roman" w:hAnsi="Times New Roman" w:cs="Times New Roman"/>
          <w:sz w:val="24"/>
          <w:szCs w:val="24"/>
        </w:rPr>
        <w:t>Rule 1</w:t>
      </w:r>
      <w:r>
        <w:rPr>
          <w:rFonts w:ascii="Times New Roman" w:hAnsi="Times New Roman" w:cs="Times New Roman"/>
          <w:sz w:val="24"/>
          <w:szCs w:val="24"/>
        </w:rPr>
        <w:t>(2)(a) and (b)(i</w:t>
      </w:r>
      <w:r w:rsidR="00887784">
        <w:rPr>
          <w:rFonts w:ascii="Times New Roman" w:hAnsi="Times New Roman" w:cs="Times New Roman"/>
          <w:sz w:val="24"/>
          <w:szCs w:val="24"/>
        </w:rPr>
        <w:t xml:space="preserve">) </w:t>
      </w:r>
      <w:r w:rsidR="007924AA">
        <w:rPr>
          <w:rFonts w:ascii="Times New Roman" w:hAnsi="Times New Roman" w:cs="Times New Roman"/>
          <w:sz w:val="24"/>
          <w:szCs w:val="24"/>
        </w:rPr>
        <w:t xml:space="preserve">and (ii) </w:t>
      </w:r>
      <w:r w:rsidR="00887784">
        <w:rPr>
          <w:rFonts w:ascii="Times New Roman" w:hAnsi="Times New Roman" w:cs="Times New Roman"/>
          <w:sz w:val="24"/>
          <w:szCs w:val="24"/>
        </w:rPr>
        <w:t>reads as follows</w:t>
      </w:r>
      <w:r w:rsidR="00D12A2D">
        <w:rPr>
          <w:rFonts w:ascii="Times New Roman" w:hAnsi="Times New Roman" w:cs="Times New Roman"/>
          <w:sz w:val="24"/>
          <w:szCs w:val="24"/>
        </w:rPr>
        <w:t xml:space="preserve"> – An appeal</w:t>
      </w:r>
      <w:r w:rsidR="00D12A2D" w:rsidRPr="00887784">
        <w:rPr>
          <w:rFonts w:ascii="Times New Roman" w:hAnsi="Times New Roman" w:cs="Times New Roman"/>
          <w:sz w:val="24"/>
          <w:szCs w:val="24"/>
        </w:rPr>
        <w:t xml:space="preserve"> </w:t>
      </w:r>
      <w:r w:rsidR="00D12A2D" w:rsidRPr="00887784">
        <w:rPr>
          <w:rFonts w:ascii="Times New Roman" w:hAnsi="Times New Roman" w:cs="Times New Roman"/>
          <w:sz w:val="24"/>
          <w:szCs w:val="24"/>
          <w:u w:val="single"/>
        </w:rPr>
        <w:t>shall</w:t>
      </w:r>
      <w:r w:rsidR="00D12A2D" w:rsidRPr="00887784">
        <w:rPr>
          <w:rFonts w:ascii="Times New Roman" w:hAnsi="Times New Roman" w:cs="Times New Roman"/>
          <w:sz w:val="24"/>
          <w:szCs w:val="24"/>
        </w:rPr>
        <w:t xml:space="preserve"> </w:t>
      </w:r>
      <w:r w:rsidR="00D12A2D">
        <w:rPr>
          <w:rFonts w:ascii="Times New Roman" w:hAnsi="Times New Roman" w:cs="Times New Roman"/>
          <w:sz w:val="24"/>
          <w:szCs w:val="24"/>
        </w:rPr>
        <w:t>be noted by:</w:t>
      </w:r>
    </w:p>
    <w:p w:rsidR="00D12A2D" w:rsidRDefault="00D12A2D" w:rsidP="00D12A2D">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delivery of notice and</w:t>
      </w:r>
    </w:p>
    <w:p w:rsidR="00D12A2D" w:rsidRDefault="00D12A2D" w:rsidP="00D12A2D">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unless the court of appeal otherwise directs giving security for</w:t>
      </w:r>
    </w:p>
    <w:p w:rsidR="00D12A2D" w:rsidRDefault="00D12A2D" w:rsidP="00D12A2D">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costs of appeal to the amount of one hundred dollars,</w:t>
      </w:r>
    </w:p>
    <w:p w:rsidR="00D12A2D" w:rsidRDefault="00D12A2D" w:rsidP="00D12A2D">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costs of the preparation of a copy of the record to the amount estimated by the Clerk of the court.</w:t>
      </w:r>
    </w:p>
    <w:p w:rsidR="00D12A2D" w:rsidRDefault="00D12A2D" w:rsidP="00D12A2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Provided that a clerk of the court may in his or her discretion accept a written undertaking from the appellant to pay for the preparation for the record. </w:t>
      </w:r>
      <w:r w:rsidR="00143C49">
        <w:rPr>
          <w:rFonts w:ascii="Times New Roman" w:hAnsi="Times New Roman" w:cs="Times New Roman"/>
          <w:sz w:val="24"/>
          <w:szCs w:val="24"/>
        </w:rPr>
        <w:t>(</w:t>
      </w:r>
      <w:r w:rsidR="00EC12CB">
        <w:rPr>
          <w:rFonts w:ascii="Times New Roman" w:hAnsi="Times New Roman" w:cs="Times New Roman"/>
          <w:sz w:val="24"/>
          <w:szCs w:val="24"/>
        </w:rPr>
        <w:t xml:space="preserve">The underlining is </w:t>
      </w:r>
      <w:r>
        <w:rPr>
          <w:rFonts w:ascii="Times New Roman" w:hAnsi="Times New Roman" w:cs="Times New Roman"/>
          <w:sz w:val="24"/>
          <w:szCs w:val="24"/>
        </w:rPr>
        <w:t>for purpose of highlighting that the provision is peremptory.</w:t>
      </w:r>
      <w:r w:rsidR="00143C49">
        <w:rPr>
          <w:rFonts w:ascii="Times New Roman" w:hAnsi="Times New Roman" w:cs="Times New Roman"/>
          <w:sz w:val="24"/>
          <w:szCs w:val="24"/>
        </w:rPr>
        <w:t>)</w:t>
      </w:r>
    </w:p>
    <w:p w:rsidR="00887784" w:rsidRDefault="00D12A2D" w:rsidP="00887784">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EC12CB">
        <w:rPr>
          <w:rFonts w:ascii="Times New Roman" w:hAnsi="Times New Roman" w:cs="Times New Roman"/>
          <w:sz w:val="24"/>
          <w:szCs w:val="24"/>
        </w:rPr>
        <w:t xml:space="preserve">Mr </w:t>
      </w:r>
      <w:r w:rsidR="00EC12CB" w:rsidRPr="007924AA">
        <w:rPr>
          <w:rFonts w:ascii="Times New Roman" w:hAnsi="Times New Roman" w:cs="Times New Roman"/>
          <w:i/>
          <w:sz w:val="24"/>
          <w:szCs w:val="24"/>
        </w:rPr>
        <w:t>Chirambwe</w:t>
      </w:r>
      <w:r w:rsidR="00EC12CB">
        <w:rPr>
          <w:rFonts w:ascii="Times New Roman" w:hAnsi="Times New Roman" w:cs="Times New Roman"/>
          <w:sz w:val="24"/>
          <w:szCs w:val="24"/>
        </w:rPr>
        <w:t xml:space="preserve"> cited the case</w:t>
      </w:r>
      <w:r>
        <w:rPr>
          <w:rFonts w:ascii="Times New Roman" w:hAnsi="Times New Roman" w:cs="Times New Roman"/>
          <w:sz w:val="24"/>
          <w:szCs w:val="24"/>
        </w:rPr>
        <w:t xml:space="preserve"> of </w:t>
      </w:r>
      <w:r w:rsidRPr="00C81224">
        <w:rPr>
          <w:rFonts w:ascii="Times New Roman" w:hAnsi="Times New Roman" w:cs="Times New Roman"/>
          <w:i/>
          <w:sz w:val="24"/>
          <w:szCs w:val="24"/>
        </w:rPr>
        <w:t>Lee John Waverly</w:t>
      </w:r>
      <w:r>
        <w:rPr>
          <w:rFonts w:ascii="Times New Roman" w:hAnsi="Times New Roman" w:cs="Times New Roman"/>
          <w:sz w:val="24"/>
          <w:szCs w:val="24"/>
        </w:rPr>
        <w:t xml:space="preserve"> v </w:t>
      </w:r>
      <w:r w:rsidRPr="00C81224">
        <w:rPr>
          <w:rFonts w:ascii="Times New Roman" w:hAnsi="Times New Roman" w:cs="Times New Roman"/>
          <w:i/>
          <w:sz w:val="24"/>
          <w:szCs w:val="24"/>
        </w:rPr>
        <w:t>Principal Immigration Officer &amp; Another</w:t>
      </w:r>
      <w:r>
        <w:rPr>
          <w:rFonts w:ascii="Times New Roman" w:hAnsi="Times New Roman" w:cs="Times New Roman"/>
          <w:sz w:val="24"/>
          <w:szCs w:val="24"/>
        </w:rPr>
        <w:t xml:space="preserve"> HH 36/15 </w:t>
      </w:r>
      <w:r w:rsidR="00EC12CB">
        <w:rPr>
          <w:rFonts w:ascii="Times New Roman" w:hAnsi="Times New Roman" w:cs="Times New Roman"/>
          <w:sz w:val="24"/>
          <w:szCs w:val="24"/>
        </w:rPr>
        <w:t>reported in 2015 (1) ZLR p72 and</w:t>
      </w:r>
      <w:r w:rsidR="007924AA">
        <w:rPr>
          <w:rFonts w:ascii="Times New Roman" w:hAnsi="Times New Roman" w:cs="Times New Roman"/>
          <w:sz w:val="24"/>
          <w:szCs w:val="24"/>
        </w:rPr>
        <w:t xml:space="preserve"> also</w:t>
      </w:r>
      <w:r>
        <w:rPr>
          <w:rFonts w:ascii="Times New Roman" w:hAnsi="Times New Roman" w:cs="Times New Roman"/>
          <w:sz w:val="24"/>
          <w:szCs w:val="24"/>
        </w:rPr>
        <w:t xml:space="preserve"> the case of </w:t>
      </w:r>
      <w:r w:rsidRPr="00C81224">
        <w:rPr>
          <w:rFonts w:ascii="Times New Roman" w:hAnsi="Times New Roman" w:cs="Times New Roman"/>
          <w:i/>
          <w:sz w:val="24"/>
          <w:szCs w:val="24"/>
        </w:rPr>
        <w:t>Jonga</w:t>
      </w:r>
      <w:r>
        <w:rPr>
          <w:rFonts w:ascii="Times New Roman" w:hAnsi="Times New Roman" w:cs="Times New Roman"/>
          <w:sz w:val="24"/>
          <w:szCs w:val="24"/>
        </w:rPr>
        <w:t xml:space="preserve"> vs </w:t>
      </w:r>
      <w:r w:rsidRPr="00C81224">
        <w:rPr>
          <w:rFonts w:ascii="Times New Roman" w:hAnsi="Times New Roman" w:cs="Times New Roman"/>
          <w:i/>
          <w:sz w:val="24"/>
          <w:szCs w:val="24"/>
        </w:rPr>
        <w:t xml:space="preserve">Minister of Lands </w:t>
      </w:r>
      <w:r w:rsidRPr="00C81224">
        <w:rPr>
          <w:rFonts w:ascii="Times New Roman" w:hAnsi="Times New Roman" w:cs="Times New Roman"/>
          <w:i/>
          <w:sz w:val="24"/>
          <w:szCs w:val="24"/>
        </w:rPr>
        <w:lastRenderedPageBreak/>
        <w:t xml:space="preserve">and Rural Resettlement </w:t>
      </w:r>
      <w:r>
        <w:rPr>
          <w:rFonts w:ascii="Times New Roman" w:hAnsi="Times New Roman" w:cs="Times New Roman"/>
          <w:sz w:val="24"/>
          <w:szCs w:val="24"/>
        </w:rPr>
        <w:t xml:space="preserve">HH 243/17 as authority </w:t>
      </w:r>
      <w:r w:rsidR="00EC12CB">
        <w:rPr>
          <w:rFonts w:ascii="Times New Roman" w:hAnsi="Times New Roman" w:cs="Times New Roman"/>
          <w:sz w:val="24"/>
          <w:szCs w:val="24"/>
        </w:rPr>
        <w:t>for the submission</w:t>
      </w:r>
      <w:r w:rsidR="00887784">
        <w:rPr>
          <w:rFonts w:ascii="Times New Roman" w:hAnsi="Times New Roman" w:cs="Times New Roman"/>
          <w:sz w:val="24"/>
          <w:szCs w:val="24"/>
        </w:rPr>
        <w:t xml:space="preserve"> </w:t>
      </w:r>
      <w:r w:rsidR="00674F00">
        <w:rPr>
          <w:rFonts w:ascii="Times New Roman" w:hAnsi="Times New Roman" w:cs="Times New Roman"/>
          <w:sz w:val="24"/>
          <w:szCs w:val="24"/>
        </w:rPr>
        <w:t>that</w:t>
      </w:r>
      <w:r>
        <w:rPr>
          <w:rFonts w:ascii="Times New Roman" w:hAnsi="Times New Roman" w:cs="Times New Roman"/>
          <w:sz w:val="24"/>
          <w:szCs w:val="24"/>
        </w:rPr>
        <w:t xml:space="preserve"> failure to</w:t>
      </w:r>
      <w:r w:rsidR="00EC12CB">
        <w:rPr>
          <w:rFonts w:ascii="Times New Roman" w:hAnsi="Times New Roman" w:cs="Times New Roman"/>
          <w:sz w:val="24"/>
          <w:szCs w:val="24"/>
        </w:rPr>
        <w:t xml:space="preserve"> give respondent’s</w:t>
      </w:r>
      <w:r w:rsidR="00674F00">
        <w:rPr>
          <w:rFonts w:ascii="Times New Roman" w:hAnsi="Times New Roman" w:cs="Times New Roman"/>
          <w:sz w:val="24"/>
          <w:szCs w:val="24"/>
        </w:rPr>
        <w:t xml:space="preserve"> security </w:t>
      </w:r>
      <w:r>
        <w:rPr>
          <w:rFonts w:ascii="Times New Roman" w:hAnsi="Times New Roman" w:cs="Times New Roman"/>
          <w:sz w:val="24"/>
          <w:szCs w:val="24"/>
        </w:rPr>
        <w:t>f</w:t>
      </w:r>
      <w:r w:rsidR="00674F00">
        <w:rPr>
          <w:rFonts w:ascii="Times New Roman" w:hAnsi="Times New Roman" w:cs="Times New Roman"/>
          <w:sz w:val="24"/>
          <w:szCs w:val="24"/>
        </w:rPr>
        <w:t>or</w:t>
      </w:r>
      <w:r>
        <w:rPr>
          <w:rFonts w:ascii="Times New Roman" w:hAnsi="Times New Roman" w:cs="Times New Roman"/>
          <w:sz w:val="24"/>
          <w:szCs w:val="24"/>
        </w:rPr>
        <w:t xml:space="preserve"> costs</w:t>
      </w:r>
      <w:r w:rsidR="00674F00">
        <w:rPr>
          <w:rFonts w:ascii="Times New Roman" w:hAnsi="Times New Roman" w:cs="Times New Roman"/>
          <w:sz w:val="24"/>
          <w:szCs w:val="24"/>
        </w:rPr>
        <w:t xml:space="preserve"> of appeal in the sum of one hundred dollars</w:t>
      </w:r>
      <w:r>
        <w:rPr>
          <w:rFonts w:ascii="Times New Roman" w:hAnsi="Times New Roman" w:cs="Times New Roman"/>
          <w:sz w:val="24"/>
          <w:szCs w:val="24"/>
        </w:rPr>
        <w:t xml:space="preserve"> did not invalidate the appeal. He further argued that on the authority of </w:t>
      </w:r>
      <w:r w:rsidRPr="00C81224">
        <w:rPr>
          <w:rFonts w:ascii="Times New Roman" w:hAnsi="Times New Roman" w:cs="Times New Roman"/>
          <w:i/>
          <w:sz w:val="24"/>
          <w:szCs w:val="24"/>
        </w:rPr>
        <w:t>Breytenbach</w:t>
      </w:r>
      <w:r w:rsidR="00887784">
        <w:rPr>
          <w:rFonts w:ascii="Times New Roman" w:hAnsi="Times New Roman" w:cs="Times New Roman"/>
          <w:sz w:val="24"/>
          <w:szCs w:val="24"/>
        </w:rPr>
        <w:t xml:space="preserve"> vs </w:t>
      </w:r>
      <w:r w:rsidR="00887784" w:rsidRPr="00887784">
        <w:rPr>
          <w:rFonts w:ascii="Times New Roman" w:hAnsi="Times New Roman" w:cs="Times New Roman"/>
          <w:i/>
          <w:sz w:val="24"/>
          <w:szCs w:val="24"/>
        </w:rPr>
        <w:t>Commet</w:t>
      </w:r>
      <w:r w:rsidRPr="00887784">
        <w:rPr>
          <w:rFonts w:ascii="Times New Roman" w:hAnsi="Times New Roman" w:cs="Times New Roman"/>
          <w:i/>
          <w:sz w:val="24"/>
          <w:szCs w:val="24"/>
        </w:rPr>
        <w:t xml:space="preserve"> Engineering</w:t>
      </w:r>
      <w:r w:rsidR="00887784" w:rsidRPr="00887784">
        <w:rPr>
          <w:rFonts w:ascii="Times New Roman" w:hAnsi="Times New Roman" w:cs="Times New Roman"/>
          <w:i/>
          <w:sz w:val="24"/>
          <w:szCs w:val="24"/>
        </w:rPr>
        <w:t xml:space="preserve"> (Pty) Ltd</w:t>
      </w:r>
      <w:r w:rsidR="00887784">
        <w:rPr>
          <w:rFonts w:ascii="Times New Roman" w:hAnsi="Times New Roman" w:cs="Times New Roman"/>
          <w:sz w:val="24"/>
          <w:szCs w:val="24"/>
        </w:rPr>
        <w:t xml:space="preserve"> </w:t>
      </w:r>
      <w:r>
        <w:rPr>
          <w:rFonts w:ascii="Times New Roman" w:hAnsi="Times New Roman" w:cs="Times New Roman"/>
          <w:sz w:val="24"/>
          <w:szCs w:val="24"/>
        </w:rPr>
        <w:t>1996 (1) SA 465 an undertaking suffices for compliance where security is required and that the undertaking in the notice of appeal was</w:t>
      </w:r>
      <w:r w:rsidR="007924AA">
        <w:rPr>
          <w:rFonts w:ascii="Times New Roman" w:hAnsi="Times New Roman" w:cs="Times New Roman"/>
          <w:sz w:val="24"/>
          <w:szCs w:val="24"/>
        </w:rPr>
        <w:t xml:space="preserve"> in </w:t>
      </w:r>
      <w:r w:rsidR="007924AA" w:rsidRPr="007924AA">
        <w:rPr>
          <w:rFonts w:ascii="Times New Roman" w:hAnsi="Times New Roman" w:cs="Times New Roman"/>
          <w:i/>
          <w:sz w:val="24"/>
          <w:szCs w:val="24"/>
        </w:rPr>
        <w:t>casu</w:t>
      </w:r>
      <w:r>
        <w:rPr>
          <w:rFonts w:ascii="Times New Roman" w:hAnsi="Times New Roman" w:cs="Times New Roman"/>
          <w:sz w:val="24"/>
          <w:szCs w:val="24"/>
        </w:rPr>
        <w:t xml:space="preserve"> therefore a compliance with Order 31 aforesaid</w:t>
      </w:r>
      <w:r w:rsidR="00143C49">
        <w:rPr>
          <w:rFonts w:ascii="Times New Roman" w:hAnsi="Times New Roman" w:cs="Times New Roman"/>
          <w:sz w:val="24"/>
          <w:szCs w:val="24"/>
        </w:rPr>
        <w:t xml:space="preserve">. </w:t>
      </w:r>
      <w:r>
        <w:rPr>
          <w:rFonts w:ascii="Times New Roman" w:hAnsi="Times New Roman" w:cs="Times New Roman"/>
          <w:sz w:val="24"/>
          <w:szCs w:val="24"/>
        </w:rPr>
        <w:t xml:space="preserve">Counsel clearly misunderstood </w:t>
      </w:r>
      <w:r w:rsidR="00CB277B">
        <w:rPr>
          <w:rFonts w:ascii="Times New Roman" w:hAnsi="Times New Roman" w:cs="Times New Roman"/>
          <w:sz w:val="24"/>
          <w:szCs w:val="24"/>
        </w:rPr>
        <w:t xml:space="preserve">the ratio of </w:t>
      </w:r>
      <w:r w:rsidR="00CB277B" w:rsidRPr="00080E2F">
        <w:rPr>
          <w:rFonts w:ascii="Times New Roman" w:hAnsi="Times New Roman" w:cs="Times New Roman"/>
          <w:i/>
          <w:sz w:val="24"/>
          <w:szCs w:val="24"/>
        </w:rPr>
        <w:t>Jonga’s case</w:t>
      </w:r>
      <w:r w:rsidR="00080E2F">
        <w:rPr>
          <w:rFonts w:ascii="Times New Roman" w:hAnsi="Times New Roman" w:cs="Times New Roman"/>
          <w:sz w:val="24"/>
          <w:szCs w:val="24"/>
        </w:rPr>
        <w:t xml:space="preserve"> (</w:t>
      </w:r>
      <w:r w:rsidR="00080E2F" w:rsidRPr="00080E2F">
        <w:rPr>
          <w:rFonts w:ascii="Times New Roman" w:hAnsi="Times New Roman" w:cs="Times New Roman"/>
          <w:i/>
          <w:sz w:val="24"/>
          <w:szCs w:val="24"/>
        </w:rPr>
        <w:t>supra</w:t>
      </w:r>
      <w:r w:rsidR="00080E2F">
        <w:rPr>
          <w:rFonts w:ascii="Times New Roman" w:hAnsi="Times New Roman" w:cs="Times New Roman"/>
          <w:sz w:val="24"/>
          <w:szCs w:val="24"/>
        </w:rPr>
        <w:t>)</w:t>
      </w:r>
      <w:r w:rsidR="003F14A7">
        <w:rPr>
          <w:rFonts w:ascii="Times New Roman" w:hAnsi="Times New Roman" w:cs="Times New Roman"/>
          <w:sz w:val="24"/>
          <w:szCs w:val="24"/>
        </w:rPr>
        <w:t>,</w:t>
      </w:r>
      <w:r w:rsidR="00CB277B">
        <w:rPr>
          <w:rFonts w:ascii="Times New Roman" w:hAnsi="Times New Roman" w:cs="Times New Roman"/>
          <w:sz w:val="24"/>
          <w:szCs w:val="24"/>
        </w:rPr>
        <w:t xml:space="preserve"> a decision of the High Court</w:t>
      </w:r>
      <w:r w:rsidR="007924AA">
        <w:rPr>
          <w:rFonts w:ascii="Times New Roman" w:hAnsi="Times New Roman" w:cs="Times New Roman"/>
          <w:sz w:val="24"/>
          <w:szCs w:val="24"/>
        </w:rPr>
        <w:t xml:space="preserve"> </w:t>
      </w:r>
      <w:r w:rsidR="00CB277B">
        <w:rPr>
          <w:rFonts w:ascii="Times New Roman" w:hAnsi="Times New Roman" w:cs="Times New Roman"/>
          <w:sz w:val="24"/>
          <w:szCs w:val="24"/>
        </w:rPr>
        <w:t xml:space="preserve">Appeal Court. It suffices to quote </w:t>
      </w:r>
      <w:r w:rsidR="007924AA">
        <w:rPr>
          <w:rFonts w:ascii="Times New Roman" w:hAnsi="Times New Roman" w:cs="Times New Roman"/>
          <w:sz w:val="24"/>
          <w:szCs w:val="24"/>
        </w:rPr>
        <w:t>extenso</w:t>
      </w:r>
      <w:r w:rsidR="003F14A7">
        <w:rPr>
          <w:rFonts w:ascii="Times New Roman" w:hAnsi="Times New Roman" w:cs="Times New Roman"/>
          <w:sz w:val="24"/>
          <w:szCs w:val="24"/>
        </w:rPr>
        <w:t xml:space="preserve"> from</w:t>
      </w:r>
      <w:r w:rsidR="007924AA">
        <w:rPr>
          <w:rFonts w:ascii="Times New Roman" w:hAnsi="Times New Roman" w:cs="Times New Roman"/>
          <w:sz w:val="24"/>
          <w:szCs w:val="24"/>
        </w:rPr>
        <w:t xml:space="preserve"> page 3 of the </w:t>
      </w:r>
      <w:r w:rsidR="00CB277B">
        <w:rPr>
          <w:rFonts w:ascii="Times New Roman" w:hAnsi="Times New Roman" w:cs="Times New Roman"/>
          <w:sz w:val="24"/>
          <w:szCs w:val="24"/>
        </w:rPr>
        <w:t xml:space="preserve">cyclostyled judgment of </w:t>
      </w:r>
      <w:r w:rsidR="00674F00">
        <w:rPr>
          <w:rFonts w:ascii="Times New Roman" w:hAnsi="Times New Roman" w:cs="Times New Roman"/>
          <w:smallCaps/>
          <w:sz w:val="24"/>
          <w:szCs w:val="24"/>
        </w:rPr>
        <w:t>Mwayera</w:t>
      </w:r>
      <w:r w:rsidR="00CB277B">
        <w:rPr>
          <w:rFonts w:ascii="Times New Roman" w:hAnsi="Times New Roman" w:cs="Times New Roman"/>
          <w:sz w:val="24"/>
          <w:szCs w:val="24"/>
        </w:rPr>
        <w:t xml:space="preserve"> </w:t>
      </w:r>
      <w:r w:rsidR="00674F00">
        <w:rPr>
          <w:rFonts w:ascii="Times New Roman" w:hAnsi="Times New Roman" w:cs="Times New Roman"/>
          <w:sz w:val="24"/>
          <w:szCs w:val="24"/>
        </w:rPr>
        <w:t xml:space="preserve">and </w:t>
      </w:r>
      <w:r w:rsidR="00674F00" w:rsidRPr="00674F00">
        <w:rPr>
          <w:rFonts w:ascii="Times New Roman" w:hAnsi="Times New Roman" w:cs="Times New Roman"/>
          <w:smallCaps/>
          <w:sz w:val="24"/>
          <w:szCs w:val="24"/>
        </w:rPr>
        <w:t>Manongwa JJ</w:t>
      </w:r>
      <w:r w:rsidR="00674F00">
        <w:rPr>
          <w:rFonts w:ascii="Times New Roman" w:hAnsi="Times New Roman" w:cs="Times New Roman"/>
          <w:sz w:val="24"/>
          <w:szCs w:val="24"/>
        </w:rPr>
        <w:t xml:space="preserve"> where the court said </w:t>
      </w:r>
      <w:r w:rsidR="00887784">
        <w:rPr>
          <w:rFonts w:ascii="Times New Roman" w:hAnsi="Times New Roman" w:cs="Times New Roman"/>
          <w:sz w:val="24"/>
          <w:szCs w:val="24"/>
        </w:rPr>
        <w:t xml:space="preserve">– </w:t>
      </w:r>
    </w:p>
    <w:p w:rsidR="00F534CC" w:rsidRPr="00887784" w:rsidRDefault="00887784" w:rsidP="00887784">
      <w:pPr>
        <w:pStyle w:val="NoSpacing"/>
        <w:spacing w:after="240"/>
        <w:jc w:val="both"/>
        <w:rPr>
          <w:rFonts w:ascii="Times New Roman" w:hAnsi="Times New Roman" w:cs="Times New Roman"/>
          <w:szCs w:val="24"/>
        </w:rPr>
      </w:pPr>
      <w:r w:rsidRPr="00887784">
        <w:rPr>
          <w:rFonts w:ascii="Times New Roman" w:hAnsi="Times New Roman" w:cs="Times New Roman"/>
          <w:szCs w:val="24"/>
        </w:rPr>
        <w:tab/>
        <w:t>“</w:t>
      </w:r>
      <w:r w:rsidR="00CB277B" w:rsidRPr="00887784">
        <w:rPr>
          <w:rFonts w:ascii="Times New Roman" w:hAnsi="Times New Roman" w:cs="Times New Roman"/>
          <w:szCs w:val="24"/>
        </w:rPr>
        <w:t xml:space="preserve">As if that was not enough anomaly the appellant clearly from the nature of appeal further </w:t>
      </w:r>
      <w:r>
        <w:rPr>
          <w:rFonts w:ascii="Times New Roman" w:hAnsi="Times New Roman" w:cs="Times New Roman"/>
          <w:szCs w:val="24"/>
        </w:rPr>
        <w:tab/>
      </w:r>
      <w:r w:rsidR="00CB277B" w:rsidRPr="00887784">
        <w:rPr>
          <w:rFonts w:ascii="Times New Roman" w:hAnsi="Times New Roman" w:cs="Times New Roman"/>
          <w:szCs w:val="24"/>
        </w:rPr>
        <w:t xml:space="preserve">demonstrates none compliance with the rules by failure to give security for costs and costs for </w:t>
      </w:r>
      <w:r>
        <w:rPr>
          <w:rFonts w:ascii="Times New Roman" w:hAnsi="Times New Roman" w:cs="Times New Roman"/>
          <w:szCs w:val="24"/>
        </w:rPr>
        <w:tab/>
      </w:r>
      <w:r w:rsidR="00CB277B" w:rsidRPr="00887784">
        <w:rPr>
          <w:rFonts w:ascii="Times New Roman" w:hAnsi="Times New Roman" w:cs="Times New Roman"/>
          <w:szCs w:val="24"/>
        </w:rPr>
        <w:t xml:space="preserve">preparation of the record as outlined in the rules of the Magistrate Court Civil Rules 1980 which </w:t>
      </w:r>
      <w:r>
        <w:rPr>
          <w:rFonts w:ascii="Times New Roman" w:hAnsi="Times New Roman" w:cs="Times New Roman"/>
          <w:szCs w:val="24"/>
        </w:rPr>
        <w:tab/>
      </w:r>
      <w:r w:rsidR="00CB277B" w:rsidRPr="00887784">
        <w:rPr>
          <w:rFonts w:ascii="Times New Roman" w:hAnsi="Times New Roman" w:cs="Times New Roman"/>
          <w:szCs w:val="24"/>
        </w:rPr>
        <w:t>regulate appeals to the High Court, Order 31 rule 2(b)(i) and (ii)</w:t>
      </w:r>
      <w:r w:rsidR="007924AA">
        <w:rPr>
          <w:rFonts w:ascii="Times New Roman" w:hAnsi="Times New Roman" w:cs="Times New Roman"/>
          <w:szCs w:val="24"/>
        </w:rPr>
        <w:t xml:space="preserve"> of the Magistrates Court rules is </w:t>
      </w:r>
      <w:r w:rsidR="007924AA">
        <w:rPr>
          <w:rFonts w:ascii="Times New Roman" w:hAnsi="Times New Roman" w:cs="Times New Roman"/>
          <w:szCs w:val="24"/>
        </w:rPr>
        <w:tab/>
        <w:t>instructive. It reads “An appeal shall be noted by (a) _ _ _  (b)</w:t>
      </w:r>
      <w:r w:rsidR="003F14A7">
        <w:rPr>
          <w:rFonts w:ascii="Times New Roman" w:hAnsi="Times New Roman" w:cs="Times New Roman"/>
          <w:szCs w:val="24"/>
        </w:rPr>
        <w:t>”</w:t>
      </w:r>
    </w:p>
    <w:p w:rsidR="00F534CC" w:rsidRPr="00887784" w:rsidRDefault="00C81224" w:rsidP="00887784">
      <w:pPr>
        <w:pStyle w:val="NoSpacing"/>
        <w:spacing w:after="240"/>
        <w:jc w:val="both"/>
        <w:rPr>
          <w:rFonts w:ascii="Times New Roman" w:hAnsi="Times New Roman" w:cs="Times New Roman"/>
          <w:szCs w:val="24"/>
        </w:rPr>
      </w:pPr>
      <w:r w:rsidRPr="00887784">
        <w:rPr>
          <w:rFonts w:ascii="Times New Roman" w:hAnsi="Times New Roman" w:cs="Times New Roman"/>
          <w:szCs w:val="24"/>
        </w:rPr>
        <w:tab/>
      </w:r>
      <w:r w:rsidR="00F534CC" w:rsidRPr="00887784">
        <w:rPr>
          <w:rFonts w:ascii="Times New Roman" w:hAnsi="Times New Roman" w:cs="Times New Roman"/>
          <w:szCs w:val="24"/>
        </w:rPr>
        <w:t xml:space="preserve">In the absence of security being tendered it follows that the notice of appeal on its own does not </w:t>
      </w:r>
      <w:r w:rsidR="00887784">
        <w:rPr>
          <w:rFonts w:ascii="Times New Roman" w:hAnsi="Times New Roman" w:cs="Times New Roman"/>
          <w:szCs w:val="24"/>
        </w:rPr>
        <w:tab/>
      </w:r>
      <w:r w:rsidR="00F534CC" w:rsidRPr="00887784">
        <w:rPr>
          <w:rFonts w:ascii="Times New Roman" w:hAnsi="Times New Roman" w:cs="Times New Roman"/>
          <w:szCs w:val="24"/>
        </w:rPr>
        <w:t xml:space="preserve">activate the appeal. There is demonstrable non-compliance with rules in this case rendering the </w:t>
      </w:r>
      <w:r w:rsidR="00887784">
        <w:rPr>
          <w:rFonts w:ascii="Times New Roman" w:hAnsi="Times New Roman" w:cs="Times New Roman"/>
          <w:szCs w:val="24"/>
        </w:rPr>
        <w:tab/>
      </w:r>
      <w:r w:rsidR="00F534CC" w:rsidRPr="00887784">
        <w:rPr>
          <w:rFonts w:ascii="Times New Roman" w:hAnsi="Times New Roman" w:cs="Times New Roman"/>
          <w:szCs w:val="24"/>
        </w:rPr>
        <w:t xml:space="preserve">appeal defective. </w:t>
      </w:r>
      <w:r w:rsidR="00F534CC" w:rsidRPr="00887784">
        <w:rPr>
          <w:rFonts w:ascii="Times New Roman" w:hAnsi="Times New Roman" w:cs="Times New Roman"/>
          <w:smallCaps/>
          <w:szCs w:val="24"/>
        </w:rPr>
        <w:t>Garwe JA</w:t>
      </w:r>
      <w:r w:rsidR="00F534CC" w:rsidRPr="00887784">
        <w:rPr>
          <w:rFonts w:ascii="Times New Roman" w:hAnsi="Times New Roman" w:cs="Times New Roman"/>
          <w:szCs w:val="24"/>
        </w:rPr>
        <w:t xml:space="preserve"> in </w:t>
      </w:r>
      <w:r w:rsidR="00F534CC" w:rsidRPr="00887784">
        <w:rPr>
          <w:rFonts w:ascii="Times New Roman" w:hAnsi="Times New Roman" w:cs="Times New Roman"/>
          <w:i/>
          <w:szCs w:val="24"/>
        </w:rPr>
        <w:t>Econet Wireless (Private) Limited</w:t>
      </w:r>
      <w:r w:rsidR="00F534CC" w:rsidRPr="00887784">
        <w:rPr>
          <w:rFonts w:ascii="Times New Roman" w:hAnsi="Times New Roman" w:cs="Times New Roman"/>
          <w:szCs w:val="24"/>
        </w:rPr>
        <w:t xml:space="preserve"> vs </w:t>
      </w:r>
      <w:r w:rsidR="007924AA">
        <w:rPr>
          <w:rFonts w:ascii="Times New Roman" w:hAnsi="Times New Roman" w:cs="Times New Roman"/>
          <w:i/>
          <w:szCs w:val="24"/>
        </w:rPr>
        <w:t>Trust</w:t>
      </w:r>
      <w:r w:rsidR="00F534CC" w:rsidRPr="00887784">
        <w:rPr>
          <w:rFonts w:ascii="Times New Roman" w:hAnsi="Times New Roman" w:cs="Times New Roman"/>
          <w:i/>
          <w:szCs w:val="24"/>
        </w:rPr>
        <w:t xml:space="preserve"> Mobile (Proprietary) </w:t>
      </w:r>
      <w:r w:rsidR="00887784">
        <w:rPr>
          <w:rFonts w:ascii="Times New Roman" w:hAnsi="Times New Roman" w:cs="Times New Roman"/>
          <w:i/>
          <w:szCs w:val="24"/>
        </w:rPr>
        <w:tab/>
      </w:r>
      <w:r w:rsidR="00F534CC" w:rsidRPr="00887784">
        <w:rPr>
          <w:rFonts w:ascii="Times New Roman" w:hAnsi="Times New Roman" w:cs="Times New Roman"/>
          <w:i/>
          <w:szCs w:val="24"/>
        </w:rPr>
        <w:t>Limited and Another</w:t>
      </w:r>
      <w:r w:rsidR="00F534CC" w:rsidRPr="00887784">
        <w:rPr>
          <w:rFonts w:ascii="Times New Roman" w:hAnsi="Times New Roman" w:cs="Times New Roman"/>
          <w:szCs w:val="24"/>
        </w:rPr>
        <w:t xml:space="preserve"> SC 43/13 at p10 of the cyclostyled judgment remarked as follows;</w:t>
      </w:r>
    </w:p>
    <w:p w:rsidR="00C81224" w:rsidRPr="00887784" w:rsidRDefault="00F534CC" w:rsidP="00887784">
      <w:pPr>
        <w:pStyle w:val="NoSpacing"/>
        <w:spacing w:after="240"/>
        <w:ind w:left="720"/>
        <w:jc w:val="both"/>
        <w:rPr>
          <w:rFonts w:ascii="Times New Roman" w:hAnsi="Times New Roman" w:cs="Times New Roman"/>
          <w:szCs w:val="24"/>
        </w:rPr>
      </w:pPr>
      <w:r w:rsidRPr="00887784">
        <w:rPr>
          <w:rFonts w:ascii="Times New Roman" w:hAnsi="Times New Roman" w:cs="Times New Roman"/>
          <w:szCs w:val="24"/>
        </w:rPr>
        <w:t xml:space="preserve">“The position is now well established that a notice of appeal must comply with the mandatory provisions of the rules and that if it does not, it is a nullity and cannot be condoned or amended. </w:t>
      </w:r>
      <w:r w:rsidR="00C81224" w:rsidRPr="00887784">
        <w:rPr>
          <w:rFonts w:ascii="Times New Roman" w:hAnsi="Times New Roman" w:cs="Times New Roman"/>
          <w:szCs w:val="24"/>
        </w:rPr>
        <w:t>See</w:t>
      </w:r>
      <w:r w:rsidRPr="00887784">
        <w:rPr>
          <w:rFonts w:ascii="Times New Roman" w:hAnsi="Times New Roman" w:cs="Times New Roman"/>
          <w:szCs w:val="24"/>
        </w:rPr>
        <w:t xml:space="preserve"> Jensen v Acavalos 1993 (1) ZLR 216”</w:t>
      </w:r>
    </w:p>
    <w:p w:rsidR="00F534CC" w:rsidRPr="00887784" w:rsidRDefault="00C81224" w:rsidP="00887784">
      <w:pPr>
        <w:pStyle w:val="NoSpacing"/>
        <w:spacing w:after="240"/>
        <w:jc w:val="both"/>
        <w:rPr>
          <w:rFonts w:ascii="Times New Roman" w:hAnsi="Times New Roman" w:cs="Times New Roman"/>
          <w:szCs w:val="24"/>
        </w:rPr>
      </w:pPr>
      <w:r w:rsidRPr="00887784">
        <w:rPr>
          <w:rFonts w:ascii="Times New Roman" w:hAnsi="Times New Roman" w:cs="Times New Roman"/>
          <w:szCs w:val="24"/>
        </w:rPr>
        <w:tab/>
      </w:r>
      <w:r w:rsidR="00F534CC" w:rsidRPr="00887784">
        <w:rPr>
          <w:rFonts w:ascii="Times New Roman" w:hAnsi="Times New Roman" w:cs="Times New Roman"/>
          <w:szCs w:val="24"/>
        </w:rPr>
        <w:t xml:space="preserve">In the instant case the appellant in addition to filing </w:t>
      </w:r>
      <w:r w:rsidR="007924AA">
        <w:rPr>
          <w:rFonts w:ascii="Times New Roman" w:hAnsi="Times New Roman" w:cs="Times New Roman"/>
          <w:szCs w:val="24"/>
        </w:rPr>
        <w:t>g</w:t>
      </w:r>
      <w:r w:rsidR="00F534CC" w:rsidRPr="00887784">
        <w:rPr>
          <w:rFonts w:ascii="Times New Roman" w:hAnsi="Times New Roman" w:cs="Times New Roman"/>
          <w:szCs w:val="24"/>
        </w:rPr>
        <w:t>rounds of appeal wh</w:t>
      </w:r>
      <w:r w:rsidR="00887784" w:rsidRPr="00887784">
        <w:rPr>
          <w:rFonts w:ascii="Times New Roman" w:hAnsi="Times New Roman" w:cs="Times New Roman"/>
          <w:szCs w:val="24"/>
        </w:rPr>
        <w:t xml:space="preserve">ich are not specific but </w:t>
      </w:r>
      <w:r w:rsidR="007924AA">
        <w:rPr>
          <w:rFonts w:ascii="Times New Roman" w:hAnsi="Times New Roman" w:cs="Times New Roman"/>
          <w:szCs w:val="24"/>
        </w:rPr>
        <w:tab/>
      </w:r>
      <w:r w:rsidR="00887784" w:rsidRPr="00887784">
        <w:rPr>
          <w:rFonts w:ascii="Times New Roman" w:hAnsi="Times New Roman" w:cs="Times New Roman"/>
          <w:szCs w:val="24"/>
        </w:rPr>
        <w:t>are winding</w:t>
      </w:r>
      <w:r w:rsidR="00F534CC" w:rsidRPr="00887784">
        <w:rPr>
          <w:rFonts w:ascii="Times New Roman" w:hAnsi="Times New Roman" w:cs="Times New Roman"/>
          <w:szCs w:val="24"/>
        </w:rPr>
        <w:t xml:space="preserve"> and argumentative did not tender security for costs thereby dealing the appeal a heavy </w:t>
      </w:r>
      <w:r w:rsidR="00887784">
        <w:rPr>
          <w:rFonts w:ascii="Times New Roman" w:hAnsi="Times New Roman" w:cs="Times New Roman"/>
          <w:szCs w:val="24"/>
        </w:rPr>
        <w:tab/>
      </w:r>
      <w:r w:rsidR="00F534CC" w:rsidRPr="00887784">
        <w:rPr>
          <w:rFonts w:ascii="Times New Roman" w:hAnsi="Times New Roman" w:cs="Times New Roman"/>
          <w:szCs w:val="24"/>
        </w:rPr>
        <w:t>blow for being defective. Clearly therefore the non-compliance renders the appeal a nullity.</w:t>
      </w:r>
      <w:r w:rsidR="00887784" w:rsidRPr="00887784">
        <w:rPr>
          <w:rFonts w:ascii="Times New Roman" w:hAnsi="Times New Roman" w:cs="Times New Roman"/>
          <w:szCs w:val="24"/>
        </w:rPr>
        <w:t>”</w:t>
      </w:r>
    </w:p>
    <w:p w:rsidR="00674F00" w:rsidRDefault="00674F00" w:rsidP="00D12A2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F14A7">
        <w:rPr>
          <w:rFonts w:ascii="Times New Roman" w:hAnsi="Times New Roman" w:cs="Times New Roman"/>
          <w:sz w:val="24"/>
          <w:szCs w:val="24"/>
        </w:rPr>
        <w:t xml:space="preserve">Although </w:t>
      </w:r>
      <w:r w:rsidR="003F14A7" w:rsidRPr="00080E2F">
        <w:rPr>
          <w:rFonts w:ascii="Times New Roman" w:hAnsi="Times New Roman" w:cs="Times New Roman"/>
          <w:i/>
          <w:sz w:val="24"/>
          <w:szCs w:val="24"/>
        </w:rPr>
        <w:t>Jonga’s case</w:t>
      </w:r>
      <w:r w:rsidR="003F14A7">
        <w:rPr>
          <w:rFonts w:ascii="Times New Roman" w:hAnsi="Times New Roman" w:cs="Times New Roman"/>
          <w:sz w:val="24"/>
          <w:szCs w:val="24"/>
        </w:rPr>
        <w:t xml:space="preserve"> was determined before the current Magistrate Court (Civil) Rules 2019 was introduced, our view is not affected as the provision is exactly the same as Order 31 under discussion word for word – See also </w:t>
      </w:r>
      <w:r w:rsidR="003F14A7" w:rsidRPr="00690C85">
        <w:rPr>
          <w:rFonts w:ascii="Times New Roman" w:hAnsi="Times New Roman" w:cs="Times New Roman"/>
          <w:i/>
          <w:sz w:val="24"/>
          <w:szCs w:val="24"/>
        </w:rPr>
        <w:t>Samuel Stavros</w:t>
      </w:r>
      <w:r w:rsidR="003F14A7">
        <w:rPr>
          <w:rFonts w:ascii="Times New Roman" w:hAnsi="Times New Roman" w:cs="Times New Roman"/>
          <w:sz w:val="24"/>
          <w:szCs w:val="24"/>
        </w:rPr>
        <w:t xml:space="preserve"> vs </w:t>
      </w:r>
      <w:r w:rsidR="003F14A7" w:rsidRPr="00690C85">
        <w:rPr>
          <w:rFonts w:ascii="Times New Roman" w:hAnsi="Times New Roman" w:cs="Times New Roman"/>
          <w:i/>
          <w:sz w:val="24"/>
          <w:szCs w:val="24"/>
        </w:rPr>
        <w:t>Kwanayi Kashangura</w:t>
      </w:r>
      <w:r w:rsidR="003F14A7">
        <w:rPr>
          <w:rFonts w:ascii="Times New Roman" w:hAnsi="Times New Roman" w:cs="Times New Roman"/>
          <w:sz w:val="24"/>
          <w:szCs w:val="24"/>
        </w:rPr>
        <w:t xml:space="preserve"> HH 17/25. </w:t>
      </w:r>
      <w:r>
        <w:rPr>
          <w:rFonts w:ascii="Times New Roman" w:hAnsi="Times New Roman" w:cs="Times New Roman"/>
          <w:sz w:val="24"/>
          <w:szCs w:val="24"/>
        </w:rPr>
        <w:t xml:space="preserve">It was also Mr </w:t>
      </w:r>
      <w:r w:rsidRPr="00080E2F">
        <w:rPr>
          <w:rFonts w:ascii="Times New Roman" w:hAnsi="Times New Roman" w:cs="Times New Roman"/>
          <w:i/>
          <w:sz w:val="24"/>
          <w:szCs w:val="24"/>
        </w:rPr>
        <w:t>Chirambwe</w:t>
      </w:r>
      <w:r w:rsidR="00F534CC" w:rsidRPr="00080E2F">
        <w:rPr>
          <w:rFonts w:ascii="Times New Roman" w:hAnsi="Times New Roman" w:cs="Times New Roman"/>
          <w:i/>
          <w:sz w:val="24"/>
          <w:szCs w:val="24"/>
        </w:rPr>
        <w:t>’s</w:t>
      </w:r>
      <w:r>
        <w:rPr>
          <w:rFonts w:ascii="Times New Roman" w:hAnsi="Times New Roman" w:cs="Times New Roman"/>
          <w:sz w:val="24"/>
          <w:szCs w:val="24"/>
        </w:rPr>
        <w:t xml:space="preserve"> submission in argument that Order 34 saves an appeal that is non-compliant</w:t>
      </w:r>
      <w:r w:rsidR="00887784">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00887784">
        <w:rPr>
          <w:rFonts w:ascii="Times New Roman" w:hAnsi="Times New Roman" w:cs="Times New Roman"/>
          <w:sz w:val="24"/>
          <w:szCs w:val="24"/>
        </w:rPr>
        <w:t xml:space="preserve">rules from nullity. In </w:t>
      </w:r>
      <w:r w:rsidR="00F534CC">
        <w:rPr>
          <w:rFonts w:ascii="Times New Roman" w:hAnsi="Times New Roman" w:cs="Times New Roman"/>
          <w:sz w:val="24"/>
          <w:szCs w:val="24"/>
        </w:rPr>
        <w:t>our respectful view</w:t>
      </w:r>
      <w:r w:rsidR="003F14A7">
        <w:rPr>
          <w:rFonts w:ascii="Times New Roman" w:hAnsi="Times New Roman" w:cs="Times New Roman"/>
          <w:sz w:val="24"/>
          <w:szCs w:val="24"/>
        </w:rPr>
        <w:t>,</w:t>
      </w:r>
      <w:r w:rsidR="00F534CC">
        <w:rPr>
          <w:rFonts w:ascii="Times New Roman" w:hAnsi="Times New Roman" w:cs="Times New Roman"/>
          <w:sz w:val="24"/>
          <w:szCs w:val="24"/>
        </w:rPr>
        <w:t xml:space="preserve"> this is a misconstruction of the statute. Order 34 relates to matters pending before the Magistrates’ Court and not those which are already subject of </w:t>
      </w:r>
      <w:r>
        <w:rPr>
          <w:rFonts w:ascii="Times New Roman" w:hAnsi="Times New Roman" w:cs="Times New Roman"/>
          <w:sz w:val="24"/>
          <w:szCs w:val="24"/>
        </w:rPr>
        <w:t xml:space="preserve">a </w:t>
      </w:r>
      <w:r w:rsidR="00F534CC">
        <w:rPr>
          <w:rFonts w:ascii="Times New Roman" w:hAnsi="Times New Roman" w:cs="Times New Roman"/>
          <w:sz w:val="24"/>
          <w:szCs w:val="24"/>
        </w:rPr>
        <w:t xml:space="preserve">judgment </w:t>
      </w:r>
      <w:r>
        <w:rPr>
          <w:rFonts w:ascii="Times New Roman" w:hAnsi="Times New Roman" w:cs="Times New Roman"/>
          <w:sz w:val="24"/>
          <w:szCs w:val="24"/>
        </w:rPr>
        <w:t>sought to be impugned</w:t>
      </w:r>
      <w:r w:rsidR="007924AA">
        <w:rPr>
          <w:rFonts w:ascii="Times New Roman" w:hAnsi="Times New Roman" w:cs="Times New Roman"/>
          <w:sz w:val="24"/>
          <w:szCs w:val="24"/>
        </w:rPr>
        <w:t xml:space="preserve"> or pending in the appeal court</w:t>
      </w:r>
      <w:r>
        <w:rPr>
          <w:rFonts w:ascii="Times New Roman" w:hAnsi="Times New Roman" w:cs="Times New Roman"/>
          <w:sz w:val="24"/>
          <w:szCs w:val="24"/>
        </w:rPr>
        <w:t>. In fact counsel</w:t>
      </w:r>
      <w:r w:rsidR="007924AA">
        <w:rPr>
          <w:rFonts w:ascii="Times New Roman" w:hAnsi="Times New Roman" w:cs="Times New Roman"/>
          <w:sz w:val="24"/>
          <w:szCs w:val="24"/>
        </w:rPr>
        <w:t>’s argument leads to an absurdity</w:t>
      </w:r>
      <w:r>
        <w:rPr>
          <w:rFonts w:ascii="Times New Roman" w:hAnsi="Times New Roman" w:cs="Times New Roman"/>
          <w:sz w:val="24"/>
          <w:szCs w:val="24"/>
        </w:rPr>
        <w:t xml:space="preserve"> as it directly removes</w:t>
      </w:r>
      <w:r w:rsidR="007924AA">
        <w:rPr>
          <w:rFonts w:ascii="Times New Roman" w:hAnsi="Times New Roman" w:cs="Times New Roman"/>
          <w:sz w:val="24"/>
          <w:szCs w:val="24"/>
        </w:rPr>
        <w:t xml:space="preserve"> a</w:t>
      </w:r>
      <w:r>
        <w:rPr>
          <w:rFonts w:ascii="Times New Roman" w:hAnsi="Times New Roman" w:cs="Times New Roman"/>
          <w:sz w:val="24"/>
          <w:szCs w:val="24"/>
        </w:rPr>
        <w:t xml:space="preserve"> litigants’ right of appeal on any appealable failure t</w:t>
      </w:r>
      <w:r w:rsidR="007924AA">
        <w:rPr>
          <w:rFonts w:ascii="Times New Roman" w:hAnsi="Times New Roman" w:cs="Times New Roman"/>
          <w:sz w:val="24"/>
          <w:szCs w:val="24"/>
        </w:rPr>
        <w:t>o comply with the court’s rules governing the noting of an appeal.</w:t>
      </w:r>
    </w:p>
    <w:p w:rsidR="00F534CC" w:rsidRPr="00690C85" w:rsidRDefault="00957CD8" w:rsidP="00D12A2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87784">
        <w:rPr>
          <w:rFonts w:ascii="Times New Roman" w:hAnsi="Times New Roman" w:cs="Times New Roman"/>
          <w:sz w:val="24"/>
          <w:szCs w:val="24"/>
        </w:rPr>
        <w:t xml:space="preserve">It was </w:t>
      </w:r>
      <w:r>
        <w:rPr>
          <w:rFonts w:ascii="Times New Roman" w:hAnsi="Times New Roman" w:cs="Times New Roman"/>
          <w:sz w:val="24"/>
          <w:szCs w:val="24"/>
        </w:rPr>
        <w:t xml:space="preserve">Mr </w:t>
      </w:r>
      <w:r w:rsidRPr="000A71F4">
        <w:rPr>
          <w:rFonts w:ascii="Times New Roman" w:hAnsi="Times New Roman" w:cs="Times New Roman"/>
          <w:i/>
          <w:sz w:val="24"/>
          <w:szCs w:val="24"/>
        </w:rPr>
        <w:t>Chira</w:t>
      </w:r>
      <w:r w:rsidR="00C81224" w:rsidRPr="000A71F4">
        <w:rPr>
          <w:rFonts w:ascii="Times New Roman" w:hAnsi="Times New Roman" w:cs="Times New Roman"/>
          <w:i/>
          <w:sz w:val="24"/>
          <w:szCs w:val="24"/>
        </w:rPr>
        <w:t>m</w:t>
      </w:r>
      <w:r w:rsidRPr="000A71F4">
        <w:rPr>
          <w:rFonts w:ascii="Times New Roman" w:hAnsi="Times New Roman" w:cs="Times New Roman"/>
          <w:i/>
          <w:sz w:val="24"/>
          <w:szCs w:val="24"/>
        </w:rPr>
        <w:t>bwe</w:t>
      </w:r>
      <w:r>
        <w:rPr>
          <w:rFonts w:ascii="Times New Roman" w:hAnsi="Times New Roman" w:cs="Times New Roman"/>
          <w:sz w:val="24"/>
          <w:szCs w:val="24"/>
        </w:rPr>
        <w:t xml:space="preserve">’s </w:t>
      </w:r>
      <w:r w:rsidR="00887784">
        <w:rPr>
          <w:rFonts w:ascii="Times New Roman" w:hAnsi="Times New Roman" w:cs="Times New Roman"/>
          <w:sz w:val="24"/>
          <w:szCs w:val="24"/>
        </w:rPr>
        <w:t>alternative submission that an</w:t>
      </w:r>
      <w:r>
        <w:rPr>
          <w:rFonts w:ascii="Times New Roman" w:hAnsi="Times New Roman" w:cs="Times New Roman"/>
          <w:sz w:val="24"/>
          <w:szCs w:val="24"/>
        </w:rPr>
        <w:t xml:space="preserve"> undertaking to pay </w:t>
      </w:r>
      <w:r w:rsidR="00887784">
        <w:rPr>
          <w:rFonts w:ascii="Times New Roman" w:hAnsi="Times New Roman" w:cs="Times New Roman"/>
          <w:sz w:val="24"/>
          <w:szCs w:val="24"/>
        </w:rPr>
        <w:t xml:space="preserve">security of costs </w:t>
      </w:r>
      <w:r>
        <w:rPr>
          <w:rFonts w:ascii="Times New Roman" w:hAnsi="Times New Roman" w:cs="Times New Roman"/>
          <w:sz w:val="24"/>
          <w:szCs w:val="24"/>
        </w:rPr>
        <w:t>is good enough and constitutes compliance</w:t>
      </w:r>
      <w:r w:rsidR="007924AA">
        <w:rPr>
          <w:rFonts w:ascii="Times New Roman" w:hAnsi="Times New Roman" w:cs="Times New Roman"/>
          <w:sz w:val="24"/>
          <w:szCs w:val="24"/>
        </w:rPr>
        <w:t xml:space="preserve"> with</w:t>
      </w:r>
      <w:r w:rsidR="003A1F06">
        <w:rPr>
          <w:rFonts w:ascii="Times New Roman" w:hAnsi="Times New Roman" w:cs="Times New Roman"/>
          <w:sz w:val="24"/>
          <w:szCs w:val="24"/>
        </w:rPr>
        <w:t xml:space="preserve"> the rule in question</w:t>
      </w:r>
      <w:r>
        <w:rPr>
          <w:rFonts w:ascii="Times New Roman" w:hAnsi="Times New Roman" w:cs="Times New Roman"/>
          <w:sz w:val="24"/>
          <w:szCs w:val="24"/>
        </w:rPr>
        <w:t xml:space="preserve">. Order 31 requires </w:t>
      </w:r>
      <w:r w:rsidR="00887784">
        <w:rPr>
          <w:rFonts w:ascii="Times New Roman" w:hAnsi="Times New Roman" w:cs="Times New Roman"/>
          <w:sz w:val="24"/>
          <w:szCs w:val="24"/>
        </w:rPr>
        <w:t xml:space="preserve">full and proper </w:t>
      </w:r>
      <w:r>
        <w:rPr>
          <w:rFonts w:ascii="Times New Roman" w:hAnsi="Times New Roman" w:cs="Times New Roman"/>
          <w:sz w:val="24"/>
          <w:szCs w:val="24"/>
        </w:rPr>
        <w:t xml:space="preserve">compliance for a notice of appeal to be validly noted. This means that there can be nothing short of payment </w:t>
      </w:r>
      <w:r w:rsidR="00747E62">
        <w:rPr>
          <w:rFonts w:ascii="Times New Roman" w:hAnsi="Times New Roman" w:cs="Times New Roman"/>
          <w:sz w:val="24"/>
          <w:szCs w:val="24"/>
        </w:rPr>
        <w:t>of security of respondent’s costs</w:t>
      </w:r>
      <w:r w:rsidR="00674F00">
        <w:rPr>
          <w:rFonts w:ascii="Times New Roman" w:hAnsi="Times New Roman" w:cs="Times New Roman"/>
          <w:sz w:val="24"/>
          <w:szCs w:val="24"/>
        </w:rPr>
        <w:t xml:space="preserve"> in the sum of $100.00</w:t>
      </w:r>
      <w:r w:rsidR="00747E62">
        <w:rPr>
          <w:rFonts w:ascii="Times New Roman" w:hAnsi="Times New Roman" w:cs="Times New Roman"/>
          <w:sz w:val="24"/>
          <w:szCs w:val="24"/>
        </w:rPr>
        <w:t xml:space="preserve"> </w:t>
      </w:r>
      <w:r>
        <w:rPr>
          <w:rFonts w:ascii="Times New Roman" w:hAnsi="Times New Roman" w:cs="Times New Roman"/>
          <w:sz w:val="24"/>
          <w:szCs w:val="24"/>
        </w:rPr>
        <w:t>that would constitute proper compliance that brings into existence a validly note</w:t>
      </w:r>
      <w:r w:rsidR="00747E62">
        <w:rPr>
          <w:rFonts w:ascii="Times New Roman" w:hAnsi="Times New Roman" w:cs="Times New Roman"/>
          <w:sz w:val="24"/>
          <w:szCs w:val="24"/>
        </w:rPr>
        <w:t>d appeal</w:t>
      </w:r>
      <w:r>
        <w:rPr>
          <w:rFonts w:ascii="Times New Roman" w:hAnsi="Times New Roman" w:cs="Times New Roman"/>
          <w:sz w:val="24"/>
          <w:szCs w:val="24"/>
        </w:rPr>
        <w:t>. The Clerk of Court cannot waive an appellant’s obligation to deposit US$100,00 contemporaneously with the filing of the notice of appeal</w:t>
      </w:r>
      <w:r w:rsidR="00674F00">
        <w:rPr>
          <w:rFonts w:ascii="Times New Roman" w:hAnsi="Times New Roman" w:cs="Times New Roman"/>
          <w:sz w:val="24"/>
          <w:szCs w:val="24"/>
        </w:rPr>
        <w:t>. Only</w:t>
      </w:r>
      <w:r w:rsidR="00747E62">
        <w:rPr>
          <w:rFonts w:ascii="Times New Roman" w:hAnsi="Times New Roman" w:cs="Times New Roman"/>
          <w:sz w:val="24"/>
          <w:szCs w:val="24"/>
        </w:rPr>
        <w:t xml:space="preserve"> the Court of appeal </w:t>
      </w:r>
      <w:r w:rsidR="00674F00">
        <w:rPr>
          <w:rFonts w:ascii="Times New Roman" w:hAnsi="Times New Roman" w:cs="Times New Roman"/>
          <w:sz w:val="24"/>
          <w:szCs w:val="24"/>
        </w:rPr>
        <w:t>can waive such payment but even then such waive</w:t>
      </w:r>
      <w:r w:rsidR="00080E2F">
        <w:rPr>
          <w:rFonts w:ascii="Times New Roman" w:hAnsi="Times New Roman" w:cs="Times New Roman"/>
          <w:sz w:val="24"/>
          <w:szCs w:val="24"/>
        </w:rPr>
        <w:t>r</w:t>
      </w:r>
      <w:r w:rsidR="00674F00">
        <w:rPr>
          <w:rFonts w:ascii="Times New Roman" w:hAnsi="Times New Roman" w:cs="Times New Roman"/>
          <w:sz w:val="24"/>
          <w:szCs w:val="24"/>
        </w:rPr>
        <w:t>s must be in existence at the time of noting an appeal</w:t>
      </w:r>
      <w:r w:rsidR="003A1F06">
        <w:rPr>
          <w:rFonts w:ascii="Times New Roman" w:hAnsi="Times New Roman" w:cs="Times New Roman"/>
          <w:sz w:val="24"/>
          <w:szCs w:val="24"/>
        </w:rPr>
        <w:t xml:space="preserve"> for a valid appeal to be noted</w:t>
      </w:r>
      <w:r w:rsidR="00674F00">
        <w:rPr>
          <w:rFonts w:ascii="Times New Roman" w:hAnsi="Times New Roman" w:cs="Times New Roman"/>
          <w:sz w:val="24"/>
          <w:szCs w:val="24"/>
        </w:rPr>
        <w:t xml:space="preserve">. Although the Clerk of Court </w:t>
      </w:r>
      <w:r>
        <w:rPr>
          <w:rFonts w:ascii="Times New Roman" w:hAnsi="Times New Roman" w:cs="Times New Roman"/>
          <w:sz w:val="24"/>
          <w:szCs w:val="24"/>
        </w:rPr>
        <w:t xml:space="preserve">can accept a </w:t>
      </w:r>
      <w:r w:rsidR="003A1F06">
        <w:rPr>
          <w:rFonts w:ascii="Times New Roman" w:hAnsi="Times New Roman" w:cs="Times New Roman"/>
          <w:sz w:val="24"/>
          <w:szCs w:val="24"/>
        </w:rPr>
        <w:t xml:space="preserve">litigant’s </w:t>
      </w:r>
      <w:r>
        <w:rPr>
          <w:rFonts w:ascii="Times New Roman" w:hAnsi="Times New Roman" w:cs="Times New Roman"/>
          <w:sz w:val="24"/>
          <w:szCs w:val="24"/>
        </w:rPr>
        <w:t>written undertaking to pay for the costs o</w:t>
      </w:r>
      <w:r w:rsidR="00674F00">
        <w:rPr>
          <w:rFonts w:ascii="Times New Roman" w:hAnsi="Times New Roman" w:cs="Times New Roman"/>
          <w:sz w:val="24"/>
          <w:szCs w:val="24"/>
        </w:rPr>
        <w:t xml:space="preserve">f preparation of the record he/she </w:t>
      </w:r>
      <w:r w:rsidR="003A1F06">
        <w:rPr>
          <w:rFonts w:ascii="Times New Roman" w:hAnsi="Times New Roman" w:cs="Times New Roman"/>
          <w:sz w:val="24"/>
          <w:szCs w:val="24"/>
        </w:rPr>
        <w:t xml:space="preserve">on a later date </w:t>
      </w:r>
      <w:r>
        <w:rPr>
          <w:rFonts w:ascii="Times New Roman" w:hAnsi="Times New Roman" w:cs="Times New Roman"/>
          <w:sz w:val="24"/>
          <w:szCs w:val="24"/>
        </w:rPr>
        <w:t>cannot authorise deferment of payment of security for respo</w:t>
      </w:r>
      <w:r w:rsidR="00747E62">
        <w:rPr>
          <w:rFonts w:ascii="Times New Roman" w:hAnsi="Times New Roman" w:cs="Times New Roman"/>
          <w:sz w:val="24"/>
          <w:szCs w:val="24"/>
        </w:rPr>
        <w:t>ndent’s costs to beyond the time</w:t>
      </w:r>
      <w:r>
        <w:rPr>
          <w:rFonts w:ascii="Times New Roman" w:hAnsi="Times New Roman" w:cs="Times New Roman"/>
          <w:sz w:val="24"/>
          <w:szCs w:val="24"/>
        </w:rPr>
        <w:t xml:space="preserve"> of filing the notice of appeal.</w:t>
      </w:r>
      <w:r w:rsidR="00747E62">
        <w:rPr>
          <w:rFonts w:ascii="Times New Roman" w:hAnsi="Times New Roman" w:cs="Times New Roman"/>
          <w:sz w:val="24"/>
          <w:szCs w:val="24"/>
        </w:rPr>
        <w:t xml:space="preserve"> In our view </w:t>
      </w:r>
      <w:r w:rsidR="003A1F06">
        <w:rPr>
          <w:rFonts w:ascii="Times New Roman" w:hAnsi="Times New Roman" w:cs="Times New Roman"/>
          <w:sz w:val="24"/>
          <w:szCs w:val="24"/>
        </w:rPr>
        <w:t xml:space="preserve">although </w:t>
      </w:r>
      <w:r w:rsidR="00747E62">
        <w:rPr>
          <w:rFonts w:ascii="Times New Roman" w:hAnsi="Times New Roman" w:cs="Times New Roman"/>
          <w:sz w:val="24"/>
          <w:szCs w:val="24"/>
        </w:rPr>
        <w:t>the Clerk of Court</w:t>
      </w:r>
      <w:r w:rsidR="003A1F06">
        <w:rPr>
          <w:rFonts w:ascii="Times New Roman" w:hAnsi="Times New Roman" w:cs="Times New Roman"/>
          <w:sz w:val="24"/>
          <w:szCs w:val="24"/>
        </w:rPr>
        <w:t xml:space="preserve"> has a discretion to </w:t>
      </w:r>
      <w:r w:rsidR="00747E62">
        <w:rPr>
          <w:rFonts w:ascii="Times New Roman" w:hAnsi="Times New Roman" w:cs="Times New Roman"/>
          <w:sz w:val="24"/>
          <w:szCs w:val="24"/>
        </w:rPr>
        <w:t xml:space="preserve">defer payment of </w:t>
      </w:r>
      <w:r w:rsidR="003A1F06">
        <w:rPr>
          <w:rFonts w:ascii="Times New Roman" w:hAnsi="Times New Roman" w:cs="Times New Roman"/>
          <w:sz w:val="24"/>
          <w:szCs w:val="24"/>
        </w:rPr>
        <w:t xml:space="preserve">the </w:t>
      </w:r>
      <w:r w:rsidR="00747E62">
        <w:rPr>
          <w:rFonts w:ascii="Times New Roman" w:hAnsi="Times New Roman" w:cs="Times New Roman"/>
          <w:sz w:val="24"/>
          <w:szCs w:val="24"/>
        </w:rPr>
        <w:t>costs</w:t>
      </w:r>
      <w:r w:rsidR="00690C85">
        <w:rPr>
          <w:rFonts w:ascii="Times New Roman" w:hAnsi="Times New Roman" w:cs="Times New Roman"/>
          <w:sz w:val="24"/>
          <w:szCs w:val="24"/>
        </w:rPr>
        <w:t xml:space="preserve"> of preparing the record to</w:t>
      </w:r>
      <w:r w:rsidR="00747E62">
        <w:rPr>
          <w:rFonts w:ascii="Times New Roman" w:hAnsi="Times New Roman" w:cs="Times New Roman"/>
          <w:sz w:val="24"/>
          <w:szCs w:val="24"/>
        </w:rPr>
        <w:t xml:space="preserve"> </w:t>
      </w:r>
      <w:r w:rsidR="003A1F06">
        <w:rPr>
          <w:rFonts w:ascii="Times New Roman" w:hAnsi="Times New Roman" w:cs="Times New Roman"/>
          <w:sz w:val="24"/>
          <w:szCs w:val="24"/>
        </w:rPr>
        <w:t xml:space="preserve">some date after </w:t>
      </w:r>
      <w:r w:rsidR="00747E62">
        <w:rPr>
          <w:rFonts w:ascii="Times New Roman" w:hAnsi="Times New Roman" w:cs="Times New Roman"/>
          <w:sz w:val="24"/>
          <w:szCs w:val="24"/>
        </w:rPr>
        <w:t xml:space="preserve">beyond the </w:t>
      </w:r>
      <w:r w:rsidR="00690C85">
        <w:rPr>
          <w:rFonts w:ascii="Times New Roman" w:hAnsi="Times New Roman" w:cs="Times New Roman"/>
          <w:sz w:val="24"/>
          <w:szCs w:val="24"/>
        </w:rPr>
        <w:t xml:space="preserve">date of noting </w:t>
      </w:r>
      <w:r w:rsidR="003A1F06">
        <w:rPr>
          <w:rFonts w:ascii="Times New Roman" w:hAnsi="Times New Roman" w:cs="Times New Roman"/>
          <w:sz w:val="24"/>
          <w:szCs w:val="24"/>
        </w:rPr>
        <w:t>an appeal he</w:t>
      </w:r>
      <w:r w:rsidR="00747E62">
        <w:rPr>
          <w:rFonts w:ascii="Times New Roman" w:hAnsi="Times New Roman" w:cs="Times New Roman"/>
          <w:sz w:val="24"/>
          <w:szCs w:val="24"/>
        </w:rPr>
        <w:t xml:space="preserve"> </w:t>
      </w:r>
      <w:r w:rsidR="00690C85">
        <w:rPr>
          <w:rFonts w:ascii="Times New Roman" w:hAnsi="Times New Roman" w:cs="Times New Roman"/>
          <w:sz w:val="24"/>
          <w:szCs w:val="24"/>
        </w:rPr>
        <w:t xml:space="preserve">has no authority to delay the time when </w:t>
      </w:r>
      <w:r w:rsidR="00747E62">
        <w:rPr>
          <w:rFonts w:ascii="Times New Roman" w:hAnsi="Times New Roman" w:cs="Times New Roman"/>
          <w:sz w:val="24"/>
          <w:szCs w:val="24"/>
        </w:rPr>
        <w:t>payment of</w:t>
      </w:r>
      <w:r w:rsidR="00690C85">
        <w:rPr>
          <w:rFonts w:ascii="Times New Roman" w:hAnsi="Times New Roman" w:cs="Times New Roman"/>
          <w:sz w:val="24"/>
          <w:szCs w:val="24"/>
        </w:rPr>
        <w:t xml:space="preserve"> security of </w:t>
      </w:r>
      <w:r w:rsidR="003A1F06">
        <w:rPr>
          <w:rFonts w:ascii="Times New Roman" w:hAnsi="Times New Roman" w:cs="Times New Roman"/>
          <w:sz w:val="24"/>
          <w:szCs w:val="24"/>
        </w:rPr>
        <w:t>respondent’s costs must be made</w:t>
      </w:r>
      <w:r w:rsidR="00690C85">
        <w:rPr>
          <w:rFonts w:ascii="Times New Roman" w:hAnsi="Times New Roman" w:cs="Times New Roman"/>
          <w:sz w:val="24"/>
          <w:szCs w:val="24"/>
        </w:rPr>
        <w:t xml:space="preserve"> which time </w:t>
      </w:r>
      <w:r w:rsidR="003A1F06">
        <w:rPr>
          <w:rFonts w:ascii="Times New Roman" w:hAnsi="Times New Roman" w:cs="Times New Roman"/>
          <w:sz w:val="24"/>
          <w:szCs w:val="24"/>
        </w:rPr>
        <w:t xml:space="preserve">is that </w:t>
      </w:r>
      <w:r w:rsidR="00690C85">
        <w:rPr>
          <w:rFonts w:ascii="Times New Roman" w:hAnsi="Times New Roman" w:cs="Times New Roman"/>
          <w:sz w:val="24"/>
          <w:szCs w:val="24"/>
        </w:rPr>
        <w:t xml:space="preserve">of noting the appeal. Clearly therefore reliance on the case of </w:t>
      </w:r>
      <w:r w:rsidR="00690C85" w:rsidRPr="00C81224">
        <w:rPr>
          <w:rFonts w:ascii="Times New Roman" w:hAnsi="Times New Roman" w:cs="Times New Roman"/>
          <w:i/>
          <w:sz w:val="24"/>
          <w:szCs w:val="24"/>
        </w:rPr>
        <w:t>Breytenbach</w:t>
      </w:r>
      <w:r w:rsidR="00690C85">
        <w:rPr>
          <w:rFonts w:ascii="Times New Roman" w:hAnsi="Times New Roman" w:cs="Times New Roman"/>
          <w:sz w:val="24"/>
          <w:szCs w:val="24"/>
        </w:rPr>
        <w:t xml:space="preserve"> vs </w:t>
      </w:r>
      <w:r w:rsidR="00690C85" w:rsidRPr="00887784">
        <w:rPr>
          <w:rFonts w:ascii="Times New Roman" w:hAnsi="Times New Roman" w:cs="Times New Roman"/>
          <w:i/>
          <w:sz w:val="24"/>
          <w:szCs w:val="24"/>
        </w:rPr>
        <w:t>Commet Engineering</w:t>
      </w:r>
      <w:r w:rsidR="00690C85">
        <w:rPr>
          <w:rFonts w:ascii="Times New Roman" w:hAnsi="Times New Roman" w:cs="Times New Roman"/>
          <w:i/>
          <w:sz w:val="24"/>
          <w:szCs w:val="24"/>
        </w:rPr>
        <w:t xml:space="preserve"> supra</w:t>
      </w:r>
      <w:r w:rsidR="003A1F06">
        <w:rPr>
          <w:rFonts w:ascii="Times New Roman" w:hAnsi="Times New Roman" w:cs="Times New Roman"/>
          <w:sz w:val="24"/>
          <w:szCs w:val="24"/>
        </w:rPr>
        <w:t xml:space="preserve"> is misplaced quite apart from it not binding on this court.</w:t>
      </w:r>
    </w:p>
    <w:p w:rsidR="00957CD8" w:rsidRDefault="00957CD8" w:rsidP="00D12A2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w:t>
      </w:r>
      <w:r w:rsidR="00143C49">
        <w:rPr>
          <w:rFonts w:ascii="Times New Roman" w:hAnsi="Times New Roman" w:cs="Times New Roman"/>
          <w:sz w:val="24"/>
          <w:szCs w:val="24"/>
        </w:rPr>
        <w:t>,</w:t>
      </w:r>
      <w:r w:rsidR="003A1F06">
        <w:rPr>
          <w:rFonts w:ascii="Times New Roman" w:hAnsi="Times New Roman" w:cs="Times New Roman"/>
          <w:sz w:val="24"/>
          <w:szCs w:val="24"/>
        </w:rPr>
        <w:t xml:space="preserve"> it is our view that</w:t>
      </w:r>
      <w:r>
        <w:rPr>
          <w:rFonts w:ascii="Times New Roman" w:hAnsi="Times New Roman" w:cs="Times New Roman"/>
          <w:sz w:val="24"/>
          <w:szCs w:val="24"/>
        </w:rPr>
        <w:t xml:space="preserve"> respondent’s objection </w:t>
      </w:r>
      <w:r w:rsidRPr="002449D9">
        <w:rPr>
          <w:rFonts w:ascii="Times New Roman" w:hAnsi="Times New Roman" w:cs="Times New Roman"/>
          <w:i/>
          <w:sz w:val="24"/>
          <w:szCs w:val="24"/>
        </w:rPr>
        <w:t>in limine</w:t>
      </w:r>
      <w:r>
        <w:rPr>
          <w:rFonts w:ascii="Times New Roman" w:hAnsi="Times New Roman" w:cs="Times New Roman"/>
          <w:sz w:val="24"/>
          <w:szCs w:val="24"/>
        </w:rPr>
        <w:t xml:space="preserve"> is well taken. The appellant’s appeal is according</w:t>
      </w:r>
      <w:r w:rsidR="00143C49">
        <w:rPr>
          <w:rFonts w:ascii="Times New Roman" w:hAnsi="Times New Roman" w:cs="Times New Roman"/>
          <w:sz w:val="24"/>
          <w:szCs w:val="24"/>
        </w:rPr>
        <w:t>ly</w:t>
      </w:r>
      <w:r>
        <w:rPr>
          <w:rFonts w:ascii="Times New Roman" w:hAnsi="Times New Roman" w:cs="Times New Roman"/>
          <w:sz w:val="24"/>
          <w:szCs w:val="24"/>
        </w:rPr>
        <w:t xml:space="preserve"> struck off with costs.</w:t>
      </w:r>
    </w:p>
    <w:p w:rsidR="00957CD8" w:rsidRDefault="003A1F06" w:rsidP="00D12A2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957CD8" w:rsidRDefault="00957CD8" w:rsidP="00FA4AC7">
      <w:pPr>
        <w:pStyle w:val="NoSpacing"/>
        <w:spacing w:after="240" w:line="360" w:lineRule="auto"/>
        <w:jc w:val="both"/>
        <w:rPr>
          <w:rFonts w:ascii="Times New Roman" w:hAnsi="Times New Roman" w:cs="Times New Roman"/>
          <w:sz w:val="24"/>
          <w:szCs w:val="24"/>
        </w:rPr>
      </w:pPr>
    </w:p>
    <w:p w:rsidR="00957CD8" w:rsidRDefault="00957CD8" w:rsidP="00D12A2D">
      <w:pPr>
        <w:pStyle w:val="NoSpacing"/>
        <w:spacing w:line="360" w:lineRule="auto"/>
        <w:jc w:val="both"/>
        <w:rPr>
          <w:rFonts w:ascii="Times New Roman" w:hAnsi="Times New Roman" w:cs="Times New Roman"/>
          <w:sz w:val="24"/>
          <w:szCs w:val="24"/>
        </w:rPr>
      </w:pPr>
      <w:r w:rsidRPr="00957CD8">
        <w:rPr>
          <w:rFonts w:ascii="Times New Roman" w:hAnsi="Times New Roman" w:cs="Times New Roman"/>
          <w:b/>
          <w:smallCaps/>
          <w:sz w:val="24"/>
          <w:szCs w:val="24"/>
        </w:rPr>
        <w:t>Foroma J</w:t>
      </w:r>
      <w:r>
        <w:rPr>
          <w:rFonts w:ascii="Times New Roman" w:hAnsi="Times New Roman" w:cs="Times New Roman"/>
          <w:sz w:val="24"/>
          <w:szCs w:val="24"/>
        </w:rPr>
        <w:t>: ……………………………………..</w:t>
      </w:r>
    </w:p>
    <w:p w:rsidR="00FA4AC7" w:rsidRDefault="00FA4AC7" w:rsidP="00D12A2D">
      <w:pPr>
        <w:pStyle w:val="NoSpacing"/>
        <w:spacing w:line="360" w:lineRule="auto"/>
        <w:jc w:val="both"/>
        <w:rPr>
          <w:rFonts w:ascii="Times New Roman" w:hAnsi="Times New Roman" w:cs="Times New Roman"/>
          <w:sz w:val="24"/>
          <w:szCs w:val="24"/>
        </w:rPr>
      </w:pPr>
    </w:p>
    <w:p w:rsidR="00FA4AC7" w:rsidRDefault="00FA4AC7" w:rsidP="00D12A2D">
      <w:pPr>
        <w:pStyle w:val="NoSpacing"/>
        <w:spacing w:line="360" w:lineRule="auto"/>
        <w:jc w:val="both"/>
        <w:rPr>
          <w:rFonts w:ascii="Times New Roman" w:hAnsi="Times New Roman" w:cs="Times New Roman"/>
          <w:sz w:val="24"/>
          <w:szCs w:val="24"/>
        </w:rPr>
      </w:pPr>
    </w:p>
    <w:p w:rsidR="00FA4AC7" w:rsidRDefault="00FA4AC7" w:rsidP="00FA4AC7">
      <w:pPr>
        <w:pStyle w:val="NoSpacing"/>
        <w:spacing w:after="240" w:line="360" w:lineRule="auto"/>
        <w:jc w:val="both"/>
        <w:rPr>
          <w:rFonts w:ascii="Times New Roman" w:hAnsi="Times New Roman" w:cs="Times New Roman"/>
          <w:sz w:val="24"/>
          <w:szCs w:val="24"/>
        </w:rPr>
      </w:pPr>
      <w:r w:rsidRPr="00FA4AC7">
        <w:rPr>
          <w:rFonts w:ascii="Times New Roman" w:hAnsi="Times New Roman" w:cs="Times New Roman"/>
          <w:b/>
          <w:smallCaps/>
          <w:sz w:val="24"/>
          <w:szCs w:val="24"/>
        </w:rPr>
        <w:t>Dube JP</w:t>
      </w:r>
      <w:r>
        <w:rPr>
          <w:rFonts w:ascii="Times New Roman" w:hAnsi="Times New Roman" w:cs="Times New Roman"/>
          <w:sz w:val="24"/>
          <w:szCs w:val="24"/>
        </w:rPr>
        <w:t>: ………………………………………..</w:t>
      </w:r>
      <w:r w:rsidR="003C65FE">
        <w:rPr>
          <w:rFonts w:ascii="Times New Roman" w:hAnsi="Times New Roman" w:cs="Times New Roman"/>
          <w:sz w:val="24"/>
          <w:szCs w:val="24"/>
        </w:rPr>
        <w:t xml:space="preserve"> </w:t>
      </w:r>
      <w:r w:rsidR="003C65FE" w:rsidRPr="003C65FE">
        <w:rPr>
          <w:rFonts w:ascii="Times New Roman" w:hAnsi="Times New Roman" w:cs="Times New Roman"/>
          <w:b/>
          <w:sz w:val="24"/>
          <w:szCs w:val="24"/>
        </w:rPr>
        <w:t>Agrees</w:t>
      </w:r>
    </w:p>
    <w:p w:rsidR="00C81224" w:rsidRDefault="00FA4AC7" w:rsidP="00FA4AC7">
      <w:pPr>
        <w:pStyle w:val="NoSpacing"/>
        <w:jc w:val="both"/>
        <w:rPr>
          <w:rFonts w:ascii="Times New Roman" w:hAnsi="Times New Roman" w:cs="Times New Roman"/>
          <w:sz w:val="24"/>
          <w:szCs w:val="24"/>
        </w:rPr>
      </w:pPr>
      <w:r w:rsidRPr="00FA4AC7">
        <w:rPr>
          <w:rFonts w:ascii="Times New Roman" w:hAnsi="Times New Roman" w:cs="Times New Roman"/>
          <w:i/>
          <w:sz w:val="24"/>
          <w:szCs w:val="24"/>
        </w:rPr>
        <w:t>Chatsama &amp; Partners</w:t>
      </w:r>
      <w:r w:rsidR="00C81224">
        <w:rPr>
          <w:rFonts w:ascii="Times New Roman" w:hAnsi="Times New Roman" w:cs="Times New Roman"/>
          <w:sz w:val="24"/>
          <w:szCs w:val="24"/>
        </w:rPr>
        <w:t>, appellant’s legal practitioners</w:t>
      </w:r>
    </w:p>
    <w:p w:rsidR="00C81224" w:rsidRDefault="00FA4AC7" w:rsidP="00FA4AC7">
      <w:pPr>
        <w:pStyle w:val="NoSpacing"/>
        <w:jc w:val="both"/>
        <w:rPr>
          <w:rFonts w:ascii="Times New Roman" w:hAnsi="Times New Roman" w:cs="Times New Roman"/>
          <w:sz w:val="24"/>
          <w:szCs w:val="24"/>
        </w:rPr>
      </w:pPr>
      <w:r w:rsidRPr="00FA4AC7">
        <w:rPr>
          <w:rFonts w:ascii="Times New Roman" w:hAnsi="Times New Roman" w:cs="Times New Roman"/>
          <w:i/>
          <w:sz w:val="24"/>
          <w:szCs w:val="24"/>
        </w:rPr>
        <w:t>Farai Nyamayaro Law Chambers</w:t>
      </w:r>
      <w:r w:rsidR="00C81224">
        <w:rPr>
          <w:rFonts w:ascii="Times New Roman" w:hAnsi="Times New Roman" w:cs="Times New Roman"/>
          <w:sz w:val="24"/>
          <w:szCs w:val="24"/>
        </w:rPr>
        <w:t>, respondent’s legal practitioners</w:t>
      </w:r>
    </w:p>
    <w:p w:rsidR="00C81224" w:rsidRDefault="00C81224" w:rsidP="00FA4AC7">
      <w:pPr>
        <w:pStyle w:val="NoSpacing"/>
        <w:jc w:val="both"/>
        <w:rPr>
          <w:rFonts w:ascii="Times New Roman" w:hAnsi="Times New Roman" w:cs="Times New Roman"/>
          <w:sz w:val="24"/>
          <w:szCs w:val="24"/>
        </w:rPr>
      </w:pPr>
    </w:p>
    <w:p w:rsidR="00957CD8" w:rsidRDefault="00957CD8" w:rsidP="00D12A2D">
      <w:pPr>
        <w:pStyle w:val="NoSpacing"/>
        <w:spacing w:line="360" w:lineRule="auto"/>
        <w:jc w:val="both"/>
        <w:rPr>
          <w:rFonts w:ascii="Times New Roman" w:hAnsi="Times New Roman" w:cs="Times New Roman"/>
          <w:sz w:val="24"/>
          <w:szCs w:val="24"/>
        </w:rPr>
      </w:pPr>
    </w:p>
    <w:p w:rsidR="00957CD8" w:rsidRDefault="00957CD8" w:rsidP="00D12A2D">
      <w:pPr>
        <w:pStyle w:val="NoSpacing"/>
        <w:spacing w:line="360" w:lineRule="auto"/>
        <w:jc w:val="both"/>
        <w:rPr>
          <w:rFonts w:ascii="Times New Roman" w:hAnsi="Times New Roman" w:cs="Times New Roman"/>
          <w:sz w:val="24"/>
          <w:szCs w:val="24"/>
        </w:rPr>
      </w:pPr>
    </w:p>
    <w:p w:rsidR="00957CD8" w:rsidRPr="005F2471" w:rsidRDefault="00957CD8" w:rsidP="00D12A2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957CD8" w:rsidRPr="005F24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903" w:rsidRDefault="001C2903" w:rsidP="005F2471">
      <w:pPr>
        <w:spacing w:after="0" w:line="240" w:lineRule="auto"/>
      </w:pPr>
      <w:r>
        <w:separator/>
      </w:r>
    </w:p>
  </w:endnote>
  <w:endnote w:type="continuationSeparator" w:id="0">
    <w:p w:rsidR="001C2903" w:rsidRDefault="001C2903" w:rsidP="005F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903" w:rsidRDefault="001C2903" w:rsidP="005F2471">
      <w:pPr>
        <w:spacing w:after="0" w:line="240" w:lineRule="auto"/>
      </w:pPr>
      <w:r>
        <w:separator/>
      </w:r>
    </w:p>
  </w:footnote>
  <w:footnote w:type="continuationSeparator" w:id="0">
    <w:p w:rsidR="001C2903" w:rsidRDefault="001C2903" w:rsidP="005F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507998"/>
      <w:docPartObj>
        <w:docPartGallery w:val="Page Numbers (Top of Page)"/>
        <w:docPartUnique/>
      </w:docPartObj>
    </w:sdtPr>
    <w:sdtEndPr>
      <w:rPr>
        <w:noProof/>
      </w:rPr>
    </w:sdtEndPr>
    <w:sdtContent>
      <w:p w:rsidR="005F2471" w:rsidRDefault="005F2471">
        <w:pPr>
          <w:pStyle w:val="Header"/>
          <w:jc w:val="right"/>
          <w:rPr>
            <w:noProof/>
          </w:rPr>
        </w:pPr>
        <w:r>
          <w:fldChar w:fldCharType="begin"/>
        </w:r>
        <w:r>
          <w:instrText xml:space="preserve"> PAGE   \* MERGEFORMAT </w:instrText>
        </w:r>
        <w:r>
          <w:fldChar w:fldCharType="separate"/>
        </w:r>
        <w:r w:rsidR="00AD2B73">
          <w:rPr>
            <w:noProof/>
          </w:rPr>
          <w:t>1</w:t>
        </w:r>
        <w:r>
          <w:rPr>
            <w:noProof/>
          </w:rPr>
          <w:fldChar w:fldCharType="end"/>
        </w:r>
      </w:p>
      <w:p w:rsidR="0008205E" w:rsidRDefault="0008205E">
        <w:pPr>
          <w:pStyle w:val="Header"/>
          <w:jc w:val="right"/>
          <w:rPr>
            <w:noProof/>
          </w:rPr>
        </w:pPr>
        <w:r>
          <w:rPr>
            <w:noProof/>
          </w:rPr>
          <w:t>HH 340 - 25</w:t>
        </w:r>
      </w:p>
      <w:p w:rsidR="005F2471" w:rsidRDefault="005F2471">
        <w:pPr>
          <w:pStyle w:val="Header"/>
          <w:jc w:val="right"/>
        </w:pPr>
        <w:r>
          <w:rPr>
            <w:noProof/>
          </w:rPr>
          <w:t>HCH 5321/24</w:t>
        </w:r>
      </w:p>
    </w:sdtContent>
  </w:sdt>
  <w:p w:rsidR="005F2471" w:rsidRDefault="005F24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A779C"/>
    <w:multiLevelType w:val="hybridMultilevel"/>
    <w:tmpl w:val="CE88B9EC"/>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5B5FD2"/>
    <w:multiLevelType w:val="hybridMultilevel"/>
    <w:tmpl w:val="6A54B500"/>
    <w:lvl w:ilvl="0" w:tplc="4600F3E4">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71"/>
    <w:rsid w:val="00080E2F"/>
    <w:rsid w:val="0008205E"/>
    <w:rsid w:val="000A71F4"/>
    <w:rsid w:val="00143C49"/>
    <w:rsid w:val="001C2903"/>
    <w:rsid w:val="00242177"/>
    <w:rsid w:val="002449D9"/>
    <w:rsid w:val="00246453"/>
    <w:rsid w:val="002E6649"/>
    <w:rsid w:val="00323ADE"/>
    <w:rsid w:val="003A1F06"/>
    <w:rsid w:val="003C65FE"/>
    <w:rsid w:val="003D06B2"/>
    <w:rsid w:val="003F14A7"/>
    <w:rsid w:val="005F2471"/>
    <w:rsid w:val="00605DB6"/>
    <w:rsid w:val="0067316C"/>
    <w:rsid w:val="00674F00"/>
    <w:rsid w:val="00690C85"/>
    <w:rsid w:val="00747E62"/>
    <w:rsid w:val="007924AA"/>
    <w:rsid w:val="00863D86"/>
    <w:rsid w:val="00887784"/>
    <w:rsid w:val="008D3ED0"/>
    <w:rsid w:val="008E78D3"/>
    <w:rsid w:val="008F3CE3"/>
    <w:rsid w:val="00957CD8"/>
    <w:rsid w:val="00AD2B73"/>
    <w:rsid w:val="00AF78F8"/>
    <w:rsid w:val="00BB4454"/>
    <w:rsid w:val="00C81224"/>
    <w:rsid w:val="00CB277B"/>
    <w:rsid w:val="00D12A2D"/>
    <w:rsid w:val="00D9438E"/>
    <w:rsid w:val="00EC12CB"/>
    <w:rsid w:val="00F466CF"/>
    <w:rsid w:val="00F534CC"/>
    <w:rsid w:val="00FA4AC7"/>
    <w:rsid w:val="00FD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4D769-F981-4C56-81CA-07B5D4E8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471"/>
    <w:pPr>
      <w:spacing w:after="0" w:line="240" w:lineRule="auto"/>
    </w:pPr>
  </w:style>
  <w:style w:type="paragraph" w:styleId="Header">
    <w:name w:val="header"/>
    <w:basedOn w:val="Normal"/>
    <w:link w:val="HeaderChar"/>
    <w:uiPriority w:val="99"/>
    <w:unhideWhenUsed/>
    <w:rsid w:val="005F2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471"/>
  </w:style>
  <w:style w:type="paragraph" w:styleId="Footer">
    <w:name w:val="footer"/>
    <w:basedOn w:val="Normal"/>
    <w:link w:val="FooterChar"/>
    <w:uiPriority w:val="99"/>
    <w:unhideWhenUsed/>
    <w:rsid w:val="005F2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2025-06-09T07:31:00Z</cp:lastPrinted>
  <dcterms:created xsi:type="dcterms:W3CDTF">2025-06-13T11:58:00Z</dcterms:created>
  <dcterms:modified xsi:type="dcterms:W3CDTF">2025-06-13T11:58:00Z</dcterms:modified>
</cp:coreProperties>
</file>