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18" w:rsidRDefault="008A6990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ELIZABETH </w:t>
      </w:r>
      <w:r w:rsidR="00303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KHAKA</w:t>
      </w:r>
    </w:p>
    <w:p w:rsidR="00C812AA" w:rsidRPr="0003573C" w:rsidRDefault="00C812AA" w:rsidP="00EE6F1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EE6F18" w:rsidRDefault="00C812AA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E6F18" w:rsidRPr="00F51306">
        <w:rPr>
          <w:rFonts w:ascii="Times New Roman" w:hAnsi="Times New Roman" w:cs="Times New Roman"/>
          <w:sz w:val="24"/>
          <w:szCs w:val="24"/>
        </w:rPr>
        <w:t>ersus</w:t>
      </w:r>
    </w:p>
    <w:p w:rsidR="00C812AA" w:rsidRPr="00C812AA" w:rsidRDefault="00C812AA" w:rsidP="00EE6F1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EE6F18" w:rsidRDefault="008A6990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FREDERICK RENNIE</w:t>
      </w:r>
    </w:p>
    <w:p w:rsidR="00EE6F18" w:rsidRDefault="00EE6F18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F18" w:rsidRDefault="00EE6F18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1A" w:rsidRDefault="00E30C1A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F18" w:rsidRPr="00F51306" w:rsidRDefault="00EE6F18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HIGH COURT OF ZIMBABWE</w:t>
      </w:r>
    </w:p>
    <w:p w:rsidR="00EE6F18" w:rsidRPr="00F51306" w:rsidRDefault="00630584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CHINAMORA</w:t>
      </w:r>
      <w:r w:rsidR="00EE6F18" w:rsidRPr="00F51306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EE6F18" w:rsidRPr="00F51306" w:rsidRDefault="00EE6F18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 xml:space="preserve">HARARE, </w:t>
      </w:r>
      <w:r w:rsidR="006051FC">
        <w:rPr>
          <w:rFonts w:ascii="Times New Roman" w:hAnsi="Times New Roman" w:cs="Times New Roman"/>
          <w:sz w:val="24"/>
          <w:szCs w:val="24"/>
        </w:rPr>
        <w:t>18 May 2022 and 2</w:t>
      </w:r>
      <w:r w:rsidR="008448DA">
        <w:rPr>
          <w:rFonts w:ascii="Times New Roman" w:hAnsi="Times New Roman" w:cs="Times New Roman"/>
          <w:sz w:val="24"/>
          <w:szCs w:val="24"/>
        </w:rPr>
        <w:t>7</w:t>
      </w:r>
      <w:r w:rsidR="00FA27F3">
        <w:rPr>
          <w:rFonts w:ascii="Times New Roman" w:hAnsi="Times New Roman" w:cs="Times New Roman"/>
          <w:sz w:val="24"/>
          <w:szCs w:val="24"/>
        </w:rPr>
        <w:t xml:space="preserve"> October 2022</w:t>
      </w:r>
    </w:p>
    <w:p w:rsidR="00EE6F18" w:rsidRDefault="00EE6F18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1A" w:rsidRPr="00F51306" w:rsidRDefault="00E30C1A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F18" w:rsidRPr="00B009FA" w:rsidRDefault="00EE6F18" w:rsidP="00EE6F1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E6F18" w:rsidRPr="00CA4CD4" w:rsidRDefault="00CA4CD4" w:rsidP="00EE6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application for contempt of court</w:t>
      </w:r>
    </w:p>
    <w:p w:rsidR="00EE6F18" w:rsidRDefault="00EE6F18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1A" w:rsidRPr="00F51306" w:rsidRDefault="00E30C1A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F18" w:rsidRPr="00860861" w:rsidRDefault="00EE6F18" w:rsidP="00EE6F1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EE6F18" w:rsidRPr="00F51306" w:rsidRDefault="00501414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 N Chidembo</w:t>
      </w:r>
      <w:r w:rsidR="002D53A1">
        <w:rPr>
          <w:rFonts w:ascii="Times New Roman" w:hAnsi="Times New Roman" w:cs="Times New Roman"/>
          <w:i/>
          <w:sz w:val="24"/>
          <w:szCs w:val="24"/>
        </w:rPr>
        <w:t>,</w:t>
      </w:r>
      <w:r w:rsidR="00EE6F18" w:rsidRPr="00F51306">
        <w:rPr>
          <w:rFonts w:ascii="Times New Roman" w:hAnsi="Times New Roman" w:cs="Times New Roman"/>
          <w:sz w:val="24"/>
          <w:szCs w:val="24"/>
        </w:rPr>
        <w:t xml:space="preserve"> for the applicant</w:t>
      </w:r>
    </w:p>
    <w:p w:rsidR="00EE6F18" w:rsidRPr="00F51306" w:rsidRDefault="00501414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 P C Paul</w:t>
      </w:r>
      <w:r w:rsidR="00D04707" w:rsidRPr="00C32E0E">
        <w:rPr>
          <w:rFonts w:ascii="Times New Roman" w:hAnsi="Times New Roman" w:cs="Times New Roman"/>
          <w:i/>
          <w:sz w:val="24"/>
          <w:szCs w:val="24"/>
        </w:rPr>
        <w:t>,</w:t>
      </w:r>
      <w:r w:rsidR="00D04707">
        <w:rPr>
          <w:rFonts w:ascii="Times New Roman" w:hAnsi="Times New Roman" w:cs="Times New Roman"/>
          <w:sz w:val="24"/>
          <w:szCs w:val="24"/>
        </w:rPr>
        <w:t xml:space="preserve"> </w:t>
      </w:r>
      <w:r w:rsidR="00D04707" w:rsidRPr="00F51306">
        <w:rPr>
          <w:rFonts w:ascii="Times New Roman" w:hAnsi="Times New Roman" w:cs="Times New Roman"/>
          <w:sz w:val="24"/>
          <w:szCs w:val="24"/>
        </w:rPr>
        <w:t>for</w:t>
      </w:r>
      <w:r w:rsidR="00EE6F18" w:rsidRPr="00F51306">
        <w:rPr>
          <w:rFonts w:ascii="Times New Roman" w:hAnsi="Times New Roman" w:cs="Times New Roman"/>
          <w:sz w:val="24"/>
          <w:szCs w:val="24"/>
        </w:rPr>
        <w:t xml:space="preserve"> the </w:t>
      </w:r>
      <w:r w:rsidR="00C32E0E">
        <w:rPr>
          <w:rFonts w:ascii="Times New Roman" w:hAnsi="Times New Roman" w:cs="Times New Roman"/>
          <w:sz w:val="24"/>
          <w:szCs w:val="24"/>
        </w:rPr>
        <w:t xml:space="preserve">respondent </w:t>
      </w:r>
    </w:p>
    <w:p w:rsidR="00E30C1A" w:rsidRDefault="00E30C1A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1A" w:rsidRPr="00F51306" w:rsidRDefault="00E30C1A" w:rsidP="00EE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5F" w:rsidRDefault="00EE6F18" w:rsidP="002D53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ab/>
      </w:r>
      <w:r w:rsidR="00417D76" w:rsidRPr="00312184">
        <w:rPr>
          <w:rFonts w:ascii="Times New Roman" w:hAnsi="Times New Roman" w:cs="Times New Roman"/>
          <w:b/>
          <w:sz w:val="24"/>
          <w:szCs w:val="24"/>
        </w:rPr>
        <w:t>CHINAMORA J</w:t>
      </w:r>
      <w:r w:rsidRPr="0031218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6245F" w:rsidRPr="00B009FA" w:rsidRDefault="00E6245F" w:rsidP="002D53A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E40A5" w:rsidRPr="00312184" w:rsidRDefault="00E6245F" w:rsidP="002D53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Factual background</w:t>
      </w:r>
      <w:r w:rsidR="002D53A1" w:rsidRPr="0031218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E73F1" w:rsidRPr="00C75FB1" w:rsidRDefault="00CA65BC" w:rsidP="00B933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650E7">
        <w:rPr>
          <w:rFonts w:ascii="Times New Roman" w:hAnsi="Times New Roman" w:cs="Times New Roman"/>
          <w:sz w:val="24"/>
          <w:szCs w:val="24"/>
        </w:rPr>
        <w:t xml:space="preserve">brief </w:t>
      </w:r>
      <w:r>
        <w:rPr>
          <w:rFonts w:ascii="Times New Roman" w:hAnsi="Times New Roman" w:cs="Times New Roman"/>
          <w:sz w:val="24"/>
          <w:szCs w:val="24"/>
        </w:rPr>
        <w:t>b</w:t>
      </w:r>
      <w:r w:rsidR="00831FC3">
        <w:rPr>
          <w:rFonts w:ascii="Times New Roman" w:hAnsi="Times New Roman" w:cs="Times New Roman"/>
          <w:sz w:val="24"/>
          <w:szCs w:val="24"/>
        </w:rPr>
        <w:t>ackground to this 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FC3">
        <w:rPr>
          <w:rFonts w:ascii="Times New Roman" w:hAnsi="Times New Roman" w:cs="Times New Roman"/>
          <w:sz w:val="24"/>
          <w:szCs w:val="24"/>
        </w:rPr>
        <w:t xml:space="preserve">is that, the applicant </w:t>
      </w:r>
      <w:r w:rsidR="0065339F">
        <w:rPr>
          <w:rFonts w:ascii="Times New Roman" w:hAnsi="Times New Roman" w:cs="Times New Roman"/>
          <w:sz w:val="24"/>
          <w:szCs w:val="24"/>
        </w:rPr>
        <w:t>sued the respondent</w:t>
      </w:r>
      <w:r w:rsidR="00D650E7">
        <w:rPr>
          <w:rFonts w:ascii="Times New Roman" w:hAnsi="Times New Roman" w:cs="Times New Roman"/>
          <w:sz w:val="24"/>
          <w:szCs w:val="24"/>
        </w:rPr>
        <w:t xml:space="preserve"> sometime</w:t>
      </w:r>
      <w:r w:rsidR="0065339F">
        <w:rPr>
          <w:rFonts w:ascii="Times New Roman" w:hAnsi="Times New Roman" w:cs="Times New Roman"/>
          <w:sz w:val="24"/>
          <w:szCs w:val="24"/>
        </w:rPr>
        <w:t xml:space="preserve"> </w:t>
      </w:r>
      <w:r w:rsidR="00B153CF">
        <w:rPr>
          <w:rFonts w:ascii="Times New Roman" w:hAnsi="Times New Roman" w:cs="Times New Roman"/>
          <w:sz w:val="24"/>
          <w:szCs w:val="24"/>
        </w:rPr>
        <w:t>in 2007 under HC 33</w:t>
      </w:r>
      <w:r w:rsidR="00B436FB">
        <w:rPr>
          <w:rFonts w:ascii="Times New Roman" w:hAnsi="Times New Roman" w:cs="Times New Roman"/>
          <w:sz w:val="24"/>
          <w:szCs w:val="24"/>
        </w:rPr>
        <w:t>14/07 for specific performance and transfer of</w:t>
      </w:r>
      <w:r w:rsidR="00C27F9B">
        <w:rPr>
          <w:rFonts w:ascii="Times New Roman" w:hAnsi="Times New Roman" w:cs="Times New Roman"/>
          <w:sz w:val="24"/>
          <w:szCs w:val="24"/>
        </w:rPr>
        <w:t xml:space="preserve"> a property known as</w:t>
      </w:r>
      <w:r w:rsidR="00B436FB">
        <w:rPr>
          <w:rFonts w:ascii="Times New Roman" w:hAnsi="Times New Roman" w:cs="Times New Roman"/>
          <w:sz w:val="24"/>
          <w:szCs w:val="24"/>
        </w:rPr>
        <w:t xml:space="preserve"> Lot 5 of the remainder of Subdivision “</w:t>
      </w:r>
      <w:r w:rsidR="00B436FB" w:rsidRPr="00C75FB1">
        <w:rPr>
          <w:rFonts w:ascii="Times New Roman" w:hAnsi="Times New Roman" w:cs="Times New Roman"/>
        </w:rPr>
        <w:t xml:space="preserve">A” </w:t>
      </w:r>
      <w:r w:rsidR="00437E2F" w:rsidRPr="00C75FB1">
        <w:rPr>
          <w:rFonts w:ascii="Times New Roman" w:hAnsi="Times New Roman" w:cs="Times New Roman"/>
        </w:rPr>
        <w:t>of Lichfied of Wilksden Farm</w:t>
      </w:r>
      <w:r w:rsidR="00CB0909" w:rsidRPr="00C75FB1">
        <w:rPr>
          <w:rFonts w:ascii="Times New Roman" w:hAnsi="Times New Roman" w:cs="Times New Roman"/>
        </w:rPr>
        <w:t xml:space="preserve"> (hereinafter called “the property”)</w:t>
      </w:r>
      <w:r w:rsidR="00437E2F" w:rsidRPr="00C75FB1">
        <w:rPr>
          <w:rFonts w:ascii="Times New Roman" w:hAnsi="Times New Roman" w:cs="Times New Roman"/>
        </w:rPr>
        <w:t>.</w:t>
      </w:r>
      <w:r w:rsidR="001E7184" w:rsidRPr="00C75FB1">
        <w:rPr>
          <w:rFonts w:ascii="Times New Roman" w:hAnsi="Times New Roman" w:cs="Times New Roman"/>
        </w:rPr>
        <w:t xml:space="preserve"> Alternatively, the </w:t>
      </w:r>
      <w:r w:rsidR="0037338E" w:rsidRPr="00C75FB1">
        <w:rPr>
          <w:rFonts w:ascii="Times New Roman" w:hAnsi="Times New Roman" w:cs="Times New Roman"/>
        </w:rPr>
        <w:t xml:space="preserve">applicant claimed damages for breach of contract. </w:t>
      </w:r>
      <w:r w:rsidR="00BB15C8" w:rsidRPr="00C75FB1">
        <w:rPr>
          <w:rFonts w:ascii="Times New Roman" w:hAnsi="Times New Roman" w:cs="Times New Roman"/>
        </w:rPr>
        <w:t xml:space="preserve">On 4 July, the parties </w:t>
      </w:r>
      <w:r w:rsidR="00902EA1" w:rsidRPr="00C75FB1">
        <w:rPr>
          <w:rFonts w:ascii="Times New Roman" w:hAnsi="Times New Roman" w:cs="Times New Roman"/>
        </w:rPr>
        <w:t>entered into a deed of settlement which is marked Annexure “A” and appears on pages 6</w:t>
      </w:r>
      <w:r w:rsidR="00401386" w:rsidRPr="00C75FB1">
        <w:rPr>
          <w:rFonts w:ascii="Times New Roman" w:hAnsi="Times New Roman" w:cs="Times New Roman"/>
        </w:rPr>
        <w:t>-7 of the record.</w:t>
      </w:r>
      <w:r w:rsidR="002006C6" w:rsidRPr="00C75FB1">
        <w:rPr>
          <w:rFonts w:ascii="Times New Roman" w:hAnsi="Times New Roman" w:cs="Times New Roman"/>
        </w:rPr>
        <w:t xml:space="preserve"> This deed of settlement was made an order of this court </w:t>
      </w:r>
      <w:r w:rsidR="001842AA" w:rsidRPr="00C75FB1">
        <w:rPr>
          <w:rFonts w:ascii="Times New Roman" w:hAnsi="Times New Roman" w:cs="Times New Roman"/>
        </w:rPr>
        <w:t>under HC 5000/08B</w:t>
      </w:r>
      <w:r w:rsidR="004C719E" w:rsidRPr="00C75FB1">
        <w:rPr>
          <w:rFonts w:ascii="Times New Roman" w:hAnsi="Times New Roman" w:cs="Times New Roman"/>
        </w:rPr>
        <w:t xml:space="preserve"> on 29 November 2012</w:t>
      </w:r>
      <w:r w:rsidR="001842AA" w:rsidRPr="00C75FB1">
        <w:rPr>
          <w:rFonts w:ascii="Times New Roman" w:hAnsi="Times New Roman" w:cs="Times New Roman"/>
        </w:rPr>
        <w:t>, and the said order is on page</w:t>
      </w:r>
      <w:r w:rsidR="00C633DC" w:rsidRPr="00C75FB1">
        <w:rPr>
          <w:rFonts w:ascii="Times New Roman" w:hAnsi="Times New Roman" w:cs="Times New Roman"/>
        </w:rPr>
        <w:t xml:space="preserve"> 8 of the record marked Annexure “B”.</w:t>
      </w:r>
      <w:r w:rsidR="00BB676B">
        <w:rPr>
          <w:rFonts w:ascii="Times New Roman" w:hAnsi="Times New Roman" w:cs="Times New Roman"/>
          <w:sz w:val="24"/>
          <w:szCs w:val="24"/>
        </w:rPr>
        <w:t xml:space="preserve"> </w:t>
      </w:r>
      <w:r w:rsidR="00BB676B" w:rsidRPr="00C75FB1">
        <w:rPr>
          <w:rFonts w:ascii="Times New Roman" w:hAnsi="Times New Roman" w:cs="Times New Roman"/>
          <w:sz w:val="24"/>
          <w:szCs w:val="24"/>
        </w:rPr>
        <w:t>The parts of the said o</w:t>
      </w:r>
      <w:r w:rsidR="002C26F1" w:rsidRPr="00C75FB1">
        <w:rPr>
          <w:rFonts w:ascii="Times New Roman" w:hAnsi="Times New Roman" w:cs="Times New Roman"/>
          <w:sz w:val="24"/>
          <w:szCs w:val="24"/>
        </w:rPr>
        <w:t>rder which are relevant to this application read as follows:</w:t>
      </w:r>
    </w:p>
    <w:p w:rsidR="00415EF6" w:rsidRPr="00CD11AF" w:rsidRDefault="00415EF6" w:rsidP="00B933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61EE8" w:rsidRPr="00C75FB1" w:rsidRDefault="00415EF6" w:rsidP="00C75FB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75FB1">
        <w:rPr>
          <w:rFonts w:ascii="Times New Roman" w:hAnsi="Times New Roman" w:cs="Times New Roman"/>
        </w:rPr>
        <w:t xml:space="preserve">“1. The defendant shall purchase </w:t>
      </w:r>
      <w:r w:rsidR="003A7014" w:rsidRPr="00C75FB1">
        <w:rPr>
          <w:rFonts w:ascii="Times New Roman" w:hAnsi="Times New Roman" w:cs="Times New Roman"/>
        </w:rPr>
        <w:t>and transfer to the plaintiff Old Mutual Limited Shares</w:t>
      </w:r>
      <w:r w:rsidR="001A72E3" w:rsidRPr="00C75FB1">
        <w:rPr>
          <w:rFonts w:ascii="Times New Roman" w:hAnsi="Times New Roman" w:cs="Times New Roman"/>
        </w:rPr>
        <w:t xml:space="preserve"> (‘Old Mutures</w:t>
      </w:r>
      <w:r w:rsidR="004003F4" w:rsidRPr="00C75FB1">
        <w:rPr>
          <w:rFonts w:ascii="Times New Roman" w:hAnsi="Times New Roman" w:cs="Times New Roman"/>
        </w:rPr>
        <w:t xml:space="preserve"> shares</w:t>
      </w:r>
      <w:r w:rsidR="001A72E3" w:rsidRPr="00C75FB1">
        <w:rPr>
          <w:rFonts w:ascii="Times New Roman" w:hAnsi="Times New Roman" w:cs="Times New Roman"/>
        </w:rPr>
        <w:t>’)</w:t>
      </w:r>
      <w:r w:rsidR="003A7014" w:rsidRPr="00C75FB1">
        <w:rPr>
          <w:rFonts w:ascii="Times New Roman" w:hAnsi="Times New Roman" w:cs="Times New Roman"/>
        </w:rPr>
        <w:t xml:space="preserve"> </w:t>
      </w:r>
      <w:r w:rsidR="003A7014" w:rsidRPr="00C75FB1">
        <w:rPr>
          <w:rFonts w:ascii="Times New Roman" w:hAnsi="Times New Roman" w:cs="Times New Roman"/>
          <w:u w:val="single"/>
        </w:rPr>
        <w:t xml:space="preserve">within </w:t>
      </w:r>
      <w:r w:rsidR="00C14437" w:rsidRPr="00C75FB1">
        <w:rPr>
          <w:rFonts w:ascii="Times New Roman" w:hAnsi="Times New Roman" w:cs="Times New Roman"/>
          <w:u w:val="single"/>
        </w:rPr>
        <w:t>fourteen (</w:t>
      </w:r>
      <w:r w:rsidR="003A7014" w:rsidRPr="00C75FB1">
        <w:rPr>
          <w:rFonts w:ascii="Times New Roman" w:hAnsi="Times New Roman" w:cs="Times New Roman"/>
          <w:u w:val="single"/>
        </w:rPr>
        <w:t>14</w:t>
      </w:r>
      <w:r w:rsidR="00C14437" w:rsidRPr="00C75FB1">
        <w:rPr>
          <w:rFonts w:ascii="Times New Roman" w:hAnsi="Times New Roman" w:cs="Times New Roman"/>
          <w:u w:val="single"/>
        </w:rPr>
        <w:t>) working days from the 4</w:t>
      </w:r>
      <w:r w:rsidR="00C14437" w:rsidRPr="00C75FB1">
        <w:rPr>
          <w:rFonts w:ascii="Times New Roman" w:hAnsi="Times New Roman" w:cs="Times New Roman"/>
          <w:u w:val="single"/>
          <w:vertAlign w:val="superscript"/>
        </w:rPr>
        <w:t>th</w:t>
      </w:r>
      <w:r w:rsidR="00C14437" w:rsidRPr="00C75FB1">
        <w:rPr>
          <w:rFonts w:ascii="Times New Roman" w:hAnsi="Times New Roman" w:cs="Times New Roman"/>
          <w:u w:val="single"/>
        </w:rPr>
        <w:t xml:space="preserve"> July 2008</w:t>
      </w:r>
      <w:r w:rsidR="00AD18E8" w:rsidRPr="00C75FB1">
        <w:rPr>
          <w:rFonts w:ascii="Times New Roman" w:hAnsi="Times New Roman" w:cs="Times New Roman"/>
        </w:rPr>
        <w:t>. The number of share to be transferred to the</w:t>
      </w:r>
      <w:r w:rsidR="00B61EE8" w:rsidRPr="00C75FB1">
        <w:rPr>
          <w:rFonts w:ascii="Times New Roman" w:hAnsi="Times New Roman" w:cs="Times New Roman"/>
        </w:rPr>
        <w:t xml:space="preserve"> plaintiff shall be arrived at as set out below:</w:t>
      </w:r>
    </w:p>
    <w:p w:rsidR="00415EF6" w:rsidRDefault="00B61EE8" w:rsidP="0074491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B1">
        <w:rPr>
          <w:rFonts w:ascii="Times New Roman" w:hAnsi="Times New Roman" w:cs="Times New Roman"/>
        </w:rPr>
        <w:t xml:space="preserve">1.1 The defendant, at his cost, shall cause </w:t>
      </w:r>
      <w:r w:rsidR="00982CBF" w:rsidRPr="00C75FB1">
        <w:rPr>
          <w:rFonts w:ascii="Times New Roman" w:hAnsi="Times New Roman" w:cs="Times New Roman"/>
        </w:rPr>
        <w:t>the property purchased by the plaintiff, being Lot 5 of the remainder of Subdivision “A” of Lichfied of Wilksden Farm</w:t>
      </w:r>
      <w:r w:rsidR="00744915" w:rsidRPr="00C75FB1">
        <w:rPr>
          <w:rFonts w:ascii="Times New Roman" w:hAnsi="Times New Roman" w:cs="Times New Roman"/>
        </w:rPr>
        <w:t xml:space="preserve"> together with all permanent improvements </w:t>
      </w:r>
      <w:r w:rsidR="00C760EA" w:rsidRPr="00C75FB1">
        <w:rPr>
          <w:rFonts w:ascii="Times New Roman" w:hAnsi="Times New Roman" w:cs="Times New Roman"/>
        </w:rPr>
        <w:t>constructed thereupon to be valued by Tony West Real Estate and Fox and Carney Estate Agents</w:t>
      </w:r>
      <w:r w:rsidR="00C760EA" w:rsidRPr="00C75FB1">
        <w:rPr>
          <w:rFonts w:ascii="Times New Roman" w:hAnsi="Times New Roman" w:cs="Times New Roman"/>
          <w:u w:val="single"/>
        </w:rPr>
        <w:t xml:space="preserve"> within five (5) </w:t>
      </w:r>
      <w:r w:rsidR="00B673B9" w:rsidRPr="00C75FB1">
        <w:rPr>
          <w:rFonts w:ascii="Times New Roman" w:hAnsi="Times New Roman" w:cs="Times New Roman"/>
          <w:u w:val="single"/>
        </w:rPr>
        <w:t>days of today’s date (4 July 2008)”</w:t>
      </w:r>
      <w:r w:rsidR="00B673B9" w:rsidRPr="00C75FB1">
        <w:rPr>
          <w:rFonts w:ascii="Times New Roman" w:hAnsi="Times New Roman" w:cs="Times New Roman"/>
        </w:rPr>
        <w:t>.</w:t>
      </w:r>
      <w:r w:rsidR="003A7014" w:rsidRPr="00C75FB1">
        <w:rPr>
          <w:rFonts w:ascii="Times New Roman" w:hAnsi="Times New Roman" w:cs="Times New Roman"/>
        </w:rPr>
        <w:t xml:space="preserve"> </w:t>
      </w:r>
      <w:r w:rsidR="007A18ED" w:rsidRPr="00C75FB1">
        <w:rPr>
          <w:rFonts w:ascii="Times New Roman" w:hAnsi="Times New Roman" w:cs="Times New Roman"/>
          <w:b/>
        </w:rPr>
        <w:t>[</w:t>
      </w:r>
      <w:r w:rsidR="007A18ED" w:rsidRPr="007A18ED">
        <w:rPr>
          <w:rFonts w:ascii="Times New Roman" w:hAnsi="Times New Roman" w:cs="Times New Roman"/>
          <w:b/>
          <w:sz w:val="24"/>
          <w:szCs w:val="24"/>
        </w:rPr>
        <w:t>My own emphasis]</w:t>
      </w:r>
    </w:p>
    <w:p w:rsidR="00F60AB7" w:rsidRDefault="00F60AB7" w:rsidP="00FA72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F0D" w:rsidRDefault="00B009FA" w:rsidP="00E941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5CCA">
        <w:rPr>
          <w:rFonts w:ascii="Times New Roman" w:hAnsi="Times New Roman" w:cs="Times New Roman"/>
          <w:sz w:val="24"/>
          <w:szCs w:val="24"/>
        </w:rPr>
        <w:t xml:space="preserve">The applicant averred that the respondent </w:t>
      </w:r>
      <w:r w:rsidR="00C65CCA" w:rsidRPr="00C65CCA">
        <w:rPr>
          <w:rFonts w:ascii="Times New Roman" w:hAnsi="Times New Roman" w:cs="Times New Roman"/>
          <w:sz w:val="24"/>
          <w:szCs w:val="24"/>
        </w:rPr>
        <w:t xml:space="preserve">had breached the court order in HC 5000/08B </w:t>
      </w:r>
      <w:r w:rsidR="00C65CCA">
        <w:rPr>
          <w:rFonts w:ascii="Times New Roman" w:hAnsi="Times New Roman" w:cs="Times New Roman"/>
          <w:sz w:val="24"/>
          <w:szCs w:val="24"/>
        </w:rPr>
        <w:t xml:space="preserve">as he had </w:t>
      </w:r>
      <w:r w:rsidR="00A84661">
        <w:rPr>
          <w:rFonts w:ascii="Times New Roman" w:hAnsi="Times New Roman" w:cs="Times New Roman"/>
          <w:sz w:val="24"/>
          <w:szCs w:val="24"/>
        </w:rPr>
        <w:t xml:space="preserve">not purchased and transferred the Old Mutual shares to the applicant </w:t>
      </w:r>
      <w:r w:rsidR="008E069E">
        <w:rPr>
          <w:rFonts w:ascii="Times New Roman" w:hAnsi="Times New Roman" w:cs="Times New Roman"/>
          <w:sz w:val="24"/>
          <w:szCs w:val="24"/>
        </w:rPr>
        <w:t xml:space="preserve">within 14 </w:t>
      </w:r>
      <w:r w:rsidR="00D0422D">
        <w:rPr>
          <w:rFonts w:ascii="Times New Roman" w:hAnsi="Times New Roman" w:cs="Times New Roman"/>
          <w:sz w:val="24"/>
          <w:szCs w:val="24"/>
        </w:rPr>
        <w:lastRenderedPageBreak/>
        <w:t xml:space="preserve">working </w:t>
      </w:r>
      <w:r w:rsidR="008E069E">
        <w:rPr>
          <w:rFonts w:ascii="Times New Roman" w:hAnsi="Times New Roman" w:cs="Times New Roman"/>
          <w:sz w:val="24"/>
          <w:szCs w:val="24"/>
        </w:rPr>
        <w:t xml:space="preserve">days from 4 July 2008. The second aspect of breach alleged by the applicant, was that the respondent </w:t>
      </w:r>
      <w:r w:rsidR="00CC26DE">
        <w:rPr>
          <w:rFonts w:ascii="Times New Roman" w:hAnsi="Times New Roman" w:cs="Times New Roman"/>
          <w:sz w:val="24"/>
          <w:szCs w:val="24"/>
        </w:rPr>
        <w:t xml:space="preserve">had failed to have </w:t>
      </w:r>
      <w:r w:rsidR="008E069E">
        <w:rPr>
          <w:rFonts w:ascii="Times New Roman" w:hAnsi="Times New Roman" w:cs="Times New Roman"/>
          <w:sz w:val="24"/>
          <w:szCs w:val="24"/>
        </w:rPr>
        <w:t>th</w:t>
      </w:r>
      <w:r w:rsidR="00CC26DE">
        <w:rPr>
          <w:rFonts w:ascii="Times New Roman" w:hAnsi="Times New Roman" w:cs="Times New Roman"/>
          <w:sz w:val="24"/>
          <w:szCs w:val="24"/>
        </w:rPr>
        <w:t>e</w:t>
      </w:r>
      <w:r w:rsidR="008E069E">
        <w:rPr>
          <w:rFonts w:ascii="Times New Roman" w:hAnsi="Times New Roman" w:cs="Times New Roman"/>
          <w:sz w:val="24"/>
          <w:szCs w:val="24"/>
        </w:rPr>
        <w:t xml:space="preserve"> property</w:t>
      </w:r>
      <w:r w:rsidR="00CC26DE">
        <w:rPr>
          <w:rFonts w:ascii="Times New Roman" w:hAnsi="Times New Roman" w:cs="Times New Roman"/>
          <w:sz w:val="24"/>
          <w:szCs w:val="24"/>
        </w:rPr>
        <w:t xml:space="preserve"> valued by Tony West </w:t>
      </w:r>
      <w:r w:rsidR="00D0422D">
        <w:rPr>
          <w:rFonts w:ascii="Times New Roman" w:hAnsi="Times New Roman" w:cs="Times New Roman"/>
          <w:sz w:val="24"/>
          <w:szCs w:val="24"/>
        </w:rPr>
        <w:t xml:space="preserve">Real Estate </w:t>
      </w:r>
      <w:r w:rsidR="00CC26DE">
        <w:rPr>
          <w:rFonts w:ascii="Times New Roman" w:hAnsi="Times New Roman" w:cs="Times New Roman"/>
          <w:sz w:val="24"/>
          <w:szCs w:val="24"/>
        </w:rPr>
        <w:t>and Fox and Carney</w:t>
      </w:r>
      <w:r w:rsidR="00D0422D">
        <w:rPr>
          <w:rFonts w:ascii="Times New Roman" w:hAnsi="Times New Roman" w:cs="Times New Roman"/>
          <w:sz w:val="24"/>
          <w:szCs w:val="24"/>
        </w:rPr>
        <w:t xml:space="preserve"> Estate Agents</w:t>
      </w:r>
      <w:r w:rsidR="00CC26DE">
        <w:rPr>
          <w:rFonts w:ascii="Times New Roman" w:hAnsi="Times New Roman" w:cs="Times New Roman"/>
          <w:sz w:val="24"/>
          <w:szCs w:val="24"/>
        </w:rPr>
        <w:t xml:space="preserve"> within 5 </w:t>
      </w:r>
      <w:r w:rsidR="00CB0909">
        <w:rPr>
          <w:rFonts w:ascii="Times New Roman" w:hAnsi="Times New Roman" w:cs="Times New Roman"/>
          <w:sz w:val="24"/>
          <w:szCs w:val="24"/>
        </w:rPr>
        <w:t>working days from 4 July 2008.</w:t>
      </w:r>
      <w:r w:rsidR="00D0422D">
        <w:rPr>
          <w:rFonts w:ascii="Times New Roman" w:hAnsi="Times New Roman" w:cs="Times New Roman"/>
          <w:sz w:val="24"/>
          <w:szCs w:val="24"/>
        </w:rPr>
        <w:t xml:space="preserve"> It was submitted that </w:t>
      </w:r>
      <w:r w:rsidR="00BD35D4">
        <w:rPr>
          <w:rFonts w:ascii="Times New Roman" w:hAnsi="Times New Roman" w:cs="Times New Roman"/>
          <w:sz w:val="24"/>
          <w:szCs w:val="24"/>
        </w:rPr>
        <w:t xml:space="preserve">the respondent had shown a </w:t>
      </w:r>
      <w:r w:rsidR="000619B1">
        <w:rPr>
          <w:rFonts w:ascii="Times New Roman" w:hAnsi="Times New Roman" w:cs="Times New Roman"/>
          <w:sz w:val="24"/>
          <w:szCs w:val="24"/>
        </w:rPr>
        <w:t>“wanton” and “flagrant”</w:t>
      </w:r>
      <w:r w:rsidR="009741DD">
        <w:rPr>
          <w:rFonts w:ascii="Times New Roman" w:hAnsi="Times New Roman" w:cs="Times New Roman"/>
          <w:sz w:val="24"/>
          <w:szCs w:val="24"/>
        </w:rPr>
        <w:t xml:space="preserve"> disregard of this court’s order</w:t>
      </w:r>
      <w:r w:rsidR="004F4F0D">
        <w:rPr>
          <w:rFonts w:ascii="Times New Roman" w:hAnsi="Times New Roman" w:cs="Times New Roman"/>
          <w:sz w:val="24"/>
          <w:szCs w:val="24"/>
        </w:rPr>
        <w:t>, the applicant sought an order in the following terms:</w:t>
      </w:r>
    </w:p>
    <w:p w:rsidR="004F4F0D" w:rsidRPr="00B402FB" w:rsidRDefault="004F4F0D" w:rsidP="00F60AB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226125" w:rsidRPr="00C75FB1" w:rsidRDefault="004F4F0D" w:rsidP="00C75FB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3EC1">
        <w:rPr>
          <w:rFonts w:ascii="Times New Roman" w:hAnsi="Times New Roman" w:cs="Times New Roman"/>
        </w:rPr>
        <w:tab/>
      </w:r>
      <w:r w:rsidRPr="00C75FB1">
        <w:rPr>
          <w:rFonts w:ascii="Times New Roman" w:hAnsi="Times New Roman" w:cs="Times New Roman"/>
        </w:rPr>
        <w:t>“</w:t>
      </w:r>
      <w:r w:rsidR="00B402FB" w:rsidRPr="00C75FB1">
        <w:rPr>
          <w:rFonts w:ascii="Times New Roman" w:hAnsi="Times New Roman" w:cs="Times New Roman"/>
        </w:rPr>
        <w:t>1. The respondent be and is hereby decl</w:t>
      </w:r>
      <w:r w:rsidR="000E4025" w:rsidRPr="00C75FB1">
        <w:rPr>
          <w:rFonts w:ascii="Times New Roman" w:hAnsi="Times New Roman" w:cs="Times New Roman"/>
        </w:rPr>
        <w:t>ared to be in contempt of court in HC 5000/08B</w:t>
      </w:r>
      <w:r w:rsidR="006F17B5" w:rsidRPr="00C75FB1">
        <w:rPr>
          <w:rFonts w:ascii="Times New Roman" w:hAnsi="Times New Roman" w:cs="Times New Roman"/>
        </w:rPr>
        <w:t>.</w:t>
      </w:r>
    </w:p>
    <w:p w:rsidR="00226125" w:rsidRPr="00C75FB1" w:rsidRDefault="00B402FB" w:rsidP="00C75FB1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5FB1">
        <w:rPr>
          <w:rFonts w:ascii="Times New Roman" w:hAnsi="Times New Roman" w:cs="Times New Roman"/>
        </w:rPr>
        <w:t xml:space="preserve">2. That the respondent shall within </w:t>
      </w:r>
      <w:r w:rsidR="000E4025" w:rsidRPr="00C75FB1">
        <w:rPr>
          <w:rFonts w:ascii="Times New Roman" w:hAnsi="Times New Roman" w:cs="Times New Roman"/>
        </w:rPr>
        <w:t>ten (10) days of this o</w:t>
      </w:r>
      <w:r w:rsidR="00B47679" w:rsidRPr="00C75FB1">
        <w:rPr>
          <w:rFonts w:ascii="Times New Roman" w:hAnsi="Times New Roman" w:cs="Times New Roman"/>
        </w:rPr>
        <w:t>rder comply with paragraph 1 and 2 of the order in HC 5000/08B.</w:t>
      </w:r>
    </w:p>
    <w:p w:rsidR="00AD398E" w:rsidRPr="00C75FB1" w:rsidRDefault="001757FB" w:rsidP="00C75FB1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5FB1">
        <w:rPr>
          <w:rFonts w:ascii="Times New Roman" w:hAnsi="Times New Roman" w:cs="Times New Roman"/>
        </w:rPr>
        <w:t>3. Should respondent fail to comply w</w:t>
      </w:r>
      <w:r w:rsidR="00031887" w:rsidRPr="00C75FB1">
        <w:rPr>
          <w:rFonts w:ascii="Times New Roman" w:hAnsi="Times New Roman" w:cs="Times New Roman"/>
        </w:rPr>
        <w:t xml:space="preserve">ith the order in HC 5000/08B </w:t>
      </w:r>
      <w:r w:rsidR="00226125" w:rsidRPr="00C75FB1">
        <w:rPr>
          <w:rFonts w:ascii="Times New Roman" w:hAnsi="Times New Roman" w:cs="Times New Roman"/>
        </w:rPr>
        <w:t xml:space="preserve">as </w:t>
      </w:r>
      <w:r w:rsidRPr="00C75FB1">
        <w:rPr>
          <w:rFonts w:ascii="Times New Roman" w:hAnsi="Times New Roman" w:cs="Times New Roman"/>
        </w:rPr>
        <w:t>set out in paragraph 2 above</w:t>
      </w:r>
      <w:r w:rsidR="00A41E59" w:rsidRPr="00C75FB1">
        <w:rPr>
          <w:rFonts w:ascii="Times New Roman" w:hAnsi="Times New Roman" w:cs="Times New Roman"/>
        </w:rPr>
        <w:t xml:space="preserve">, the applicant shall be entitled on this order to instruct the Sheriff of Zimbabwe, </w:t>
      </w:r>
      <w:r w:rsidR="00691D41" w:rsidRPr="00C75FB1">
        <w:rPr>
          <w:rFonts w:ascii="Times New Roman" w:hAnsi="Times New Roman" w:cs="Times New Roman"/>
        </w:rPr>
        <w:t xml:space="preserve">if he is not available, his deputy or assistant to procure members of the Zimbabwe Republic Police </w:t>
      </w:r>
      <w:r w:rsidR="00201237" w:rsidRPr="00C75FB1">
        <w:rPr>
          <w:rFonts w:ascii="Times New Roman" w:hAnsi="Times New Roman" w:cs="Times New Roman"/>
        </w:rPr>
        <w:t>as may be necessary to effect the arrest of the respondent and his committal to Central Prison until such time as he purges his contempt in C</w:t>
      </w:r>
      <w:r w:rsidR="00145F0A" w:rsidRPr="00C75FB1">
        <w:rPr>
          <w:rFonts w:ascii="Times New Roman" w:hAnsi="Times New Roman" w:cs="Times New Roman"/>
        </w:rPr>
        <w:t>ase No.</w:t>
      </w:r>
      <w:r w:rsidR="00C74052" w:rsidRPr="00C75FB1">
        <w:rPr>
          <w:rFonts w:ascii="Times New Roman" w:hAnsi="Times New Roman" w:cs="Times New Roman"/>
        </w:rPr>
        <w:t xml:space="preserve"> HC 5000/08B</w:t>
      </w:r>
      <w:r w:rsidR="00226125" w:rsidRPr="00C75FB1">
        <w:rPr>
          <w:rFonts w:ascii="Times New Roman" w:hAnsi="Times New Roman" w:cs="Times New Roman"/>
        </w:rPr>
        <w:t>.</w:t>
      </w:r>
    </w:p>
    <w:p w:rsidR="00B402FB" w:rsidRPr="00C75FB1" w:rsidRDefault="00226125" w:rsidP="00C75FB1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5FB1">
        <w:rPr>
          <w:rFonts w:ascii="Times New Roman" w:hAnsi="Times New Roman" w:cs="Times New Roman"/>
        </w:rPr>
        <w:t>4. The respondent shall pay the costs of this application</w:t>
      </w:r>
      <w:r w:rsidR="003D7E2B" w:rsidRPr="00C75FB1">
        <w:rPr>
          <w:rFonts w:ascii="Times New Roman" w:hAnsi="Times New Roman" w:cs="Times New Roman"/>
        </w:rPr>
        <w:t xml:space="preserve"> on the</w:t>
      </w:r>
      <w:r w:rsidR="00AD398E" w:rsidRPr="00C75FB1">
        <w:rPr>
          <w:rFonts w:ascii="Times New Roman" w:hAnsi="Times New Roman" w:cs="Times New Roman"/>
        </w:rPr>
        <w:t xml:space="preserve"> legal practitioner</w:t>
      </w:r>
      <w:r w:rsidR="003D7E2B" w:rsidRPr="00C75FB1">
        <w:rPr>
          <w:rFonts w:ascii="Times New Roman" w:hAnsi="Times New Roman" w:cs="Times New Roman"/>
        </w:rPr>
        <w:t xml:space="preserve"> and client</w:t>
      </w:r>
      <w:r w:rsidR="00AD398E" w:rsidRPr="00C75FB1">
        <w:rPr>
          <w:rFonts w:ascii="Times New Roman" w:hAnsi="Times New Roman" w:cs="Times New Roman"/>
        </w:rPr>
        <w:t xml:space="preserve"> scale</w:t>
      </w:r>
      <w:r w:rsidR="00C74052" w:rsidRPr="00C75FB1">
        <w:rPr>
          <w:rFonts w:ascii="Times New Roman" w:hAnsi="Times New Roman" w:cs="Times New Roman"/>
        </w:rPr>
        <w:t>”.</w:t>
      </w:r>
      <w:r w:rsidR="00B47679" w:rsidRPr="00C75FB1">
        <w:rPr>
          <w:rFonts w:ascii="Times New Roman" w:hAnsi="Times New Roman" w:cs="Times New Roman"/>
        </w:rPr>
        <w:t xml:space="preserve"> </w:t>
      </w:r>
    </w:p>
    <w:p w:rsidR="00C75BDB" w:rsidRPr="00364004" w:rsidRDefault="00C75BDB" w:rsidP="00364004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364004" w:rsidRPr="00364004" w:rsidRDefault="003167D5" w:rsidP="00C75FB1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64004">
        <w:rPr>
          <w:rFonts w:ascii="Times New Roman" w:hAnsi="Times New Roman" w:cs="Times New Roman"/>
          <w:sz w:val="24"/>
          <w:szCs w:val="24"/>
        </w:rPr>
        <w:t>a</w:t>
      </w:r>
      <w:r w:rsidR="000F227C">
        <w:rPr>
          <w:rFonts w:ascii="Times New Roman" w:hAnsi="Times New Roman" w:cs="Times New Roman"/>
          <w:sz w:val="24"/>
          <w:szCs w:val="24"/>
        </w:rPr>
        <w:t>pplicati</w:t>
      </w:r>
      <w:r w:rsidR="00930C34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was opposed. Firs</w:t>
      </w:r>
      <w:r w:rsidR="00180ADD">
        <w:rPr>
          <w:rFonts w:ascii="Times New Roman" w:hAnsi="Times New Roman" w:cs="Times New Roman"/>
          <w:sz w:val="24"/>
          <w:szCs w:val="24"/>
        </w:rPr>
        <w:t>tly, the respondent pointed out</w:t>
      </w:r>
      <w:r w:rsidR="00930C34">
        <w:rPr>
          <w:rFonts w:ascii="Times New Roman" w:hAnsi="Times New Roman" w:cs="Times New Roman"/>
          <w:sz w:val="24"/>
          <w:szCs w:val="24"/>
        </w:rPr>
        <w:t xml:space="preserve"> </w:t>
      </w:r>
      <w:r w:rsidR="00AA21DB">
        <w:rPr>
          <w:rFonts w:ascii="Times New Roman" w:hAnsi="Times New Roman" w:cs="Times New Roman"/>
          <w:sz w:val="24"/>
          <w:szCs w:val="24"/>
        </w:rPr>
        <w:t>that the court order was granted 4 years after the deed of settlement</w:t>
      </w:r>
      <w:r w:rsidR="00930C34">
        <w:rPr>
          <w:rFonts w:ascii="Times New Roman" w:hAnsi="Times New Roman" w:cs="Times New Roman"/>
          <w:sz w:val="24"/>
          <w:szCs w:val="24"/>
        </w:rPr>
        <w:t xml:space="preserve"> was signed</w:t>
      </w:r>
      <w:r w:rsidR="00180ADD">
        <w:rPr>
          <w:rFonts w:ascii="Times New Roman" w:hAnsi="Times New Roman" w:cs="Times New Roman"/>
          <w:sz w:val="24"/>
          <w:szCs w:val="24"/>
        </w:rPr>
        <w:t>.</w:t>
      </w:r>
      <w:r w:rsidR="000E5011">
        <w:rPr>
          <w:rFonts w:ascii="Times New Roman" w:hAnsi="Times New Roman" w:cs="Times New Roman"/>
          <w:sz w:val="24"/>
          <w:szCs w:val="24"/>
        </w:rPr>
        <w:t xml:space="preserve"> Then</w:t>
      </w:r>
      <w:r w:rsidR="00930C34">
        <w:rPr>
          <w:rFonts w:ascii="Times New Roman" w:hAnsi="Times New Roman" w:cs="Times New Roman"/>
          <w:sz w:val="24"/>
          <w:szCs w:val="24"/>
        </w:rPr>
        <w:t xml:space="preserve">, </w:t>
      </w:r>
      <w:r w:rsidR="00AE1F78">
        <w:rPr>
          <w:rFonts w:ascii="Times New Roman" w:hAnsi="Times New Roman" w:cs="Times New Roman"/>
          <w:sz w:val="24"/>
          <w:szCs w:val="24"/>
        </w:rPr>
        <w:t xml:space="preserve">he argued that </w:t>
      </w:r>
      <w:r w:rsidR="005F5FB0">
        <w:rPr>
          <w:rFonts w:ascii="Times New Roman" w:hAnsi="Times New Roman" w:cs="Times New Roman"/>
          <w:sz w:val="24"/>
          <w:szCs w:val="24"/>
        </w:rPr>
        <w:t>it was im</w:t>
      </w:r>
      <w:r w:rsidR="00930C34">
        <w:rPr>
          <w:rFonts w:ascii="Times New Roman" w:hAnsi="Times New Roman" w:cs="Times New Roman"/>
          <w:sz w:val="24"/>
          <w:szCs w:val="24"/>
        </w:rPr>
        <w:t>possi</w:t>
      </w:r>
      <w:r w:rsidR="006F65FF">
        <w:rPr>
          <w:rFonts w:ascii="Times New Roman" w:hAnsi="Times New Roman" w:cs="Times New Roman"/>
          <w:sz w:val="24"/>
          <w:szCs w:val="24"/>
        </w:rPr>
        <w:t xml:space="preserve">ble to comply with the </w:t>
      </w:r>
      <w:r w:rsidR="00930C34">
        <w:rPr>
          <w:rFonts w:ascii="Times New Roman" w:hAnsi="Times New Roman" w:cs="Times New Roman"/>
          <w:sz w:val="24"/>
          <w:szCs w:val="24"/>
        </w:rPr>
        <w:t xml:space="preserve">order </w:t>
      </w:r>
      <w:r w:rsidR="006F65FF">
        <w:rPr>
          <w:rFonts w:ascii="Times New Roman" w:hAnsi="Times New Roman" w:cs="Times New Roman"/>
          <w:sz w:val="24"/>
          <w:szCs w:val="24"/>
        </w:rPr>
        <w:t xml:space="preserve">as it </w:t>
      </w:r>
      <w:r w:rsidR="001D7C0D">
        <w:rPr>
          <w:rFonts w:ascii="Times New Roman" w:hAnsi="Times New Roman" w:cs="Times New Roman"/>
          <w:sz w:val="24"/>
          <w:szCs w:val="24"/>
        </w:rPr>
        <w:t>req</w:t>
      </w:r>
      <w:r w:rsidR="006F65FF">
        <w:rPr>
          <w:rFonts w:ascii="Times New Roman" w:hAnsi="Times New Roman" w:cs="Times New Roman"/>
          <w:sz w:val="24"/>
          <w:szCs w:val="24"/>
        </w:rPr>
        <w:t xml:space="preserve">uired him </w:t>
      </w:r>
      <w:r w:rsidR="001D7C0D">
        <w:rPr>
          <w:rFonts w:ascii="Times New Roman" w:hAnsi="Times New Roman" w:cs="Times New Roman"/>
          <w:sz w:val="24"/>
          <w:szCs w:val="24"/>
        </w:rPr>
        <w:t>to purchase Old Mutual shares in July 2008.</w:t>
      </w:r>
      <w:r w:rsidR="00691ACF">
        <w:rPr>
          <w:rFonts w:ascii="Times New Roman" w:hAnsi="Times New Roman" w:cs="Times New Roman"/>
          <w:sz w:val="24"/>
          <w:szCs w:val="24"/>
        </w:rPr>
        <w:t xml:space="preserve"> (See paragraph 4 of the opposing affidavit, which appears on page 12 of the record).</w:t>
      </w:r>
      <w:r w:rsidR="00304295">
        <w:rPr>
          <w:rFonts w:ascii="Times New Roman" w:hAnsi="Times New Roman" w:cs="Times New Roman"/>
          <w:sz w:val="24"/>
          <w:szCs w:val="24"/>
        </w:rPr>
        <w:t xml:space="preserve"> He further argued that any valuation which may be obtained for the property now would likely </w:t>
      </w:r>
      <w:r w:rsidR="0067339F">
        <w:rPr>
          <w:rFonts w:ascii="Times New Roman" w:hAnsi="Times New Roman" w:cs="Times New Roman"/>
          <w:sz w:val="24"/>
          <w:szCs w:val="24"/>
        </w:rPr>
        <w:t>be different from what stands were worth in 2008.</w:t>
      </w:r>
      <w:r w:rsidR="00383CA4">
        <w:rPr>
          <w:rFonts w:ascii="Times New Roman" w:hAnsi="Times New Roman" w:cs="Times New Roman"/>
          <w:sz w:val="24"/>
          <w:szCs w:val="24"/>
        </w:rPr>
        <w:t xml:space="preserve"> M</w:t>
      </w:r>
      <w:r w:rsidR="007E4429">
        <w:rPr>
          <w:rFonts w:ascii="Times New Roman" w:hAnsi="Times New Roman" w:cs="Times New Roman"/>
          <w:sz w:val="24"/>
          <w:szCs w:val="24"/>
        </w:rPr>
        <w:t xml:space="preserve">ore importantly, </w:t>
      </w:r>
      <w:r w:rsidR="00B41884">
        <w:rPr>
          <w:rFonts w:ascii="Times New Roman" w:hAnsi="Times New Roman" w:cs="Times New Roman"/>
          <w:sz w:val="24"/>
          <w:szCs w:val="24"/>
        </w:rPr>
        <w:t xml:space="preserve">the respondent </w:t>
      </w:r>
      <w:r w:rsidR="0031580C">
        <w:rPr>
          <w:rFonts w:ascii="Times New Roman" w:hAnsi="Times New Roman" w:cs="Times New Roman"/>
          <w:sz w:val="24"/>
          <w:szCs w:val="24"/>
        </w:rPr>
        <w:t xml:space="preserve">submitted that he was unaware </w:t>
      </w:r>
      <w:r w:rsidR="00C900F2">
        <w:rPr>
          <w:rFonts w:ascii="Times New Roman" w:hAnsi="Times New Roman" w:cs="Times New Roman"/>
          <w:sz w:val="24"/>
          <w:szCs w:val="24"/>
        </w:rPr>
        <w:t xml:space="preserve">of the </w:t>
      </w:r>
      <w:r w:rsidR="00036A3D">
        <w:rPr>
          <w:rFonts w:ascii="Times New Roman" w:hAnsi="Times New Roman" w:cs="Times New Roman"/>
          <w:sz w:val="24"/>
          <w:szCs w:val="24"/>
        </w:rPr>
        <w:t xml:space="preserve">court order and, therefore, </w:t>
      </w:r>
      <w:r w:rsidR="003E6E4B">
        <w:rPr>
          <w:rFonts w:ascii="Times New Roman" w:hAnsi="Times New Roman" w:cs="Times New Roman"/>
          <w:sz w:val="24"/>
          <w:szCs w:val="24"/>
        </w:rPr>
        <w:t xml:space="preserve">he could not be held </w:t>
      </w:r>
      <w:r w:rsidR="00CB3276">
        <w:rPr>
          <w:rFonts w:ascii="Times New Roman" w:hAnsi="Times New Roman" w:cs="Times New Roman"/>
          <w:sz w:val="24"/>
          <w:szCs w:val="24"/>
        </w:rPr>
        <w:t xml:space="preserve">to be </w:t>
      </w:r>
      <w:r w:rsidR="003E6E4B">
        <w:rPr>
          <w:rFonts w:ascii="Times New Roman" w:hAnsi="Times New Roman" w:cs="Times New Roman"/>
          <w:sz w:val="24"/>
          <w:szCs w:val="24"/>
        </w:rPr>
        <w:t>in contempt of court.</w:t>
      </w:r>
    </w:p>
    <w:p w:rsidR="00364004" w:rsidRPr="00724FBD" w:rsidRDefault="00364004" w:rsidP="002D53A1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940EE" w:rsidRPr="005940EE" w:rsidRDefault="005940EE" w:rsidP="002D53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EE">
        <w:rPr>
          <w:rFonts w:ascii="Times New Roman" w:hAnsi="Times New Roman" w:cs="Times New Roman"/>
          <w:b/>
          <w:sz w:val="24"/>
          <w:szCs w:val="24"/>
        </w:rPr>
        <w:t>The applicable law</w:t>
      </w:r>
      <w:r w:rsidR="00513CF7" w:rsidRPr="005940EE">
        <w:rPr>
          <w:rFonts w:ascii="Times New Roman" w:hAnsi="Times New Roman" w:cs="Times New Roman"/>
          <w:b/>
          <w:sz w:val="24"/>
          <w:szCs w:val="24"/>
        </w:rPr>
        <w:tab/>
      </w:r>
    </w:p>
    <w:p w:rsidR="00251E8F" w:rsidRDefault="00CB3276" w:rsidP="00BF5DA1">
      <w:pPr>
        <w:spacing w:after="120" w:line="360" w:lineRule="auto"/>
        <w:ind w:firstLine="720"/>
        <w:jc w:val="both"/>
        <w:rPr>
          <w:rFonts w:ascii="Andalus" w:hAnsi="Andalus" w:cs="Andalu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law relating to contempt of </w:t>
      </w:r>
      <w:r w:rsidR="00E37924">
        <w:rPr>
          <w:rFonts w:ascii="Times New Roman" w:hAnsi="Times New Roman" w:cs="Times New Roman"/>
          <w:sz w:val="24"/>
          <w:szCs w:val="24"/>
        </w:rPr>
        <w:t xml:space="preserve">court </w:t>
      </w:r>
      <w:r w:rsidR="001700B1">
        <w:rPr>
          <w:rFonts w:ascii="Times New Roman" w:hAnsi="Times New Roman" w:cs="Times New Roman"/>
          <w:sz w:val="24"/>
          <w:szCs w:val="24"/>
        </w:rPr>
        <w:t xml:space="preserve">for </w:t>
      </w:r>
      <w:r w:rsidR="00E37924">
        <w:rPr>
          <w:rFonts w:ascii="Times New Roman" w:hAnsi="Times New Roman" w:cs="Times New Roman"/>
          <w:sz w:val="24"/>
          <w:szCs w:val="24"/>
        </w:rPr>
        <w:t xml:space="preserve">violations </w:t>
      </w:r>
      <w:r w:rsidR="00251E8F">
        <w:rPr>
          <w:rFonts w:ascii="Times New Roman" w:hAnsi="Times New Roman" w:cs="Times New Roman"/>
          <w:sz w:val="24"/>
          <w:szCs w:val="24"/>
        </w:rPr>
        <w:t xml:space="preserve">of a civil order or judgment is </w:t>
      </w:r>
      <w:r w:rsidR="00E37924">
        <w:rPr>
          <w:rFonts w:ascii="Times New Roman" w:hAnsi="Times New Roman" w:cs="Times New Roman"/>
          <w:sz w:val="24"/>
          <w:szCs w:val="24"/>
        </w:rPr>
        <w:t xml:space="preserve">settled in this jurisdiction, as in South Africa. </w:t>
      </w:r>
      <w:r w:rsidR="00251E8F">
        <w:rPr>
          <w:rFonts w:ascii="Andalus" w:hAnsi="Andalus" w:cs="Andalus"/>
          <w:sz w:val="24"/>
          <w:szCs w:val="24"/>
        </w:rPr>
        <w:t>The purpose of civil contempt of court is to enforce an order of court by the threat of committal</w:t>
      </w:r>
      <w:r w:rsidR="00581374">
        <w:rPr>
          <w:rFonts w:ascii="Andalus" w:hAnsi="Andalus" w:cs="Andalus"/>
          <w:sz w:val="24"/>
          <w:szCs w:val="24"/>
        </w:rPr>
        <w:t xml:space="preserve"> to prison.</w:t>
      </w:r>
      <w:r w:rsidR="005554F4">
        <w:rPr>
          <w:rFonts w:ascii="Andalus" w:hAnsi="Andalus" w:cs="Andalus"/>
          <w:sz w:val="24"/>
          <w:szCs w:val="24"/>
        </w:rPr>
        <w:t xml:space="preserve"> This was well articulated by the Supreme Court in the case of</w:t>
      </w:r>
      <w:r w:rsidR="00251E8F">
        <w:rPr>
          <w:rFonts w:ascii="Andalus" w:hAnsi="Andalus" w:cs="Andalus"/>
          <w:sz w:val="24"/>
          <w:szCs w:val="24"/>
        </w:rPr>
        <w:t xml:space="preserve"> </w:t>
      </w:r>
      <w:r w:rsidR="00251E8F" w:rsidRPr="005F707B">
        <w:rPr>
          <w:rFonts w:ascii="Andalus" w:hAnsi="Andalus" w:cs="Andalus"/>
          <w:i/>
          <w:sz w:val="24"/>
          <w:szCs w:val="24"/>
        </w:rPr>
        <w:t>In Re Chinamasa</w:t>
      </w:r>
      <w:r w:rsidR="00251E8F" w:rsidRPr="005554F4">
        <w:rPr>
          <w:rFonts w:ascii="Andalus" w:hAnsi="Andalus" w:cs="Andalus"/>
          <w:sz w:val="24"/>
          <w:szCs w:val="24"/>
        </w:rPr>
        <w:t xml:space="preserve"> 2001 (2) SA 902 (ZS)</w:t>
      </w:r>
      <w:r w:rsidR="005F707B">
        <w:rPr>
          <w:rFonts w:ascii="Andalus" w:hAnsi="Andalus" w:cs="Andalus"/>
          <w:sz w:val="24"/>
          <w:szCs w:val="24"/>
        </w:rPr>
        <w:t>, where it was reasoned:</w:t>
      </w:r>
    </w:p>
    <w:p w:rsidR="00251E8F" w:rsidRDefault="00E60860" w:rsidP="00C75FB1">
      <w:pPr>
        <w:spacing w:after="0" w:line="240" w:lineRule="auto"/>
        <w:ind w:left="72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“</w:t>
      </w:r>
      <w:r w:rsidR="00251E8F" w:rsidRPr="00113F22">
        <w:rPr>
          <w:rFonts w:ascii="Andalus" w:hAnsi="Andalus" w:cs="Andalus"/>
        </w:rPr>
        <w:t>So far as contempt involving disobedience to the order or process of a court is concerned, the offence is often treated as 'civil contempt'. This is because such contempts are, in reality, a form of execution, pursuant to which the person of the defaulting party may be attached in order to c</w:t>
      </w:r>
      <w:r w:rsidR="00005331">
        <w:rPr>
          <w:rFonts w:ascii="Andalus" w:hAnsi="Andalus" w:cs="Andalus"/>
        </w:rPr>
        <w:t xml:space="preserve">oerce </w:t>
      </w:r>
      <w:r w:rsidR="00251E8F" w:rsidRPr="00113F22">
        <w:rPr>
          <w:rFonts w:ascii="Andalus" w:hAnsi="Andalus" w:cs="Andalus"/>
        </w:rPr>
        <w:t xml:space="preserve">compliance with the order. See </w:t>
      </w:r>
      <w:r w:rsidR="00251E8F" w:rsidRPr="00724FBD">
        <w:rPr>
          <w:rFonts w:ascii="Andalus" w:hAnsi="Andalus" w:cs="Andalus"/>
          <w:i/>
        </w:rPr>
        <w:t xml:space="preserve">Cape Times Ltd v Union Trades Directories (Pty) Ltd and Others </w:t>
      </w:r>
      <w:r w:rsidR="00251E8F" w:rsidRPr="00724FBD">
        <w:rPr>
          <w:rFonts w:ascii="Andalus" w:hAnsi="Andalus" w:cs="Andalus"/>
        </w:rPr>
        <w:t xml:space="preserve">1956 (1) SA 105 (N) at 120F - 121D; </w:t>
      </w:r>
      <w:r w:rsidR="00251E8F" w:rsidRPr="00724FBD">
        <w:rPr>
          <w:rFonts w:ascii="Andalus" w:hAnsi="Andalus" w:cs="Andalus"/>
          <w:i/>
        </w:rPr>
        <w:t>Wiley NO v M</w:t>
      </w:r>
      <w:r w:rsidR="00251E8F" w:rsidRPr="00724FBD">
        <w:rPr>
          <w:rFonts w:ascii="Andalus" w:hAnsi="Andalus" w:cs="Andalus"/>
        </w:rPr>
        <w:t xml:space="preserve"> 1979 RLR 144 (GD) at 146A</w:t>
      </w:r>
      <w:r w:rsidR="00005331">
        <w:rPr>
          <w:rFonts w:ascii="Andalus" w:hAnsi="Andalus" w:cs="Andalus"/>
        </w:rPr>
        <w:t>-</w:t>
      </w:r>
      <w:r w:rsidR="00251E8F" w:rsidRPr="00724FBD">
        <w:rPr>
          <w:rFonts w:ascii="Andalus" w:hAnsi="Andalus" w:cs="Andalus"/>
        </w:rPr>
        <w:t>D</w:t>
      </w:r>
      <w:r w:rsidR="00113F22" w:rsidRPr="00724FBD">
        <w:rPr>
          <w:rFonts w:ascii="Andalus" w:hAnsi="Andalus" w:cs="Andalus"/>
        </w:rPr>
        <w:t>”</w:t>
      </w:r>
    </w:p>
    <w:p w:rsidR="00B70638" w:rsidRDefault="00B70638" w:rsidP="00B70638">
      <w:pPr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70638">
        <w:rPr>
          <w:rFonts w:ascii="Andalus" w:hAnsi="Andalus" w:cs="Andalus"/>
          <w:sz w:val="24"/>
          <w:szCs w:val="24"/>
        </w:rPr>
        <w:t xml:space="preserve">The requirements for contempt proceedings were set out in </w:t>
      </w:r>
      <w:r w:rsidRPr="00B70638">
        <w:rPr>
          <w:rFonts w:ascii="Andalus" w:hAnsi="Andalus" w:cs="Andalus"/>
          <w:i/>
          <w:sz w:val="24"/>
          <w:szCs w:val="24"/>
        </w:rPr>
        <w:t xml:space="preserve">Mafoshoro Farm (Pvt) Ltd </w:t>
      </w:r>
      <w:r w:rsidRPr="00A63D36">
        <w:rPr>
          <w:rFonts w:ascii="Andalus" w:hAnsi="Andalus" w:cs="Andalus"/>
          <w:sz w:val="24"/>
          <w:szCs w:val="24"/>
        </w:rPr>
        <w:t>v</w:t>
      </w:r>
      <w:r w:rsidRPr="00B70638">
        <w:rPr>
          <w:rFonts w:ascii="Andalus" w:hAnsi="Andalus" w:cs="Andalus"/>
          <w:i/>
          <w:sz w:val="24"/>
          <w:szCs w:val="24"/>
        </w:rPr>
        <w:t xml:space="preserve"> Hubert Nyanhongo &amp; Tendai Mbereko </w:t>
      </w:r>
      <w:r w:rsidR="0018477B">
        <w:rPr>
          <w:rFonts w:ascii="Andalus" w:hAnsi="Andalus" w:cs="Andalus"/>
          <w:sz w:val="24"/>
          <w:szCs w:val="24"/>
        </w:rPr>
        <w:t xml:space="preserve">HH-32-09, where </w:t>
      </w:r>
      <w:r w:rsidR="00C75FB1" w:rsidRPr="00C75FB1">
        <w:rPr>
          <w:rFonts w:ascii="Andalus" w:hAnsi="Andalus" w:cs="Andalus"/>
          <w:smallCaps/>
          <w:sz w:val="24"/>
          <w:szCs w:val="24"/>
        </w:rPr>
        <w:t>chitakunye</w:t>
      </w:r>
      <w:r w:rsidR="00C75FB1">
        <w:rPr>
          <w:rFonts w:ascii="Andalus" w:hAnsi="Andalus" w:cs="Andalus"/>
          <w:sz w:val="24"/>
          <w:szCs w:val="24"/>
        </w:rPr>
        <w:t xml:space="preserve"> </w:t>
      </w:r>
      <w:r w:rsidR="0018477B">
        <w:rPr>
          <w:rFonts w:ascii="Andalus" w:hAnsi="Andalus" w:cs="Andalus"/>
          <w:sz w:val="24"/>
          <w:szCs w:val="24"/>
        </w:rPr>
        <w:t>J (as he then was) said:</w:t>
      </w:r>
    </w:p>
    <w:p w:rsidR="0018477B" w:rsidRPr="007F7228" w:rsidRDefault="0018477B" w:rsidP="004873B9">
      <w:pPr>
        <w:spacing w:after="0" w:line="240" w:lineRule="auto"/>
        <w:jc w:val="both"/>
        <w:rPr>
          <w:rFonts w:ascii="Andalus" w:hAnsi="Andalus" w:cs="Andalus"/>
          <w:sz w:val="16"/>
          <w:szCs w:val="16"/>
        </w:rPr>
      </w:pPr>
    </w:p>
    <w:p w:rsidR="0018477B" w:rsidRPr="00C75FB1" w:rsidRDefault="0018477B" w:rsidP="00A63D3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873B9">
        <w:rPr>
          <w:rFonts w:ascii="Andalus" w:hAnsi="Andalus" w:cs="Andalus"/>
        </w:rPr>
        <w:lastRenderedPageBreak/>
        <w:t>“</w:t>
      </w:r>
      <w:r w:rsidRPr="00C75FB1">
        <w:rPr>
          <w:rFonts w:ascii="Times New Roman" w:hAnsi="Times New Roman" w:cs="Times New Roman"/>
        </w:rPr>
        <w:t>Civil contempt is basically the w</w:t>
      </w:r>
      <w:r w:rsidR="00330BDC" w:rsidRPr="00C75FB1">
        <w:rPr>
          <w:rFonts w:ascii="Times New Roman" w:hAnsi="Times New Roman" w:cs="Times New Roman"/>
        </w:rPr>
        <w:t>il</w:t>
      </w:r>
      <w:r w:rsidRPr="00C75FB1">
        <w:rPr>
          <w:rFonts w:ascii="Times New Roman" w:hAnsi="Times New Roman" w:cs="Times New Roman"/>
        </w:rPr>
        <w:t xml:space="preserve">ful or mala fide failure to comply with an order of court. There are three basic requirements for contempt procedure that need to be proved, namely:- </w:t>
      </w:r>
    </w:p>
    <w:p w:rsidR="0018477B" w:rsidRPr="00C75FB1" w:rsidRDefault="0018477B" w:rsidP="00A63D3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75FB1">
        <w:rPr>
          <w:rFonts w:ascii="Times New Roman" w:hAnsi="Times New Roman" w:cs="Times New Roman"/>
        </w:rPr>
        <w:t xml:space="preserve">1. </w:t>
      </w:r>
      <w:r w:rsidRPr="00C75FB1">
        <w:rPr>
          <w:rFonts w:ascii="Times New Roman" w:hAnsi="Times New Roman" w:cs="Times New Roman"/>
        </w:rPr>
        <w:tab/>
        <w:t>That an order was granted by a competent court.</w:t>
      </w:r>
    </w:p>
    <w:p w:rsidR="0018477B" w:rsidRPr="00C75FB1" w:rsidRDefault="0018477B" w:rsidP="00A63D36">
      <w:pPr>
        <w:spacing w:after="0" w:line="240" w:lineRule="auto"/>
        <w:ind w:left="1080" w:hanging="360"/>
        <w:jc w:val="both"/>
        <w:rPr>
          <w:rFonts w:ascii="Times New Roman" w:hAnsi="Times New Roman" w:cs="Times New Roman"/>
        </w:rPr>
      </w:pPr>
      <w:r w:rsidRPr="00C75FB1">
        <w:rPr>
          <w:rFonts w:ascii="Times New Roman" w:hAnsi="Times New Roman" w:cs="Times New Roman"/>
        </w:rPr>
        <w:t xml:space="preserve">2. </w:t>
      </w:r>
      <w:r w:rsidRPr="00C75FB1">
        <w:rPr>
          <w:rFonts w:ascii="Times New Roman" w:hAnsi="Times New Roman" w:cs="Times New Roman"/>
        </w:rPr>
        <w:tab/>
        <w:t>That the respondent was indeed served with the said order or that it was brought to his attention; and</w:t>
      </w:r>
    </w:p>
    <w:p w:rsidR="0018477B" w:rsidRPr="00C75FB1" w:rsidRDefault="0018477B" w:rsidP="00A63D36">
      <w:pPr>
        <w:spacing w:after="0" w:line="240" w:lineRule="auto"/>
        <w:ind w:left="1080" w:hanging="360"/>
        <w:jc w:val="both"/>
        <w:rPr>
          <w:rFonts w:ascii="Times New Roman" w:hAnsi="Times New Roman" w:cs="Times New Roman"/>
        </w:rPr>
      </w:pPr>
      <w:r w:rsidRPr="00C75FB1">
        <w:rPr>
          <w:rFonts w:ascii="Times New Roman" w:hAnsi="Times New Roman" w:cs="Times New Roman"/>
        </w:rPr>
        <w:t xml:space="preserve">3. </w:t>
      </w:r>
      <w:r w:rsidRPr="00C75FB1">
        <w:rPr>
          <w:rFonts w:ascii="Times New Roman" w:hAnsi="Times New Roman" w:cs="Times New Roman"/>
        </w:rPr>
        <w:tab/>
        <w:t xml:space="preserve">That respondent has either disobeyed it or has neglected to comply with it. </w:t>
      </w:r>
    </w:p>
    <w:p w:rsidR="0018477B" w:rsidRDefault="00A63D36" w:rsidP="00A63D3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477B" w:rsidRPr="004873B9">
        <w:rPr>
          <w:rFonts w:ascii="Times New Roman" w:hAnsi="Times New Roman" w:cs="Times New Roman"/>
        </w:rPr>
        <w:t xml:space="preserve">(See </w:t>
      </w:r>
      <w:r w:rsidR="0018477B" w:rsidRPr="004873B9">
        <w:rPr>
          <w:rFonts w:ascii="Times New Roman" w:hAnsi="Times New Roman" w:cs="Times New Roman"/>
          <w:i/>
        </w:rPr>
        <w:t xml:space="preserve">Consolidated Fish Distributors </w:t>
      </w:r>
      <w:r w:rsidR="0018477B" w:rsidRPr="004873B9">
        <w:rPr>
          <w:rFonts w:ascii="Times New Roman" w:hAnsi="Times New Roman" w:cs="Times New Roman"/>
        </w:rPr>
        <w:t>(</w:t>
      </w:r>
      <w:r w:rsidR="0018477B" w:rsidRPr="004873B9">
        <w:rPr>
          <w:rFonts w:ascii="Times New Roman" w:hAnsi="Times New Roman" w:cs="Times New Roman"/>
          <w:i/>
        </w:rPr>
        <w:t>Pty</w:t>
      </w:r>
      <w:r w:rsidR="0018477B" w:rsidRPr="004873B9">
        <w:rPr>
          <w:rFonts w:ascii="Times New Roman" w:hAnsi="Times New Roman" w:cs="Times New Roman"/>
        </w:rPr>
        <w:t>)</w:t>
      </w:r>
      <w:r w:rsidR="0018477B" w:rsidRPr="004873B9">
        <w:rPr>
          <w:rFonts w:ascii="Times New Roman" w:hAnsi="Times New Roman" w:cs="Times New Roman"/>
          <w:i/>
        </w:rPr>
        <w:t xml:space="preserve"> Ltd. </w:t>
      </w:r>
      <w:r w:rsidR="0018477B" w:rsidRPr="004873B9">
        <w:rPr>
          <w:rFonts w:ascii="Times New Roman" w:hAnsi="Times New Roman" w:cs="Times New Roman"/>
        </w:rPr>
        <w:t>v</w:t>
      </w:r>
      <w:r w:rsidR="0018477B" w:rsidRPr="004873B9">
        <w:rPr>
          <w:rFonts w:ascii="Times New Roman" w:hAnsi="Times New Roman" w:cs="Times New Roman"/>
          <w:i/>
        </w:rPr>
        <w:t xml:space="preserve"> Zive and Ors</w:t>
      </w:r>
      <w:r w:rsidR="0018477B" w:rsidRPr="004873B9">
        <w:rPr>
          <w:rFonts w:ascii="Times New Roman" w:hAnsi="Times New Roman" w:cs="Times New Roman"/>
        </w:rPr>
        <w:t xml:space="preserve"> 1968 (2) SA 517 at 522E-</w:t>
      </w:r>
      <w:r>
        <w:rPr>
          <w:rFonts w:ascii="Times New Roman" w:hAnsi="Times New Roman" w:cs="Times New Roman"/>
        </w:rPr>
        <w:tab/>
      </w:r>
      <w:r w:rsidR="0018477B" w:rsidRPr="004873B9">
        <w:rPr>
          <w:rFonts w:ascii="Times New Roman" w:hAnsi="Times New Roman" w:cs="Times New Roman"/>
        </w:rPr>
        <w:t>G)</w:t>
      </w:r>
      <w:r w:rsidR="00461525">
        <w:rPr>
          <w:rFonts w:ascii="Times New Roman" w:hAnsi="Times New Roman" w:cs="Times New Roman"/>
        </w:rPr>
        <w:t>”</w:t>
      </w:r>
      <w:r w:rsidR="0018477B" w:rsidRPr="004873B9">
        <w:rPr>
          <w:rFonts w:ascii="Times New Roman" w:hAnsi="Times New Roman" w:cs="Times New Roman"/>
        </w:rPr>
        <w:t>.</w:t>
      </w:r>
    </w:p>
    <w:p w:rsidR="00A63D36" w:rsidRPr="004873B9" w:rsidRDefault="00A63D36" w:rsidP="00A63D3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516B5" w:rsidRDefault="00A63D36" w:rsidP="00C75FB1">
      <w:pPr>
        <w:spacing w:after="0" w:line="360" w:lineRule="auto"/>
        <w:jc w:val="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08BE" w:rsidRPr="003208BE">
        <w:rPr>
          <w:rFonts w:ascii="Times New Roman" w:hAnsi="Times New Roman" w:cs="Times New Roman"/>
          <w:sz w:val="24"/>
          <w:szCs w:val="24"/>
        </w:rPr>
        <w:t xml:space="preserve">What </w:t>
      </w:r>
      <w:r w:rsidR="003208BE">
        <w:rPr>
          <w:rFonts w:ascii="Times New Roman" w:hAnsi="Times New Roman" w:cs="Times New Roman"/>
          <w:sz w:val="24"/>
          <w:szCs w:val="24"/>
        </w:rPr>
        <w:t xml:space="preserve">these requirements entail was </w:t>
      </w:r>
      <w:r w:rsidR="004F728E">
        <w:rPr>
          <w:rFonts w:ascii="Times New Roman" w:hAnsi="Times New Roman" w:cs="Times New Roman"/>
          <w:sz w:val="24"/>
          <w:szCs w:val="24"/>
        </w:rPr>
        <w:t>explained i</w:t>
      </w:r>
      <w:r w:rsidR="003208BE" w:rsidRPr="004F728E">
        <w:rPr>
          <w:rFonts w:ascii="Times New Roman" w:hAnsi="Times New Roman" w:cs="Times New Roman"/>
          <w:sz w:val="24"/>
          <w:szCs w:val="24"/>
        </w:rPr>
        <w:t xml:space="preserve">n </w:t>
      </w:r>
      <w:r w:rsidR="003208BE" w:rsidRPr="004F728E">
        <w:rPr>
          <w:rFonts w:ascii="Times New Roman" w:hAnsi="Times New Roman" w:cs="Times New Roman"/>
          <w:i/>
          <w:sz w:val="24"/>
          <w:szCs w:val="24"/>
        </w:rPr>
        <w:t xml:space="preserve">Scheelite King Mining Co. </w:t>
      </w:r>
      <w:r w:rsidR="003208BE" w:rsidRPr="004F728E">
        <w:rPr>
          <w:rFonts w:ascii="Times New Roman" w:hAnsi="Times New Roman" w:cs="Times New Roman"/>
          <w:sz w:val="24"/>
          <w:szCs w:val="24"/>
        </w:rPr>
        <w:t>(</w:t>
      </w:r>
      <w:r w:rsidR="003208BE" w:rsidRPr="004F728E">
        <w:rPr>
          <w:rFonts w:ascii="Times New Roman" w:hAnsi="Times New Roman" w:cs="Times New Roman"/>
          <w:i/>
          <w:sz w:val="24"/>
          <w:szCs w:val="24"/>
        </w:rPr>
        <w:t>Pvt</w:t>
      </w:r>
      <w:r w:rsidR="003208BE" w:rsidRPr="004F728E">
        <w:rPr>
          <w:rFonts w:ascii="Times New Roman" w:hAnsi="Times New Roman" w:cs="Times New Roman"/>
          <w:sz w:val="24"/>
          <w:szCs w:val="24"/>
        </w:rPr>
        <w:t>)</w:t>
      </w:r>
      <w:r w:rsidR="003208BE" w:rsidRPr="004F728E">
        <w:rPr>
          <w:rFonts w:ascii="Times New Roman" w:hAnsi="Times New Roman" w:cs="Times New Roman"/>
          <w:i/>
          <w:sz w:val="24"/>
          <w:szCs w:val="24"/>
        </w:rPr>
        <w:t xml:space="preserve"> Ltd. </w:t>
      </w:r>
      <w:r w:rsidR="003208BE" w:rsidRPr="004F728E">
        <w:rPr>
          <w:rFonts w:ascii="Times New Roman" w:hAnsi="Times New Roman" w:cs="Times New Roman"/>
          <w:sz w:val="24"/>
          <w:szCs w:val="24"/>
        </w:rPr>
        <w:t>v</w:t>
      </w:r>
      <w:r w:rsidR="003208BE" w:rsidRPr="004F728E">
        <w:rPr>
          <w:rFonts w:ascii="Times New Roman" w:hAnsi="Times New Roman" w:cs="Times New Roman"/>
          <w:i/>
          <w:sz w:val="24"/>
          <w:szCs w:val="24"/>
        </w:rPr>
        <w:t xml:space="preserve"> Mahachi</w:t>
      </w:r>
      <w:r w:rsidR="003208BE" w:rsidRPr="004F728E">
        <w:rPr>
          <w:rFonts w:ascii="Times New Roman" w:hAnsi="Times New Roman" w:cs="Times New Roman"/>
          <w:sz w:val="24"/>
          <w:szCs w:val="24"/>
        </w:rPr>
        <w:t xml:space="preserve"> 1998 (1) ZLR 173 (H) at 177H-178A </w:t>
      </w:r>
      <w:r w:rsidR="004F728E">
        <w:rPr>
          <w:rFonts w:ascii="Times New Roman" w:hAnsi="Times New Roman" w:cs="Times New Roman"/>
          <w:sz w:val="24"/>
          <w:szCs w:val="24"/>
        </w:rPr>
        <w:t xml:space="preserve">by </w:t>
      </w:r>
      <w:r w:rsidRPr="00A63D36">
        <w:rPr>
          <w:rFonts w:ascii="Times New Roman" w:hAnsi="Times New Roman" w:cs="Times New Roman"/>
          <w:smallCaps/>
          <w:sz w:val="24"/>
          <w:szCs w:val="24"/>
        </w:rPr>
        <w:t>gillespie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43C">
        <w:rPr>
          <w:rFonts w:ascii="Times New Roman" w:hAnsi="Times New Roman" w:cs="Times New Roman"/>
          <w:sz w:val="24"/>
          <w:szCs w:val="24"/>
        </w:rPr>
        <w:t>J</w:t>
      </w:r>
      <w:r w:rsidR="008516B5">
        <w:rPr>
          <w:rFonts w:ascii="Times New Roman" w:hAnsi="Times New Roman" w:cs="Times New Roman"/>
          <w:sz w:val="24"/>
          <w:szCs w:val="24"/>
        </w:rPr>
        <w:t xml:space="preserve"> as follows:</w:t>
      </w:r>
      <w:r w:rsidR="004D643C">
        <w:rPr>
          <w:rFonts w:ascii="Times New Roman" w:hAnsi="Times New Roman" w:cs="Times New Roman"/>
          <w:sz w:val="24"/>
          <w:szCs w:val="24"/>
        </w:rPr>
        <w:t xml:space="preserve"> </w:t>
      </w:r>
      <w:r w:rsidR="003208BE" w:rsidRPr="004F7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6B5" w:rsidRPr="00CE56F3" w:rsidRDefault="008516B5" w:rsidP="00B7063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  <w:vertAlign w:val="subscript"/>
        </w:rPr>
      </w:pPr>
    </w:p>
    <w:p w:rsidR="0018477B" w:rsidRPr="00C75FB1" w:rsidRDefault="003208BE" w:rsidP="00C75FB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E56F3">
        <w:rPr>
          <w:rFonts w:ascii="Times New Roman" w:hAnsi="Times New Roman" w:cs="Times New Roman"/>
        </w:rPr>
        <w:t>“</w:t>
      </w:r>
      <w:r w:rsidRPr="00C75FB1">
        <w:rPr>
          <w:rFonts w:ascii="Times New Roman" w:hAnsi="Times New Roman" w:cs="Times New Roman"/>
        </w:rPr>
        <w:t xml:space="preserve">Before holding a person to have been in contempt of court, it is necessary to be satisfied both that the order was not complied with and </w:t>
      </w:r>
      <w:r w:rsidR="00A1456E" w:rsidRPr="00C75FB1">
        <w:rPr>
          <w:rFonts w:ascii="Times New Roman" w:hAnsi="Times New Roman" w:cs="Times New Roman"/>
        </w:rPr>
        <w:t>that the non-compliance was wil</w:t>
      </w:r>
      <w:r w:rsidRPr="00C75FB1">
        <w:rPr>
          <w:rFonts w:ascii="Times New Roman" w:hAnsi="Times New Roman" w:cs="Times New Roman"/>
        </w:rPr>
        <w:t>ful on the part of the defaulting party.”</w:t>
      </w:r>
      <w:r w:rsidRPr="00C75FB1">
        <w:t xml:space="preserve">  </w:t>
      </w:r>
    </w:p>
    <w:p w:rsidR="000F7BFC" w:rsidRPr="00C75FB1" w:rsidRDefault="000F7BFC" w:rsidP="00C75F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41B2" w:rsidRPr="008A41B2" w:rsidRDefault="00C104FB" w:rsidP="00C104FB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 add</w:t>
      </w:r>
      <w:r w:rsidR="00805E96">
        <w:rPr>
          <w:rFonts w:ascii="Times New Roman" w:hAnsi="Times New Roman" w:cs="Times New Roman"/>
          <w:sz w:val="24"/>
          <w:szCs w:val="24"/>
        </w:rPr>
        <w:t xml:space="preserve"> that the requirement for the respondent to be aware of the existence of the order was eluc</w:t>
      </w:r>
      <w:r w:rsidR="008A41B2">
        <w:rPr>
          <w:rFonts w:ascii="Times New Roman" w:hAnsi="Times New Roman" w:cs="Times New Roman"/>
          <w:sz w:val="24"/>
          <w:szCs w:val="24"/>
        </w:rPr>
        <w:t>idated with clarity in</w:t>
      </w:r>
      <w:r w:rsidR="008A41B2">
        <w:t xml:space="preserve"> </w:t>
      </w:r>
      <w:r w:rsidR="008A41B2" w:rsidRPr="008A41B2">
        <w:rPr>
          <w:rFonts w:ascii="Times New Roman" w:hAnsi="Times New Roman" w:cs="Times New Roman"/>
          <w:i/>
          <w:sz w:val="24"/>
          <w:szCs w:val="24"/>
        </w:rPr>
        <w:t xml:space="preserve">Haddow </w:t>
      </w:r>
      <w:r w:rsidR="008A41B2" w:rsidRPr="008A41B2">
        <w:rPr>
          <w:rFonts w:ascii="Times New Roman" w:hAnsi="Times New Roman" w:cs="Times New Roman"/>
          <w:sz w:val="24"/>
          <w:szCs w:val="24"/>
        </w:rPr>
        <w:t>v</w:t>
      </w:r>
      <w:r w:rsidR="008A41B2" w:rsidRPr="008A41B2">
        <w:rPr>
          <w:rFonts w:ascii="Times New Roman" w:hAnsi="Times New Roman" w:cs="Times New Roman"/>
          <w:i/>
          <w:sz w:val="24"/>
          <w:szCs w:val="24"/>
        </w:rPr>
        <w:t xml:space="preserve"> Haddow </w:t>
      </w:r>
      <w:r w:rsidR="008A41B2" w:rsidRPr="008A41B2">
        <w:rPr>
          <w:rFonts w:ascii="Times New Roman" w:hAnsi="Times New Roman" w:cs="Times New Roman"/>
          <w:sz w:val="24"/>
          <w:szCs w:val="24"/>
        </w:rPr>
        <w:t>1974 (1) RLR 5 at 7H-8A</w:t>
      </w:r>
      <w:r w:rsidR="008A41B2">
        <w:rPr>
          <w:rFonts w:ascii="Times New Roman" w:hAnsi="Times New Roman" w:cs="Times New Roman"/>
          <w:sz w:val="24"/>
          <w:szCs w:val="24"/>
        </w:rPr>
        <w:t xml:space="preserve"> by</w:t>
      </w:r>
      <w:r w:rsidR="008A41B2" w:rsidRPr="008A41B2">
        <w:rPr>
          <w:rFonts w:ascii="Times New Roman" w:hAnsi="Times New Roman" w:cs="Times New Roman"/>
          <w:sz w:val="24"/>
          <w:szCs w:val="24"/>
        </w:rPr>
        <w:t xml:space="preserve"> GOLDIN</w:t>
      </w:r>
      <w:r w:rsidR="006B4558">
        <w:rPr>
          <w:rFonts w:ascii="Times New Roman" w:hAnsi="Times New Roman" w:cs="Times New Roman"/>
          <w:sz w:val="24"/>
          <w:szCs w:val="24"/>
        </w:rPr>
        <w:t xml:space="preserve"> J thus:</w:t>
      </w:r>
    </w:p>
    <w:p w:rsidR="008A41B2" w:rsidRPr="008A41B2" w:rsidRDefault="008A41B2" w:rsidP="00461D86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8A41B2">
        <w:rPr>
          <w:rFonts w:ascii="Times New Roman" w:hAnsi="Times New Roman" w:cs="Times New Roman"/>
        </w:rPr>
        <w:t xml:space="preserve">“In my respective view, </w:t>
      </w:r>
      <w:r w:rsidRPr="004E17EF">
        <w:rPr>
          <w:rFonts w:ascii="Times New Roman" w:hAnsi="Times New Roman" w:cs="Times New Roman"/>
          <w:u w:val="single"/>
        </w:rPr>
        <w:t xml:space="preserve">whenever an applicant proves that the respondent has disobeyed an order of court which was brought to his notice, then </w:t>
      </w:r>
      <w:r w:rsidR="00461D86" w:rsidRPr="004E17EF">
        <w:rPr>
          <w:rFonts w:ascii="Times New Roman" w:hAnsi="Times New Roman" w:cs="Times New Roman"/>
          <w:u w:val="single"/>
        </w:rPr>
        <w:t>both wil</w:t>
      </w:r>
      <w:r w:rsidRPr="004E17EF">
        <w:rPr>
          <w:rFonts w:ascii="Times New Roman" w:hAnsi="Times New Roman" w:cs="Times New Roman"/>
          <w:u w:val="single"/>
        </w:rPr>
        <w:t>fulness and mala fides will be inferred</w:t>
      </w:r>
      <w:r w:rsidRPr="008A41B2">
        <w:rPr>
          <w:rFonts w:ascii="Times New Roman" w:hAnsi="Times New Roman" w:cs="Times New Roman"/>
        </w:rPr>
        <w:t>. The onus is then on the respondent to rebut the</w:t>
      </w:r>
      <w:r w:rsidR="00461D86">
        <w:rPr>
          <w:rFonts w:ascii="Times New Roman" w:hAnsi="Times New Roman" w:cs="Times New Roman"/>
        </w:rPr>
        <w:t xml:space="preserve"> inference of mala fides or wil</w:t>
      </w:r>
      <w:r w:rsidRPr="008A41B2">
        <w:rPr>
          <w:rFonts w:ascii="Times New Roman" w:hAnsi="Times New Roman" w:cs="Times New Roman"/>
        </w:rPr>
        <w:t>fulness on a balance of probabilities. Thus, if a respondent proves that while he was in breach of the order his conduct was bona fide, he will not be held to have been in contempt of court because d</w:t>
      </w:r>
      <w:r w:rsidR="00461D86">
        <w:rPr>
          <w:rFonts w:ascii="Times New Roman" w:hAnsi="Times New Roman" w:cs="Times New Roman"/>
        </w:rPr>
        <w:t>isobedience must not only be wi</w:t>
      </w:r>
      <w:r w:rsidRPr="008A41B2">
        <w:rPr>
          <w:rFonts w:ascii="Times New Roman" w:hAnsi="Times New Roman" w:cs="Times New Roman"/>
        </w:rPr>
        <w:t>lful but also mala fide.”</w:t>
      </w:r>
    </w:p>
    <w:p w:rsidR="009019BA" w:rsidRPr="004E17EF" w:rsidRDefault="009019BA" w:rsidP="00A1118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50C3" w:rsidRPr="003E50C3" w:rsidRDefault="003E50C3" w:rsidP="00A111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0C3">
        <w:rPr>
          <w:rFonts w:ascii="Times New Roman" w:hAnsi="Times New Roman" w:cs="Times New Roman"/>
          <w:b/>
          <w:sz w:val="24"/>
          <w:szCs w:val="24"/>
        </w:rPr>
        <w:t>Analysis of the case</w:t>
      </w:r>
    </w:p>
    <w:p w:rsidR="0093130E" w:rsidRDefault="000F510B" w:rsidP="00B71C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light of the </w:t>
      </w:r>
      <w:r w:rsidR="00BF096A">
        <w:rPr>
          <w:rFonts w:ascii="Times New Roman" w:hAnsi="Times New Roman" w:cs="Times New Roman"/>
          <w:sz w:val="24"/>
          <w:szCs w:val="24"/>
        </w:rPr>
        <w:t>law on the subject,</w:t>
      </w:r>
      <w:r w:rsidR="0039626F">
        <w:rPr>
          <w:rFonts w:ascii="Times New Roman" w:hAnsi="Times New Roman" w:cs="Times New Roman"/>
          <w:sz w:val="24"/>
          <w:szCs w:val="24"/>
        </w:rPr>
        <w:t xml:space="preserve"> I now</w:t>
      </w:r>
      <w:r w:rsidR="00185A0A">
        <w:rPr>
          <w:rFonts w:ascii="Times New Roman" w:hAnsi="Times New Roman" w:cs="Times New Roman"/>
          <w:sz w:val="24"/>
          <w:szCs w:val="24"/>
        </w:rPr>
        <w:t xml:space="preserve"> examine whether or not the facts support the grant of</w:t>
      </w:r>
      <w:r w:rsidR="00926FEE">
        <w:rPr>
          <w:rFonts w:ascii="Times New Roman" w:hAnsi="Times New Roman" w:cs="Times New Roman"/>
          <w:sz w:val="24"/>
          <w:szCs w:val="24"/>
        </w:rPr>
        <w:t xml:space="preserve"> th</w:t>
      </w:r>
      <w:r w:rsidR="0039626F">
        <w:rPr>
          <w:rFonts w:ascii="Times New Roman" w:hAnsi="Times New Roman" w:cs="Times New Roman"/>
          <w:sz w:val="24"/>
          <w:szCs w:val="24"/>
        </w:rPr>
        <w:t>e relief sought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303B" w:rsidRPr="0052303B">
        <w:rPr>
          <w:rFonts w:ascii="Times New Roman" w:hAnsi="Times New Roman" w:cs="Times New Roman"/>
          <w:sz w:val="24"/>
          <w:szCs w:val="24"/>
        </w:rPr>
        <w:t xml:space="preserve"> </w:t>
      </w:r>
      <w:r w:rsidR="008E0CC9">
        <w:rPr>
          <w:rFonts w:ascii="Times New Roman" w:hAnsi="Times New Roman" w:cs="Times New Roman"/>
          <w:sz w:val="24"/>
          <w:szCs w:val="24"/>
        </w:rPr>
        <w:t xml:space="preserve">There is no dispute that the order </w:t>
      </w:r>
      <w:r w:rsidR="00236208">
        <w:rPr>
          <w:rFonts w:ascii="Times New Roman" w:hAnsi="Times New Roman" w:cs="Times New Roman"/>
          <w:sz w:val="24"/>
          <w:szCs w:val="24"/>
        </w:rPr>
        <w:t>in HC 5000/08B</w:t>
      </w:r>
      <w:r w:rsidR="009E3F9B">
        <w:rPr>
          <w:rFonts w:ascii="Times New Roman" w:hAnsi="Times New Roman" w:cs="Times New Roman"/>
          <w:sz w:val="24"/>
          <w:szCs w:val="24"/>
        </w:rPr>
        <w:t xml:space="preserve"> </w:t>
      </w:r>
      <w:r w:rsidR="008E0CC9">
        <w:rPr>
          <w:rFonts w:ascii="Times New Roman" w:hAnsi="Times New Roman" w:cs="Times New Roman"/>
          <w:sz w:val="24"/>
          <w:szCs w:val="24"/>
        </w:rPr>
        <w:t xml:space="preserve">was issued </w:t>
      </w:r>
      <w:r w:rsidR="008F0C9B">
        <w:rPr>
          <w:rFonts w:ascii="Times New Roman" w:hAnsi="Times New Roman" w:cs="Times New Roman"/>
          <w:sz w:val="24"/>
          <w:szCs w:val="24"/>
        </w:rPr>
        <w:t>by this court</w:t>
      </w:r>
      <w:r w:rsidR="00A22A7C">
        <w:rPr>
          <w:rFonts w:ascii="Times New Roman" w:hAnsi="Times New Roman" w:cs="Times New Roman"/>
          <w:sz w:val="24"/>
          <w:szCs w:val="24"/>
        </w:rPr>
        <w:t>, and</w:t>
      </w:r>
      <w:r w:rsidR="005E475B">
        <w:rPr>
          <w:rFonts w:ascii="Times New Roman" w:hAnsi="Times New Roman" w:cs="Times New Roman"/>
          <w:sz w:val="24"/>
          <w:szCs w:val="24"/>
        </w:rPr>
        <w:t xml:space="preserve"> has not been complied with.</w:t>
      </w:r>
      <w:r w:rsidR="00342A9D">
        <w:rPr>
          <w:rFonts w:ascii="Times New Roman" w:hAnsi="Times New Roman" w:cs="Times New Roman"/>
          <w:sz w:val="24"/>
          <w:szCs w:val="24"/>
        </w:rPr>
        <w:t xml:space="preserve"> However, the respondent has placed before the court information which I cannot ignore, firstly, that the order as formulated is inca</w:t>
      </w:r>
      <w:r w:rsidR="00E75316">
        <w:rPr>
          <w:rFonts w:ascii="Times New Roman" w:hAnsi="Times New Roman" w:cs="Times New Roman"/>
          <w:sz w:val="24"/>
          <w:szCs w:val="24"/>
        </w:rPr>
        <w:t xml:space="preserve">pable of being complied with and, secondly, the order did not come to his notice. I will deal with the </w:t>
      </w:r>
      <w:r w:rsidR="001A7D3B">
        <w:rPr>
          <w:rFonts w:ascii="Times New Roman" w:hAnsi="Times New Roman" w:cs="Times New Roman"/>
          <w:sz w:val="24"/>
          <w:szCs w:val="24"/>
        </w:rPr>
        <w:t>averment that he was not aware of the order first.</w:t>
      </w:r>
      <w:r w:rsidR="00455CC8">
        <w:rPr>
          <w:rFonts w:ascii="Times New Roman" w:hAnsi="Times New Roman" w:cs="Times New Roman"/>
          <w:sz w:val="24"/>
          <w:szCs w:val="24"/>
        </w:rPr>
        <w:t xml:space="preserve"> The applicant in paragrap</w:t>
      </w:r>
      <w:r w:rsidR="001606D3">
        <w:rPr>
          <w:rFonts w:ascii="Times New Roman" w:hAnsi="Times New Roman" w:cs="Times New Roman"/>
          <w:sz w:val="24"/>
          <w:szCs w:val="24"/>
        </w:rPr>
        <w:t xml:space="preserve">hs 6, 7, 8 and </w:t>
      </w:r>
      <w:r w:rsidR="002B77FD">
        <w:rPr>
          <w:rFonts w:ascii="Times New Roman" w:hAnsi="Times New Roman" w:cs="Times New Roman"/>
          <w:sz w:val="24"/>
          <w:szCs w:val="24"/>
        </w:rPr>
        <w:t xml:space="preserve">10 of </w:t>
      </w:r>
      <w:r w:rsidR="00455CC8">
        <w:rPr>
          <w:rFonts w:ascii="Times New Roman" w:hAnsi="Times New Roman" w:cs="Times New Roman"/>
          <w:sz w:val="24"/>
          <w:szCs w:val="24"/>
        </w:rPr>
        <w:t>her answering affidavit (on page</w:t>
      </w:r>
      <w:r w:rsidR="003E2E04">
        <w:rPr>
          <w:rFonts w:ascii="Times New Roman" w:hAnsi="Times New Roman" w:cs="Times New Roman"/>
          <w:sz w:val="24"/>
          <w:szCs w:val="24"/>
        </w:rPr>
        <w:t>s16-</w:t>
      </w:r>
      <w:r w:rsidR="00455CC8">
        <w:rPr>
          <w:rFonts w:ascii="Times New Roman" w:hAnsi="Times New Roman" w:cs="Times New Roman"/>
          <w:sz w:val="24"/>
          <w:szCs w:val="24"/>
        </w:rPr>
        <w:t>17 of the record)</w:t>
      </w:r>
      <w:r w:rsidR="00A20B3E">
        <w:rPr>
          <w:rFonts w:ascii="Times New Roman" w:hAnsi="Times New Roman" w:cs="Times New Roman"/>
          <w:sz w:val="24"/>
          <w:szCs w:val="24"/>
        </w:rPr>
        <w:t>, maintained that</w:t>
      </w:r>
      <w:r w:rsidR="003E2E04">
        <w:rPr>
          <w:rFonts w:ascii="Times New Roman" w:hAnsi="Times New Roman" w:cs="Times New Roman"/>
          <w:sz w:val="24"/>
          <w:szCs w:val="24"/>
        </w:rPr>
        <w:t xml:space="preserve"> the court order came to the attention of the respondent. She also attached a return of service by the Sheriff which states that service was effected </w:t>
      </w:r>
      <w:r w:rsidR="004B29FE" w:rsidRPr="004B29FE">
        <w:rPr>
          <w:rFonts w:ascii="Times New Roman" w:hAnsi="Times New Roman" w:cs="Times New Roman"/>
          <w:i/>
          <w:sz w:val="24"/>
          <w:szCs w:val="24"/>
        </w:rPr>
        <w:t>“</w:t>
      </w:r>
      <w:r w:rsidR="00952D1C" w:rsidRPr="004B29FE">
        <w:rPr>
          <w:rFonts w:ascii="Times New Roman" w:hAnsi="Times New Roman" w:cs="Times New Roman"/>
          <w:i/>
          <w:sz w:val="24"/>
          <w:szCs w:val="24"/>
        </w:rPr>
        <w:t>by affixing to the outer principal green gate”.</w:t>
      </w:r>
      <w:r w:rsidR="00A20B3E">
        <w:rPr>
          <w:rFonts w:ascii="Times New Roman" w:hAnsi="Times New Roman" w:cs="Times New Roman"/>
          <w:sz w:val="24"/>
          <w:szCs w:val="24"/>
        </w:rPr>
        <w:t xml:space="preserve"> </w:t>
      </w:r>
      <w:r w:rsidR="00D100A8">
        <w:rPr>
          <w:rFonts w:ascii="Times New Roman" w:hAnsi="Times New Roman" w:cs="Times New Roman"/>
          <w:sz w:val="24"/>
          <w:szCs w:val="24"/>
        </w:rPr>
        <w:t>(See Annexure “CS” on page 19 of the record).</w:t>
      </w:r>
      <w:r w:rsidR="000A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C18" w:rsidRPr="00E1671B" w:rsidRDefault="000A6F0C" w:rsidP="00E1671B">
      <w:pPr>
        <w:spacing w:after="0" w:line="360" w:lineRule="auto"/>
        <w:ind w:firstLine="720"/>
        <w:jc w:val="both"/>
        <w:rPr>
          <w:rFonts w:ascii="Andalus" w:hAnsi="Andalus" w:cs="Andalu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have given the respondent the benefit of doubt if this was the only evidence relating to service of the court order.</w:t>
      </w:r>
      <w:r w:rsidR="00260C89">
        <w:rPr>
          <w:rFonts w:ascii="Times New Roman" w:hAnsi="Times New Roman" w:cs="Times New Roman"/>
          <w:sz w:val="24"/>
          <w:szCs w:val="24"/>
        </w:rPr>
        <w:t xml:space="preserve"> Nevertheless, the applicant </w:t>
      </w:r>
      <w:r w:rsidR="004249BC">
        <w:rPr>
          <w:rFonts w:ascii="Times New Roman" w:hAnsi="Times New Roman" w:cs="Times New Roman"/>
          <w:sz w:val="24"/>
          <w:szCs w:val="24"/>
        </w:rPr>
        <w:t xml:space="preserve">submitted that the respondent instituted proceedings under HC 11585/15 for rescission </w:t>
      </w:r>
      <w:r w:rsidR="00237C2B">
        <w:rPr>
          <w:rFonts w:ascii="Times New Roman" w:hAnsi="Times New Roman" w:cs="Times New Roman"/>
          <w:sz w:val="24"/>
          <w:szCs w:val="24"/>
        </w:rPr>
        <w:t>of the order granted in HC 5000/</w:t>
      </w:r>
      <w:r w:rsidR="003924F9">
        <w:rPr>
          <w:rFonts w:ascii="Times New Roman" w:hAnsi="Times New Roman" w:cs="Times New Roman"/>
          <w:sz w:val="24"/>
          <w:szCs w:val="24"/>
        </w:rPr>
        <w:t>08B.</w:t>
      </w:r>
      <w:r w:rsidR="00662D04">
        <w:rPr>
          <w:rFonts w:ascii="Times New Roman" w:hAnsi="Times New Roman" w:cs="Times New Roman"/>
          <w:sz w:val="24"/>
          <w:szCs w:val="24"/>
        </w:rPr>
        <w:t xml:space="preserve"> </w:t>
      </w:r>
      <w:r w:rsidR="00662D04">
        <w:rPr>
          <w:rFonts w:ascii="Times New Roman" w:hAnsi="Times New Roman" w:cs="Times New Roman"/>
          <w:sz w:val="24"/>
          <w:szCs w:val="24"/>
        </w:rPr>
        <w:lastRenderedPageBreak/>
        <w:t>From this, I am satisfied that the order came to the respondent’s notice, hence the attempt to rescind the order.</w:t>
      </w:r>
      <w:r w:rsidR="00B318AF">
        <w:rPr>
          <w:rFonts w:ascii="Times New Roman" w:hAnsi="Times New Roman" w:cs="Times New Roman"/>
          <w:sz w:val="24"/>
          <w:szCs w:val="24"/>
        </w:rPr>
        <w:t xml:space="preserve"> I will now turn to the respondent’s </w:t>
      </w:r>
      <w:r w:rsidR="002C4F28">
        <w:rPr>
          <w:rFonts w:ascii="Times New Roman" w:hAnsi="Times New Roman" w:cs="Times New Roman"/>
          <w:sz w:val="24"/>
          <w:szCs w:val="24"/>
        </w:rPr>
        <w:t xml:space="preserve">next defence, namely, that </w:t>
      </w:r>
      <w:r w:rsidR="00881555">
        <w:rPr>
          <w:rFonts w:ascii="Times New Roman" w:hAnsi="Times New Roman" w:cs="Times New Roman"/>
          <w:sz w:val="24"/>
          <w:szCs w:val="24"/>
        </w:rPr>
        <w:t>the order as couched cannot be complied with.</w:t>
      </w:r>
      <w:r w:rsidR="00CB370F">
        <w:rPr>
          <w:rFonts w:ascii="Times New Roman" w:hAnsi="Times New Roman" w:cs="Times New Roman"/>
          <w:sz w:val="24"/>
          <w:szCs w:val="24"/>
        </w:rPr>
        <w:t xml:space="preserve"> The order, which was issued on 26 November 2012, requires the respondent</w:t>
      </w:r>
      <w:r w:rsidR="00D71F5B">
        <w:rPr>
          <w:rFonts w:ascii="Times New Roman" w:hAnsi="Times New Roman" w:cs="Times New Roman"/>
          <w:sz w:val="24"/>
          <w:szCs w:val="24"/>
        </w:rPr>
        <w:t xml:space="preserve"> to purchase and transfer to applicant Old Mutual Limited shares within </w:t>
      </w:r>
      <w:r w:rsidR="00404F68">
        <w:rPr>
          <w:rFonts w:ascii="Times New Roman" w:hAnsi="Times New Roman" w:cs="Times New Roman"/>
          <w:sz w:val="24"/>
          <w:szCs w:val="24"/>
        </w:rPr>
        <w:t>14 days</w:t>
      </w:r>
      <w:r w:rsidR="001810A7">
        <w:rPr>
          <w:rFonts w:ascii="Times New Roman" w:hAnsi="Times New Roman" w:cs="Times New Roman"/>
          <w:sz w:val="24"/>
          <w:szCs w:val="24"/>
        </w:rPr>
        <w:t xml:space="preserve"> </w:t>
      </w:r>
      <w:r w:rsidR="00D71F5B">
        <w:rPr>
          <w:rFonts w:ascii="Times New Roman" w:hAnsi="Times New Roman" w:cs="Times New Roman"/>
          <w:sz w:val="24"/>
          <w:szCs w:val="24"/>
        </w:rPr>
        <w:t xml:space="preserve">from 4 July </w:t>
      </w:r>
      <w:r w:rsidR="001810A7">
        <w:rPr>
          <w:rFonts w:ascii="Times New Roman" w:hAnsi="Times New Roman" w:cs="Times New Roman"/>
          <w:sz w:val="24"/>
          <w:szCs w:val="24"/>
        </w:rPr>
        <w:t>2008. Practically, the order cannot be complied with, given that it was issued in 2012</w:t>
      </w:r>
      <w:r w:rsidR="009E2E23">
        <w:rPr>
          <w:rFonts w:ascii="Times New Roman" w:hAnsi="Times New Roman" w:cs="Times New Roman"/>
          <w:sz w:val="24"/>
          <w:szCs w:val="24"/>
        </w:rPr>
        <w:t xml:space="preserve"> and yet the period within which to comp</w:t>
      </w:r>
      <w:r w:rsidR="00404F68">
        <w:rPr>
          <w:rFonts w:ascii="Times New Roman" w:hAnsi="Times New Roman" w:cs="Times New Roman"/>
          <w:sz w:val="24"/>
          <w:szCs w:val="24"/>
        </w:rPr>
        <w:t>l</w:t>
      </w:r>
      <w:r w:rsidR="009E2E23">
        <w:rPr>
          <w:rFonts w:ascii="Times New Roman" w:hAnsi="Times New Roman" w:cs="Times New Roman"/>
          <w:sz w:val="24"/>
          <w:szCs w:val="24"/>
        </w:rPr>
        <w:t xml:space="preserve">y was calculated </w:t>
      </w:r>
      <w:r w:rsidR="00404F68">
        <w:rPr>
          <w:rFonts w:ascii="Times New Roman" w:hAnsi="Times New Roman" w:cs="Times New Roman"/>
          <w:sz w:val="24"/>
          <w:szCs w:val="24"/>
        </w:rPr>
        <w:t xml:space="preserve">from a date in 2008. This is not the only anomaly which is evident </w:t>
      </w:r>
      <w:r w:rsidR="00404F68" w:rsidRPr="00601AA1">
        <w:rPr>
          <w:rFonts w:ascii="Times New Roman" w:hAnsi="Times New Roman" w:cs="Times New Roman"/>
          <w:i/>
          <w:sz w:val="24"/>
          <w:szCs w:val="24"/>
        </w:rPr>
        <w:t>ex facie</w:t>
      </w:r>
      <w:r w:rsidR="00404F68">
        <w:rPr>
          <w:rFonts w:ascii="Times New Roman" w:hAnsi="Times New Roman" w:cs="Times New Roman"/>
          <w:sz w:val="24"/>
          <w:szCs w:val="24"/>
        </w:rPr>
        <w:t xml:space="preserve"> the court order.</w:t>
      </w:r>
      <w:r w:rsidR="00601AA1">
        <w:rPr>
          <w:rFonts w:ascii="Times New Roman" w:hAnsi="Times New Roman" w:cs="Times New Roman"/>
          <w:sz w:val="24"/>
          <w:szCs w:val="24"/>
        </w:rPr>
        <w:t xml:space="preserve"> </w:t>
      </w:r>
      <w:r w:rsidR="00491093">
        <w:rPr>
          <w:rFonts w:ascii="Times New Roman" w:hAnsi="Times New Roman" w:cs="Times New Roman"/>
          <w:sz w:val="24"/>
          <w:szCs w:val="24"/>
        </w:rPr>
        <w:t xml:space="preserve">The respondent was also required to cause the property to be valued </w:t>
      </w:r>
      <w:r w:rsidR="005B7472" w:rsidRPr="00020CD3">
        <w:rPr>
          <w:rFonts w:ascii="Times New Roman" w:hAnsi="Times New Roman" w:cs="Times New Roman"/>
          <w:i/>
          <w:sz w:val="24"/>
          <w:szCs w:val="24"/>
        </w:rPr>
        <w:t>“within 5 days of today’s date (4 July 2008)”.</w:t>
      </w:r>
      <w:r w:rsidR="005B7472">
        <w:rPr>
          <w:rFonts w:ascii="Times New Roman" w:hAnsi="Times New Roman" w:cs="Times New Roman"/>
          <w:sz w:val="24"/>
          <w:szCs w:val="24"/>
        </w:rPr>
        <w:t xml:space="preserve"> </w:t>
      </w:r>
      <w:r w:rsidR="008D7590">
        <w:rPr>
          <w:rFonts w:ascii="Times New Roman" w:hAnsi="Times New Roman" w:cs="Times New Roman"/>
          <w:sz w:val="24"/>
          <w:szCs w:val="24"/>
        </w:rPr>
        <w:t xml:space="preserve">It is clear that this part of the order is ambiguous. The learned judge, if he meant the order to be complied with </w:t>
      </w:r>
      <w:r w:rsidR="00FA0513">
        <w:rPr>
          <w:rFonts w:ascii="Times New Roman" w:hAnsi="Times New Roman" w:cs="Times New Roman"/>
          <w:sz w:val="24"/>
          <w:szCs w:val="24"/>
        </w:rPr>
        <w:t>within 5 days of the date it was issued, namely, 29 November 2012, confused the order by putting the date</w:t>
      </w:r>
      <w:r w:rsidR="0062565C">
        <w:rPr>
          <w:rFonts w:ascii="Times New Roman" w:hAnsi="Times New Roman" w:cs="Times New Roman"/>
          <w:sz w:val="24"/>
          <w:szCs w:val="24"/>
        </w:rPr>
        <w:t xml:space="preserve">, 4 July 2008, in brackets. The impression created is that compliance was to be calculated from 4 </w:t>
      </w:r>
      <w:r w:rsidR="00A116E2">
        <w:rPr>
          <w:rFonts w:ascii="Times New Roman" w:hAnsi="Times New Roman" w:cs="Times New Roman"/>
          <w:sz w:val="24"/>
          <w:szCs w:val="24"/>
        </w:rPr>
        <w:t xml:space="preserve">July 2008 as opposed to 29 </w:t>
      </w:r>
      <w:r w:rsidR="00414FD4">
        <w:rPr>
          <w:rFonts w:ascii="Times New Roman" w:hAnsi="Times New Roman" w:cs="Times New Roman"/>
          <w:sz w:val="24"/>
          <w:szCs w:val="24"/>
        </w:rPr>
        <w:t>November 2012.</w:t>
      </w:r>
      <w:r w:rsidR="001F36F1">
        <w:rPr>
          <w:rFonts w:ascii="Times New Roman" w:hAnsi="Times New Roman" w:cs="Times New Roman"/>
          <w:sz w:val="24"/>
          <w:szCs w:val="24"/>
        </w:rPr>
        <w:t xml:space="preserve"> I am of the view that 4 July 2008 was included </w:t>
      </w:r>
      <w:r w:rsidR="00FF2A1D">
        <w:rPr>
          <w:rFonts w:ascii="Times New Roman" w:hAnsi="Times New Roman" w:cs="Times New Roman"/>
          <w:sz w:val="24"/>
          <w:szCs w:val="24"/>
        </w:rPr>
        <w:t xml:space="preserve">in the order </w:t>
      </w:r>
      <w:r w:rsidR="00794C06" w:rsidRPr="00FF2A1D">
        <w:rPr>
          <w:rFonts w:ascii="Times New Roman" w:hAnsi="Times New Roman" w:cs="Times New Roman"/>
          <w:i/>
          <w:sz w:val="24"/>
          <w:szCs w:val="24"/>
        </w:rPr>
        <w:t>ex abundante cautela</w:t>
      </w:r>
      <w:r w:rsidR="00794C06">
        <w:rPr>
          <w:rFonts w:ascii="Times New Roman" w:hAnsi="Times New Roman" w:cs="Times New Roman"/>
          <w:sz w:val="24"/>
          <w:szCs w:val="24"/>
        </w:rPr>
        <w:t xml:space="preserve"> to leave no doubt that it was the date from </w:t>
      </w:r>
      <w:r w:rsidR="00C3493B">
        <w:rPr>
          <w:rFonts w:ascii="Times New Roman" w:hAnsi="Times New Roman" w:cs="Times New Roman"/>
          <w:sz w:val="24"/>
          <w:szCs w:val="24"/>
        </w:rPr>
        <w:t xml:space="preserve">which the </w:t>
      </w:r>
      <w:r w:rsidR="00C3493B" w:rsidRPr="00FF2A1D">
        <w:rPr>
          <w:rFonts w:ascii="Times New Roman" w:hAnsi="Times New Roman" w:cs="Times New Roman"/>
          <w:i/>
          <w:sz w:val="24"/>
          <w:szCs w:val="24"/>
        </w:rPr>
        <w:t>dies induciae</w:t>
      </w:r>
      <w:r w:rsidR="00161E40">
        <w:rPr>
          <w:rFonts w:ascii="Times New Roman" w:hAnsi="Times New Roman" w:cs="Times New Roman"/>
          <w:sz w:val="24"/>
          <w:szCs w:val="24"/>
        </w:rPr>
        <w:t xml:space="preserve"> was to be reckoned.</w:t>
      </w:r>
      <w:r w:rsidR="00063BA5">
        <w:rPr>
          <w:rFonts w:ascii="Times New Roman" w:hAnsi="Times New Roman" w:cs="Times New Roman"/>
          <w:sz w:val="24"/>
          <w:szCs w:val="24"/>
        </w:rPr>
        <w:t xml:space="preserve"> </w:t>
      </w:r>
      <w:r w:rsidR="00063BA5">
        <w:rPr>
          <w:rFonts w:ascii="Andalus" w:hAnsi="Andalus" w:cs="Andalus"/>
          <w:sz w:val="24"/>
          <w:szCs w:val="24"/>
        </w:rPr>
        <w:t>From requirements o</w:t>
      </w:r>
      <w:r w:rsidR="00DB4094">
        <w:rPr>
          <w:rFonts w:ascii="Andalus" w:hAnsi="Andalus" w:cs="Andalus"/>
          <w:sz w:val="24"/>
          <w:szCs w:val="24"/>
        </w:rPr>
        <w:t xml:space="preserve">f the law, it can be gleaned </w:t>
      </w:r>
      <w:r w:rsidR="00616B4E">
        <w:rPr>
          <w:rFonts w:ascii="Andalus" w:hAnsi="Andalus" w:cs="Andalus"/>
          <w:sz w:val="24"/>
          <w:szCs w:val="24"/>
        </w:rPr>
        <w:t xml:space="preserve">that the order granted by </w:t>
      </w:r>
      <w:r w:rsidR="00C75FB1" w:rsidRPr="00C75FB1">
        <w:rPr>
          <w:rFonts w:ascii="Andalus" w:hAnsi="Andalus" w:cs="Andalus"/>
          <w:smallCaps/>
          <w:sz w:val="24"/>
          <w:szCs w:val="24"/>
        </w:rPr>
        <w:t>musakwa</w:t>
      </w:r>
      <w:r w:rsidR="00C75FB1">
        <w:rPr>
          <w:rFonts w:ascii="Andalus" w:hAnsi="Andalus" w:cs="Andalus"/>
          <w:sz w:val="24"/>
          <w:szCs w:val="24"/>
        </w:rPr>
        <w:t xml:space="preserve"> </w:t>
      </w:r>
      <w:r w:rsidR="00616B4E">
        <w:rPr>
          <w:rFonts w:ascii="Andalus" w:hAnsi="Andalus" w:cs="Andalus"/>
          <w:sz w:val="24"/>
          <w:szCs w:val="24"/>
        </w:rPr>
        <w:t>J</w:t>
      </w:r>
      <w:r w:rsidR="00063BA5">
        <w:rPr>
          <w:rFonts w:ascii="Andalus" w:hAnsi="Andalus" w:cs="Andalus"/>
          <w:sz w:val="24"/>
          <w:szCs w:val="24"/>
        </w:rPr>
        <w:t xml:space="preserve"> and whose enforcement is sought</w:t>
      </w:r>
      <w:r w:rsidR="00DB4094">
        <w:rPr>
          <w:rFonts w:ascii="Andalus" w:hAnsi="Andalus" w:cs="Andalus"/>
          <w:sz w:val="24"/>
          <w:szCs w:val="24"/>
        </w:rPr>
        <w:t>, should</w:t>
      </w:r>
      <w:r w:rsidR="00063BA5">
        <w:rPr>
          <w:rFonts w:ascii="Andalus" w:hAnsi="Andalus" w:cs="Andalus"/>
          <w:sz w:val="24"/>
          <w:szCs w:val="24"/>
        </w:rPr>
        <w:t xml:space="preserve"> be one which is capable of compliance. </w:t>
      </w:r>
      <w:r w:rsidR="00ED20A6">
        <w:rPr>
          <w:rFonts w:ascii="Andalus" w:hAnsi="Andalus" w:cs="Andalus"/>
          <w:sz w:val="24"/>
          <w:szCs w:val="24"/>
        </w:rPr>
        <w:t>In my view, t</w:t>
      </w:r>
      <w:r w:rsidR="00063BA5">
        <w:rPr>
          <w:rFonts w:ascii="Andalus" w:hAnsi="Andalus" w:cs="Andalus"/>
          <w:sz w:val="24"/>
          <w:szCs w:val="24"/>
        </w:rPr>
        <w:t>he issue is not</w:t>
      </w:r>
      <w:r w:rsidR="00ED20A6">
        <w:rPr>
          <w:rFonts w:ascii="Andalus" w:hAnsi="Andalus" w:cs="Andalus"/>
          <w:sz w:val="24"/>
          <w:szCs w:val="24"/>
        </w:rPr>
        <w:t xml:space="preserve"> merely that an order was granted and was not complied with.</w:t>
      </w:r>
      <w:r w:rsidR="005F33D2">
        <w:rPr>
          <w:rFonts w:ascii="Andalus" w:hAnsi="Andalus" w:cs="Andalus"/>
          <w:sz w:val="24"/>
          <w:szCs w:val="24"/>
        </w:rPr>
        <w:t xml:space="preserve"> Rather, i</w:t>
      </w:r>
      <w:r w:rsidR="00063BA5">
        <w:rPr>
          <w:rFonts w:ascii="Andalus" w:hAnsi="Andalus" w:cs="Andalus"/>
          <w:sz w:val="24"/>
          <w:szCs w:val="24"/>
        </w:rPr>
        <w:t>t is whether the order can be complied wit</w:t>
      </w:r>
      <w:r w:rsidR="00842ED6">
        <w:rPr>
          <w:rFonts w:ascii="Andalus" w:hAnsi="Andalus" w:cs="Andalus"/>
          <w:sz w:val="24"/>
          <w:szCs w:val="24"/>
        </w:rPr>
        <w:t>h in the form it is in</w:t>
      </w:r>
      <w:r w:rsidR="000F6042">
        <w:rPr>
          <w:rFonts w:ascii="Andalus" w:hAnsi="Andalus" w:cs="Andalus"/>
          <w:sz w:val="24"/>
          <w:szCs w:val="24"/>
        </w:rPr>
        <w:t>.</w:t>
      </w:r>
      <w:r w:rsidR="00E1671B">
        <w:rPr>
          <w:rFonts w:ascii="Andalus" w:hAnsi="Andalus" w:cs="Andalus"/>
          <w:sz w:val="24"/>
          <w:szCs w:val="24"/>
        </w:rPr>
        <w:t xml:space="preserve"> </w:t>
      </w:r>
      <w:r w:rsidR="004F5DB9">
        <w:rPr>
          <w:rFonts w:ascii="Times New Roman" w:hAnsi="Times New Roman" w:cs="Times New Roman"/>
          <w:sz w:val="24"/>
          <w:szCs w:val="24"/>
        </w:rPr>
        <w:t>It must be recalled that c</w:t>
      </w:r>
      <w:r w:rsidR="004F5DB9" w:rsidRPr="004F5DB9">
        <w:rPr>
          <w:rFonts w:ascii="Times New Roman" w:hAnsi="Times New Roman" w:cs="Times New Roman"/>
          <w:sz w:val="24"/>
          <w:szCs w:val="24"/>
        </w:rPr>
        <w:t xml:space="preserve">ivil contempt is the wilful and </w:t>
      </w:r>
      <w:r w:rsidR="004F5DB9" w:rsidRPr="004F5DB9">
        <w:rPr>
          <w:rFonts w:ascii="Times New Roman" w:hAnsi="Times New Roman" w:cs="Times New Roman"/>
          <w:i/>
          <w:sz w:val="24"/>
          <w:szCs w:val="24"/>
        </w:rPr>
        <w:t>mala fide</w:t>
      </w:r>
      <w:r w:rsidR="004F5DB9" w:rsidRPr="004F5DB9">
        <w:rPr>
          <w:rFonts w:ascii="Times New Roman" w:hAnsi="Times New Roman" w:cs="Times New Roman"/>
          <w:sz w:val="24"/>
          <w:szCs w:val="24"/>
        </w:rPr>
        <w:t xml:space="preserve"> refusal or failure to comply with an order of court.</w:t>
      </w:r>
      <w:r w:rsidR="004F5DB9" w:rsidRPr="001C7D6E">
        <w:rPr>
          <w:b/>
        </w:rPr>
        <w:t xml:space="preserve"> </w:t>
      </w:r>
      <w:r w:rsidR="004F5DB9">
        <w:rPr>
          <w:rFonts w:ascii="Andalus" w:hAnsi="Andalus" w:cs="Andalus"/>
          <w:sz w:val="24"/>
          <w:szCs w:val="24"/>
        </w:rPr>
        <w:t>Therefore</w:t>
      </w:r>
      <w:r w:rsidR="00E005B5">
        <w:rPr>
          <w:rFonts w:ascii="Andalus" w:hAnsi="Andalus" w:cs="Andalus"/>
          <w:sz w:val="24"/>
          <w:szCs w:val="24"/>
        </w:rPr>
        <w:t xml:space="preserve">, </w:t>
      </w:r>
      <w:r w:rsidR="0093498F">
        <w:rPr>
          <w:rFonts w:ascii="Andalus" w:hAnsi="Andalus" w:cs="Andalus"/>
          <w:sz w:val="24"/>
          <w:szCs w:val="24"/>
        </w:rPr>
        <w:t>if an</w:t>
      </w:r>
      <w:r w:rsidR="00063BA5">
        <w:rPr>
          <w:rFonts w:ascii="Andalus" w:hAnsi="Andalus" w:cs="Andalus"/>
          <w:sz w:val="24"/>
          <w:szCs w:val="24"/>
        </w:rPr>
        <w:t xml:space="preserve"> order cannot be complied with, there can be no contempt to talk about and</w:t>
      </w:r>
      <w:r w:rsidR="000F6042">
        <w:rPr>
          <w:rFonts w:ascii="Andalus" w:hAnsi="Andalus" w:cs="Andalus"/>
          <w:sz w:val="24"/>
          <w:szCs w:val="24"/>
        </w:rPr>
        <w:t>,</w:t>
      </w:r>
      <w:r w:rsidR="00063BA5">
        <w:rPr>
          <w:rFonts w:ascii="Andalus" w:hAnsi="Andalus" w:cs="Andalus"/>
          <w:sz w:val="24"/>
          <w:szCs w:val="24"/>
        </w:rPr>
        <w:t xml:space="preserve"> </w:t>
      </w:r>
      <w:r w:rsidR="00063BA5" w:rsidRPr="000F6042">
        <w:rPr>
          <w:rFonts w:ascii="Andalus" w:hAnsi="Andalus" w:cs="Andalus"/>
          <w:i/>
          <w:sz w:val="24"/>
          <w:szCs w:val="24"/>
        </w:rPr>
        <w:t>a fortiori</w:t>
      </w:r>
      <w:r w:rsidR="000F6042">
        <w:rPr>
          <w:rFonts w:ascii="Andalus" w:hAnsi="Andalus" w:cs="Andalus"/>
          <w:sz w:val="24"/>
          <w:szCs w:val="24"/>
        </w:rPr>
        <w:t xml:space="preserve">, </w:t>
      </w:r>
      <w:r w:rsidR="00063BA5">
        <w:rPr>
          <w:rFonts w:ascii="Andalus" w:hAnsi="Andalus" w:cs="Andalus"/>
          <w:sz w:val="24"/>
          <w:szCs w:val="24"/>
        </w:rPr>
        <w:t>nothing to compel.</w:t>
      </w:r>
      <w:r w:rsidR="007F52F7">
        <w:rPr>
          <w:rFonts w:ascii="Andalus" w:hAnsi="Andalus" w:cs="Andalus"/>
          <w:sz w:val="24"/>
          <w:szCs w:val="24"/>
        </w:rPr>
        <w:t xml:space="preserve"> I am mindful of the principle of law which says </w:t>
      </w:r>
      <w:r w:rsidR="007F52F7" w:rsidRPr="004109B8">
        <w:rPr>
          <w:rFonts w:ascii="Andalus" w:hAnsi="Andalus" w:cs="Andalus"/>
          <w:i/>
          <w:sz w:val="24"/>
          <w:szCs w:val="24"/>
        </w:rPr>
        <w:t>lex non cogit ad impossibilia</w:t>
      </w:r>
      <w:r w:rsidR="007F52F7">
        <w:rPr>
          <w:rFonts w:ascii="Andalus" w:hAnsi="Andalus" w:cs="Andalus"/>
          <w:sz w:val="24"/>
          <w:szCs w:val="24"/>
        </w:rPr>
        <w:t xml:space="preserve"> </w:t>
      </w:r>
      <w:r w:rsidR="00EE48AF">
        <w:rPr>
          <w:rFonts w:ascii="Andalus" w:hAnsi="Andalus" w:cs="Andalus"/>
          <w:sz w:val="24"/>
          <w:szCs w:val="24"/>
        </w:rPr>
        <w:t>(i.e. the law does not punish that which is impossible to perform).</w:t>
      </w:r>
    </w:p>
    <w:p w:rsidR="00161E40" w:rsidRDefault="00C32203" w:rsidP="00B71C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my view, the respondent’s argument is understandable. This is the kind of order which could have been corrected or amended via the mechanism of r 449 of the old High Court Rules. </w:t>
      </w:r>
      <w:r w:rsidR="008B7041">
        <w:rPr>
          <w:rFonts w:ascii="Times New Roman" w:hAnsi="Times New Roman" w:cs="Times New Roman"/>
          <w:sz w:val="24"/>
          <w:szCs w:val="24"/>
        </w:rPr>
        <w:t xml:space="preserve">As this was not done, the order as currently worded is impossible to comply with. The </w:t>
      </w:r>
      <w:r w:rsidR="00CE56BD">
        <w:rPr>
          <w:rFonts w:ascii="Times New Roman" w:hAnsi="Times New Roman" w:cs="Times New Roman"/>
          <w:sz w:val="24"/>
          <w:szCs w:val="24"/>
        </w:rPr>
        <w:t>explanation proffered by the respondent effectively means that he was not in wilful default</w:t>
      </w:r>
      <w:r w:rsidR="00476856">
        <w:rPr>
          <w:rFonts w:ascii="Times New Roman" w:hAnsi="Times New Roman" w:cs="Times New Roman"/>
          <w:sz w:val="24"/>
          <w:szCs w:val="24"/>
        </w:rPr>
        <w:t>, and the order of committal to prison is not merited.</w:t>
      </w:r>
      <w:r w:rsidR="004D052E">
        <w:rPr>
          <w:rFonts w:ascii="Times New Roman" w:hAnsi="Times New Roman" w:cs="Times New Roman"/>
          <w:sz w:val="24"/>
          <w:szCs w:val="24"/>
        </w:rPr>
        <w:t xml:space="preserve"> As I have come to the conclusion that failure to abide by the order was not the result of a deliberate disdain </w:t>
      </w:r>
      <w:r w:rsidR="00E9426F">
        <w:rPr>
          <w:rFonts w:ascii="Times New Roman" w:hAnsi="Times New Roman" w:cs="Times New Roman"/>
          <w:sz w:val="24"/>
          <w:szCs w:val="24"/>
        </w:rPr>
        <w:t>for an order of the court, in the exercise of my discretion, I will not award costs to any of the parties.</w:t>
      </w:r>
    </w:p>
    <w:p w:rsidR="00E44AC2" w:rsidRDefault="00E44AC2" w:rsidP="00E9426F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63547" w:rsidRDefault="00763547" w:rsidP="00E9426F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63547" w:rsidRDefault="00763547" w:rsidP="00E9426F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63547" w:rsidRDefault="00763547" w:rsidP="00E9426F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63547" w:rsidRPr="00E9426F" w:rsidRDefault="00763547" w:rsidP="00E9426F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9426F" w:rsidRPr="00E9426F" w:rsidRDefault="00E9426F" w:rsidP="00E942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26F">
        <w:rPr>
          <w:rFonts w:ascii="Times New Roman" w:hAnsi="Times New Roman" w:cs="Times New Roman"/>
          <w:b/>
          <w:sz w:val="24"/>
          <w:szCs w:val="24"/>
        </w:rPr>
        <w:lastRenderedPageBreak/>
        <w:t>Disposition</w:t>
      </w:r>
    </w:p>
    <w:p w:rsidR="001A3B49" w:rsidRPr="006E3251" w:rsidRDefault="001A3B49" w:rsidP="001A3B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</w:t>
      </w:r>
      <w:r w:rsidR="00DA28AC">
        <w:rPr>
          <w:rFonts w:ascii="Times New Roman" w:hAnsi="Times New Roman" w:cs="Times New Roman"/>
          <w:sz w:val="24"/>
          <w:szCs w:val="24"/>
        </w:rPr>
        <w:t>t</w:t>
      </w:r>
      <w:r w:rsidR="005D1847">
        <w:rPr>
          <w:rFonts w:ascii="Times New Roman" w:hAnsi="Times New Roman" w:cs="Times New Roman"/>
          <w:sz w:val="24"/>
          <w:szCs w:val="24"/>
        </w:rPr>
        <w:t>, the application is dismissed with</w:t>
      </w:r>
      <w:r w:rsidR="00DA28AC">
        <w:rPr>
          <w:rFonts w:ascii="Times New Roman" w:hAnsi="Times New Roman" w:cs="Times New Roman"/>
          <w:sz w:val="24"/>
          <w:szCs w:val="24"/>
        </w:rPr>
        <w:t xml:space="preserve"> each party</w:t>
      </w:r>
      <w:r w:rsidR="005D1847">
        <w:rPr>
          <w:rFonts w:ascii="Times New Roman" w:hAnsi="Times New Roman" w:cs="Times New Roman"/>
          <w:sz w:val="24"/>
          <w:szCs w:val="24"/>
        </w:rPr>
        <w:t xml:space="preserve"> </w:t>
      </w:r>
      <w:r w:rsidR="00542F5A">
        <w:rPr>
          <w:rFonts w:ascii="Times New Roman" w:hAnsi="Times New Roman" w:cs="Times New Roman"/>
          <w:sz w:val="24"/>
          <w:szCs w:val="24"/>
        </w:rPr>
        <w:t>bear</w:t>
      </w:r>
      <w:r w:rsidR="005D1847">
        <w:rPr>
          <w:rFonts w:ascii="Times New Roman" w:hAnsi="Times New Roman" w:cs="Times New Roman"/>
          <w:sz w:val="24"/>
          <w:szCs w:val="24"/>
        </w:rPr>
        <w:t>ing</w:t>
      </w:r>
      <w:r w:rsidR="00DA28AC">
        <w:rPr>
          <w:rFonts w:ascii="Times New Roman" w:hAnsi="Times New Roman" w:cs="Times New Roman"/>
          <w:sz w:val="24"/>
          <w:szCs w:val="24"/>
        </w:rPr>
        <w:t xml:space="preserve"> its own costs. </w:t>
      </w:r>
    </w:p>
    <w:p w:rsidR="00BC4EED" w:rsidRDefault="00BC4EED" w:rsidP="00A11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49" w:rsidRDefault="001A3B49" w:rsidP="00A11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EED" w:rsidRDefault="008A30D0" w:rsidP="00BC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Mtetwa and Nyambirai</w:t>
      </w:r>
      <w:r w:rsidR="00BC4EED" w:rsidRPr="00BC4EE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applicant’s legal p</w:t>
      </w:r>
      <w:r w:rsidR="00BC4EED">
        <w:rPr>
          <w:rFonts w:ascii="Times New Roman" w:hAnsi="Times New Roman" w:cs="Times New Roman"/>
          <w:sz w:val="24"/>
          <w:szCs w:val="24"/>
        </w:rPr>
        <w:t>ractitioners</w:t>
      </w:r>
    </w:p>
    <w:p w:rsidR="00BC4EED" w:rsidRDefault="008A30D0" w:rsidP="00BC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Magwaliba and Kwirira</w:t>
      </w:r>
      <w:r w:rsidR="00220047">
        <w:rPr>
          <w:rFonts w:ascii="Times New Roman" w:hAnsi="Times New Roman" w:cs="Times New Roman"/>
          <w:i/>
          <w:sz w:val="24"/>
          <w:szCs w:val="24"/>
        </w:rPr>
        <w:t>,</w:t>
      </w:r>
      <w:r w:rsidR="0078053B">
        <w:rPr>
          <w:rFonts w:ascii="Times New Roman" w:hAnsi="Times New Roman" w:cs="Times New Roman"/>
          <w:sz w:val="24"/>
          <w:szCs w:val="24"/>
        </w:rPr>
        <w:t xml:space="preserve"> respondent’s legal p</w:t>
      </w:r>
      <w:r w:rsidR="00BC4EED">
        <w:rPr>
          <w:rFonts w:ascii="Times New Roman" w:hAnsi="Times New Roman" w:cs="Times New Roman"/>
          <w:sz w:val="24"/>
          <w:szCs w:val="24"/>
        </w:rPr>
        <w:t xml:space="preserve">ractitioners </w:t>
      </w:r>
    </w:p>
    <w:sectPr w:rsidR="00BC4EED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12" w:rsidRDefault="003B3512" w:rsidP="00EE6F18">
      <w:pPr>
        <w:spacing w:after="0" w:line="240" w:lineRule="auto"/>
      </w:pPr>
      <w:r>
        <w:separator/>
      </w:r>
    </w:p>
  </w:endnote>
  <w:endnote w:type="continuationSeparator" w:id="0">
    <w:p w:rsidR="003B3512" w:rsidRDefault="003B3512" w:rsidP="00EE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12" w:rsidRDefault="003B3512" w:rsidP="00EE6F18">
      <w:pPr>
        <w:spacing w:after="0" w:line="240" w:lineRule="auto"/>
      </w:pPr>
      <w:r>
        <w:separator/>
      </w:r>
    </w:p>
  </w:footnote>
  <w:footnote w:type="continuationSeparator" w:id="0">
    <w:p w:rsidR="003B3512" w:rsidRDefault="003B3512" w:rsidP="00EE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9858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6F18" w:rsidRDefault="00EE6F18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81B">
          <w:rPr>
            <w:noProof/>
          </w:rPr>
          <w:t>1</w:t>
        </w:r>
        <w:r>
          <w:rPr>
            <w:noProof/>
          </w:rPr>
          <w:fldChar w:fldCharType="end"/>
        </w:r>
      </w:p>
      <w:p w:rsidR="00EE6F18" w:rsidRDefault="00EE6F18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763547">
          <w:rPr>
            <w:noProof/>
          </w:rPr>
          <w:t xml:space="preserve"> 760-22</w:t>
        </w:r>
      </w:p>
      <w:p w:rsidR="00A725F7" w:rsidRDefault="00183421">
        <w:pPr>
          <w:pStyle w:val="Header"/>
          <w:jc w:val="right"/>
          <w:rPr>
            <w:noProof/>
          </w:rPr>
        </w:pPr>
        <w:r>
          <w:rPr>
            <w:noProof/>
          </w:rPr>
          <w:t>HC 9755/15</w:t>
        </w:r>
      </w:p>
      <w:p w:rsidR="00183421" w:rsidRDefault="00A725F7">
        <w:pPr>
          <w:pStyle w:val="Header"/>
          <w:jc w:val="right"/>
          <w:rPr>
            <w:noProof/>
          </w:rPr>
        </w:pPr>
        <w:r>
          <w:rPr>
            <w:noProof/>
          </w:rPr>
          <w:t xml:space="preserve">REF CASE </w:t>
        </w:r>
        <w:r w:rsidR="00183421">
          <w:rPr>
            <w:noProof/>
          </w:rPr>
          <w:t>HC 3314/08</w:t>
        </w:r>
      </w:p>
      <w:p w:rsidR="00EE6F18" w:rsidRDefault="00183421">
        <w:pPr>
          <w:pStyle w:val="Header"/>
          <w:jc w:val="right"/>
        </w:pPr>
        <w:r>
          <w:rPr>
            <w:noProof/>
          </w:rPr>
          <w:t>HC 5000/</w:t>
        </w:r>
        <w:r w:rsidR="008A6990">
          <w:rPr>
            <w:noProof/>
          </w:rPr>
          <w:t>08B</w:t>
        </w:r>
      </w:p>
    </w:sdtContent>
  </w:sdt>
  <w:p w:rsidR="00EE6F18" w:rsidRDefault="00EE6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8D1"/>
    <w:multiLevelType w:val="hybridMultilevel"/>
    <w:tmpl w:val="F3245E84"/>
    <w:lvl w:ilvl="0" w:tplc="5EFC462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18"/>
    <w:rsid w:val="0000103A"/>
    <w:rsid w:val="000027FF"/>
    <w:rsid w:val="00005331"/>
    <w:rsid w:val="00020CD3"/>
    <w:rsid w:val="000241AD"/>
    <w:rsid w:val="00031488"/>
    <w:rsid w:val="00031887"/>
    <w:rsid w:val="0003513D"/>
    <w:rsid w:val="00035618"/>
    <w:rsid w:val="0003573C"/>
    <w:rsid w:val="00036A3D"/>
    <w:rsid w:val="00046AC9"/>
    <w:rsid w:val="000619B1"/>
    <w:rsid w:val="00063BA5"/>
    <w:rsid w:val="00065FE9"/>
    <w:rsid w:val="00067A8F"/>
    <w:rsid w:val="000716A4"/>
    <w:rsid w:val="00076D75"/>
    <w:rsid w:val="0008256E"/>
    <w:rsid w:val="00084280"/>
    <w:rsid w:val="000A025C"/>
    <w:rsid w:val="000A3F76"/>
    <w:rsid w:val="000A582A"/>
    <w:rsid w:val="000A6F0C"/>
    <w:rsid w:val="000B056A"/>
    <w:rsid w:val="000B1B76"/>
    <w:rsid w:val="000B4B93"/>
    <w:rsid w:val="000D2CB3"/>
    <w:rsid w:val="000D6632"/>
    <w:rsid w:val="000D67F3"/>
    <w:rsid w:val="000E4025"/>
    <w:rsid w:val="000E5011"/>
    <w:rsid w:val="000F227C"/>
    <w:rsid w:val="000F510B"/>
    <w:rsid w:val="000F6042"/>
    <w:rsid w:val="000F7BFC"/>
    <w:rsid w:val="00111B3F"/>
    <w:rsid w:val="00113F22"/>
    <w:rsid w:val="00124B1B"/>
    <w:rsid w:val="00125439"/>
    <w:rsid w:val="00133797"/>
    <w:rsid w:val="00145F0A"/>
    <w:rsid w:val="00153B40"/>
    <w:rsid w:val="00153EC1"/>
    <w:rsid w:val="001606D3"/>
    <w:rsid w:val="00161E40"/>
    <w:rsid w:val="001700B1"/>
    <w:rsid w:val="001757FB"/>
    <w:rsid w:val="00180ADD"/>
    <w:rsid w:val="001810A7"/>
    <w:rsid w:val="001826FD"/>
    <w:rsid w:val="00183421"/>
    <w:rsid w:val="001842AA"/>
    <w:rsid w:val="0018477B"/>
    <w:rsid w:val="00185A0A"/>
    <w:rsid w:val="0019770B"/>
    <w:rsid w:val="001A3B49"/>
    <w:rsid w:val="001A51DC"/>
    <w:rsid w:val="001A72E3"/>
    <w:rsid w:val="001A7D3B"/>
    <w:rsid w:val="001B15B5"/>
    <w:rsid w:val="001C22A0"/>
    <w:rsid w:val="001C5630"/>
    <w:rsid w:val="001D7C0D"/>
    <w:rsid w:val="001E0D0C"/>
    <w:rsid w:val="001E13E7"/>
    <w:rsid w:val="001E7184"/>
    <w:rsid w:val="001F1B07"/>
    <w:rsid w:val="001F2838"/>
    <w:rsid w:val="001F36F1"/>
    <w:rsid w:val="002006C6"/>
    <w:rsid w:val="00201237"/>
    <w:rsid w:val="002111AF"/>
    <w:rsid w:val="00220047"/>
    <w:rsid w:val="00220653"/>
    <w:rsid w:val="002226EC"/>
    <w:rsid w:val="00225500"/>
    <w:rsid w:val="00226125"/>
    <w:rsid w:val="002344E6"/>
    <w:rsid w:val="00236208"/>
    <w:rsid w:val="00237C2B"/>
    <w:rsid w:val="00245880"/>
    <w:rsid w:val="00251E8F"/>
    <w:rsid w:val="00260C89"/>
    <w:rsid w:val="002649AB"/>
    <w:rsid w:val="002714F1"/>
    <w:rsid w:val="00285A71"/>
    <w:rsid w:val="00287CD9"/>
    <w:rsid w:val="002A3022"/>
    <w:rsid w:val="002A73CD"/>
    <w:rsid w:val="002A78DF"/>
    <w:rsid w:val="002A7A94"/>
    <w:rsid w:val="002B77FD"/>
    <w:rsid w:val="002C14AC"/>
    <w:rsid w:val="002C25E0"/>
    <w:rsid w:val="002C26F1"/>
    <w:rsid w:val="002C4F28"/>
    <w:rsid w:val="002C68F2"/>
    <w:rsid w:val="002D08CA"/>
    <w:rsid w:val="002D219E"/>
    <w:rsid w:val="002D53A1"/>
    <w:rsid w:val="002E16BE"/>
    <w:rsid w:val="002F27DB"/>
    <w:rsid w:val="002F725F"/>
    <w:rsid w:val="00301262"/>
    <w:rsid w:val="0030346B"/>
    <w:rsid w:val="00304295"/>
    <w:rsid w:val="00306818"/>
    <w:rsid w:val="00306E43"/>
    <w:rsid w:val="00312184"/>
    <w:rsid w:val="0031580C"/>
    <w:rsid w:val="003167D5"/>
    <w:rsid w:val="003208BE"/>
    <w:rsid w:val="003236B1"/>
    <w:rsid w:val="00323E8A"/>
    <w:rsid w:val="00323EE9"/>
    <w:rsid w:val="00325D35"/>
    <w:rsid w:val="00327143"/>
    <w:rsid w:val="00330BDC"/>
    <w:rsid w:val="0033543C"/>
    <w:rsid w:val="003424DE"/>
    <w:rsid w:val="00342A9D"/>
    <w:rsid w:val="0036299A"/>
    <w:rsid w:val="00363DC9"/>
    <w:rsid w:val="00363F97"/>
    <w:rsid w:val="00364004"/>
    <w:rsid w:val="00365ABD"/>
    <w:rsid w:val="003722A0"/>
    <w:rsid w:val="0037338E"/>
    <w:rsid w:val="003808BC"/>
    <w:rsid w:val="00383CA4"/>
    <w:rsid w:val="003924F9"/>
    <w:rsid w:val="0039271A"/>
    <w:rsid w:val="00393599"/>
    <w:rsid w:val="00394A10"/>
    <w:rsid w:val="00394D4D"/>
    <w:rsid w:val="0039626F"/>
    <w:rsid w:val="003A5633"/>
    <w:rsid w:val="003A7014"/>
    <w:rsid w:val="003B3512"/>
    <w:rsid w:val="003C2D07"/>
    <w:rsid w:val="003C38B7"/>
    <w:rsid w:val="003C3D32"/>
    <w:rsid w:val="003C42A0"/>
    <w:rsid w:val="003C76E8"/>
    <w:rsid w:val="003D7E2B"/>
    <w:rsid w:val="003E2E04"/>
    <w:rsid w:val="003E40A5"/>
    <w:rsid w:val="003E50C3"/>
    <w:rsid w:val="003E5DC7"/>
    <w:rsid w:val="003E6E4B"/>
    <w:rsid w:val="004003F4"/>
    <w:rsid w:val="00401386"/>
    <w:rsid w:val="004029C6"/>
    <w:rsid w:val="00404110"/>
    <w:rsid w:val="00404F68"/>
    <w:rsid w:val="004073FF"/>
    <w:rsid w:val="00413850"/>
    <w:rsid w:val="00414FD4"/>
    <w:rsid w:val="00415EF6"/>
    <w:rsid w:val="00417D76"/>
    <w:rsid w:val="004249BC"/>
    <w:rsid w:val="00431451"/>
    <w:rsid w:val="004347D4"/>
    <w:rsid w:val="00437E2F"/>
    <w:rsid w:val="00450BEB"/>
    <w:rsid w:val="00451B59"/>
    <w:rsid w:val="00455CC8"/>
    <w:rsid w:val="00460CD2"/>
    <w:rsid w:val="0046117B"/>
    <w:rsid w:val="00461525"/>
    <w:rsid w:val="00461D86"/>
    <w:rsid w:val="004675E6"/>
    <w:rsid w:val="00470F4A"/>
    <w:rsid w:val="00476856"/>
    <w:rsid w:val="00476EDF"/>
    <w:rsid w:val="00481B28"/>
    <w:rsid w:val="004873B9"/>
    <w:rsid w:val="00490A20"/>
    <w:rsid w:val="00491093"/>
    <w:rsid w:val="004A0EC3"/>
    <w:rsid w:val="004A7525"/>
    <w:rsid w:val="004B15CD"/>
    <w:rsid w:val="004B1FF3"/>
    <w:rsid w:val="004B29FE"/>
    <w:rsid w:val="004B5D90"/>
    <w:rsid w:val="004C2020"/>
    <w:rsid w:val="004C5B4C"/>
    <w:rsid w:val="004C719E"/>
    <w:rsid w:val="004D052E"/>
    <w:rsid w:val="004D25DF"/>
    <w:rsid w:val="004D643C"/>
    <w:rsid w:val="004E17EF"/>
    <w:rsid w:val="004F0010"/>
    <w:rsid w:val="004F21BE"/>
    <w:rsid w:val="004F4EBD"/>
    <w:rsid w:val="004F4F0D"/>
    <w:rsid w:val="004F5DB9"/>
    <w:rsid w:val="004F6352"/>
    <w:rsid w:val="004F728E"/>
    <w:rsid w:val="00501414"/>
    <w:rsid w:val="00507554"/>
    <w:rsid w:val="00513CF7"/>
    <w:rsid w:val="00514F87"/>
    <w:rsid w:val="005162FB"/>
    <w:rsid w:val="0052303B"/>
    <w:rsid w:val="005232CB"/>
    <w:rsid w:val="005247F9"/>
    <w:rsid w:val="00526EFC"/>
    <w:rsid w:val="00533B15"/>
    <w:rsid w:val="00533B3E"/>
    <w:rsid w:val="005411CE"/>
    <w:rsid w:val="00542F5A"/>
    <w:rsid w:val="00543131"/>
    <w:rsid w:val="00545CAC"/>
    <w:rsid w:val="005554F4"/>
    <w:rsid w:val="00564CD8"/>
    <w:rsid w:val="00567569"/>
    <w:rsid w:val="00571318"/>
    <w:rsid w:val="00572280"/>
    <w:rsid w:val="00572D90"/>
    <w:rsid w:val="00581374"/>
    <w:rsid w:val="005916BA"/>
    <w:rsid w:val="005940EE"/>
    <w:rsid w:val="005B1811"/>
    <w:rsid w:val="005B2091"/>
    <w:rsid w:val="005B7472"/>
    <w:rsid w:val="005C75F1"/>
    <w:rsid w:val="005D1847"/>
    <w:rsid w:val="005D7E2E"/>
    <w:rsid w:val="005E123A"/>
    <w:rsid w:val="005E475B"/>
    <w:rsid w:val="005F33D2"/>
    <w:rsid w:val="005F5FB0"/>
    <w:rsid w:val="005F707B"/>
    <w:rsid w:val="00601AA1"/>
    <w:rsid w:val="00604064"/>
    <w:rsid w:val="006051FC"/>
    <w:rsid w:val="00610933"/>
    <w:rsid w:val="00616B4E"/>
    <w:rsid w:val="0062565C"/>
    <w:rsid w:val="00626DAD"/>
    <w:rsid w:val="00630584"/>
    <w:rsid w:val="00631311"/>
    <w:rsid w:val="0063142A"/>
    <w:rsid w:val="00643D38"/>
    <w:rsid w:val="00647D9F"/>
    <w:rsid w:val="00650F84"/>
    <w:rsid w:val="00651A88"/>
    <w:rsid w:val="0065339F"/>
    <w:rsid w:val="00660B80"/>
    <w:rsid w:val="00662D04"/>
    <w:rsid w:val="0067172A"/>
    <w:rsid w:val="00672186"/>
    <w:rsid w:val="0067339F"/>
    <w:rsid w:val="00683AE2"/>
    <w:rsid w:val="006848D9"/>
    <w:rsid w:val="00691ACF"/>
    <w:rsid w:val="00691D41"/>
    <w:rsid w:val="006B052D"/>
    <w:rsid w:val="006B0E1A"/>
    <w:rsid w:val="006B4558"/>
    <w:rsid w:val="006D02E6"/>
    <w:rsid w:val="006D5884"/>
    <w:rsid w:val="006D6E64"/>
    <w:rsid w:val="006E2004"/>
    <w:rsid w:val="006E3251"/>
    <w:rsid w:val="006E5278"/>
    <w:rsid w:val="006F17B5"/>
    <w:rsid w:val="006F65FF"/>
    <w:rsid w:val="007131F5"/>
    <w:rsid w:val="00724FBD"/>
    <w:rsid w:val="00727F73"/>
    <w:rsid w:val="00740F9E"/>
    <w:rsid w:val="00744915"/>
    <w:rsid w:val="00746614"/>
    <w:rsid w:val="0075194E"/>
    <w:rsid w:val="00763547"/>
    <w:rsid w:val="0076681B"/>
    <w:rsid w:val="00767C83"/>
    <w:rsid w:val="007710A8"/>
    <w:rsid w:val="0077407F"/>
    <w:rsid w:val="0078053B"/>
    <w:rsid w:val="0078110C"/>
    <w:rsid w:val="00783B4F"/>
    <w:rsid w:val="00794C06"/>
    <w:rsid w:val="007963BA"/>
    <w:rsid w:val="007A180F"/>
    <w:rsid w:val="007A18ED"/>
    <w:rsid w:val="007A28C9"/>
    <w:rsid w:val="007A67D6"/>
    <w:rsid w:val="007B3D18"/>
    <w:rsid w:val="007B4ADF"/>
    <w:rsid w:val="007C677D"/>
    <w:rsid w:val="007C7E38"/>
    <w:rsid w:val="007D3328"/>
    <w:rsid w:val="007E3377"/>
    <w:rsid w:val="007E3BA0"/>
    <w:rsid w:val="007E4241"/>
    <w:rsid w:val="007E4429"/>
    <w:rsid w:val="007E7BE6"/>
    <w:rsid w:val="007F1223"/>
    <w:rsid w:val="007F51FF"/>
    <w:rsid w:val="007F52F7"/>
    <w:rsid w:val="007F7228"/>
    <w:rsid w:val="00805E96"/>
    <w:rsid w:val="0081208C"/>
    <w:rsid w:val="00817D91"/>
    <w:rsid w:val="008226A6"/>
    <w:rsid w:val="00822DB6"/>
    <w:rsid w:val="00827028"/>
    <w:rsid w:val="0083011B"/>
    <w:rsid w:val="00831FC3"/>
    <w:rsid w:val="00842ED6"/>
    <w:rsid w:val="008448DA"/>
    <w:rsid w:val="008516B5"/>
    <w:rsid w:val="00855E28"/>
    <w:rsid w:val="008560B9"/>
    <w:rsid w:val="00860861"/>
    <w:rsid w:val="00864E7B"/>
    <w:rsid w:val="008743C1"/>
    <w:rsid w:val="00881555"/>
    <w:rsid w:val="008877BC"/>
    <w:rsid w:val="008878B2"/>
    <w:rsid w:val="008936A3"/>
    <w:rsid w:val="008956FB"/>
    <w:rsid w:val="008A30D0"/>
    <w:rsid w:val="008A41B2"/>
    <w:rsid w:val="008A58CC"/>
    <w:rsid w:val="008A6990"/>
    <w:rsid w:val="008B7041"/>
    <w:rsid w:val="008D6CEC"/>
    <w:rsid w:val="008D7590"/>
    <w:rsid w:val="008E069E"/>
    <w:rsid w:val="008E0CC9"/>
    <w:rsid w:val="008E4456"/>
    <w:rsid w:val="008E51BE"/>
    <w:rsid w:val="008E58E9"/>
    <w:rsid w:val="008F0C9B"/>
    <w:rsid w:val="008F39E9"/>
    <w:rsid w:val="008F7814"/>
    <w:rsid w:val="009011FD"/>
    <w:rsid w:val="009019BA"/>
    <w:rsid w:val="00901D30"/>
    <w:rsid w:val="00902EA1"/>
    <w:rsid w:val="009163A0"/>
    <w:rsid w:val="00926DDD"/>
    <w:rsid w:val="00926FEE"/>
    <w:rsid w:val="00930C34"/>
    <w:rsid w:val="0093130E"/>
    <w:rsid w:val="0093498F"/>
    <w:rsid w:val="00935C9B"/>
    <w:rsid w:val="00937AC6"/>
    <w:rsid w:val="0095041F"/>
    <w:rsid w:val="00952D1C"/>
    <w:rsid w:val="0095389B"/>
    <w:rsid w:val="00953B3C"/>
    <w:rsid w:val="009559BB"/>
    <w:rsid w:val="00957BD3"/>
    <w:rsid w:val="009647D6"/>
    <w:rsid w:val="009741DD"/>
    <w:rsid w:val="00982CBF"/>
    <w:rsid w:val="0098345B"/>
    <w:rsid w:val="00991C43"/>
    <w:rsid w:val="00994F14"/>
    <w:rsid w:val="009B583D"/>
    <w:rsid w:val="009C0C6C"/>
    <w:rsid w:val="009C62E9"/>
    <w:rsid w:val="009C657A"/>
    <w:rsid w:val="009D0BE2"/>
    <w:rsid w:val="009D7F6F"/>
    <w:rsid w:val="009E2E23"/>
    <w:rsid w:val="009E3F9B"/>
    <w:rsid w:val="009F66C5"/>
    <w:rsid w:val="00A11183"/>
    <w:rsid w:val="00A116E2"/>
    <w:rsid w:val="00A12863"/>
    <w:rsid w:val="00A1456E"/>
    <w:rsid w:val="00A20B3E"/>
    <w:rsid w:val="00A22A7C"/>
    <w:rsid w:val="00A32678"/>
    <w:rsid w:val="00A404D5"/>
    <w:rsid w:val="00A40DE3"/>
    <w:rsid w:val="00A41E59"/>
    <w:rsid w:val="00A475E8"/>
    <w:rsid w:val="00A5121C"/>
    <w:rsid w:val="00A53A2F"/>
    <w:rsid w:val="00A63440"/>
    <w:rsid w:val="00A63D36"/>
    <w:rsid w:val="00A65E03"/>
    <w:rsid w:val="00A725F7"/>
    <w:rsid w:val="00A84661"/>
    <w:rsid w:val="00AA1108"/>
    <w:rsid w:val="00AA21DB"/>
    <w:rsid w:val="00AC65FD"/>
    <w:rsid w:val="00AD18E8"/>
    <w:rsid w:val="00AD398E"/>
    <w:rsid w:val="00AE1F78"/>
    <w:rsid w:val="00AE7E39"/>
    <w:rsid w:val="00AF30F7"/>
    <w:rsid w:val="00AF3F0D"/>
    <w:rsid w:val="00B009FA"/>
    <w:rsid w:val="00B11BAD"/>
    <w:rsid w:val="00B153CF"/>
    <w:rsid w:val="00B17AA0"/>
    <w:rsid w:val="00B22A0A"/>
    <w:rsid w:val="00B24F80"/>
    <w:rsid w:val="00B26BD4"/>
    <w:rsid w:val="00B318AF"/>
    <w:rsid w:val="00B3520A"/>
    <w:rsid w:val="00B35B6C"/>
    <w:rsid w:val="00B402FB"/>
    <w:rsid w:val="00B41884"/>
    <w:rsid w:val="00B43458"/>
    <w:rsid w:val="00B436FB"/>
    <w:rsid w:val="00B47679"/>
    <w:rsid w:val="00B54AB3"/>
    <w:rsid w:val="00B61EE8"/>
    <w:rsid w:val="00B661F6"/>
    <w:rsid w:val="00B673B9"/>
    <w:rsid w:val="00B70638"/>
    <w:rsid w:val="00B71C18"/>
    <w:rsid w:val="00B800FC"/>
    <w:rsid w:val="00B86892"/>
    <w:rsid w:val="00B921FB"/>
    <w:rsid w:val="00B933E5"/>
    <w:rsid w:val="00B93C3B"/>
    <w:rsid w:val="00BA77C6"/>
    <w:rsid w:val="00BB15C8"/>
    <w:rsid w:val="00BB676B"/>
    <w:rsid w:val="00BB75EA"/>
    <w:rsid w:val="00BB7DB6"/>
    <w:rsid w:val="00BC242D"/>
    <w:rsid w:val="00BC4EED"/>
    <w:rsid w:val="00BD215F"/>
    <w:rsid w:val="00BD35D4"/>
    <w:rsid w:val="00BD473A"/>
    <w:rsid w:val="00BD55F9"/>
    <w:rsid w:val="00BE087F"/>
    <w:rsid w:val="00BE1495"/>
    <w:rsid w:val="00BE7AE7"/>
    <w:rsid w:val="00BF096A"/>
    <w:rsid w:val="00BF5DA1"/>
    <w:rsid w:val="00BF7C2F"/>
    <w:rsid w:val="00C03A17"/>
    <w:rsid w:val="00C04053"/>
    <w:rsid w:val="00C04DCD"/>
    <w:rsid w:val="00C104FB"/>
    <w:rsid w:val="00C13333"/>
    <w:rsid w:val="00C14437"/>
    <w:rsid w:val="00C209A2"/>
    <w:rsid w:val="00C25D41"/>
    <w:rsid w:val="00C26138"/>
    <w:rsid w:val="00C27ADB"/>
    <w:rsid w:val="00C27F9B"/>
    <w:rsid w:val="00C32203"/>
    <w:rsid w:val="00C32E0E"/>
    <w:rsid w:val="00C3493B"/>
    <w:rsid w:val="00C4362B"/>
    <w:rsid w:val="00C442C6"/>
    <w:rsid w:val="00C54F87"/>
    <w:rsid w:val="00C61243"/>
    <w:rsid w:val="00C62F42"/>
    <w:rsid w:val="00C633DC"/>
    <w:rsid w:val="00C65CCA"/>
    <w:rsid w:val="00C666EF"/>
    <w:rsid w:val="00C74052"/>
    <w:rsid w:val="00C7474D"/>
    <w:rsid w:val="00C75BDB"/>
    <w:rsid w:val="00C75FB1"/>
    <w:rsid w:val="00C760EA"/>
    <w:rsid w:val="00C812AA"/>
    <w:rsid w:val="00C900F2"/>
    <w:rsid w:val="00C94C5A"/>
    <w:rsid w:val="00C94D2E"/>
    <w:rsid w:val="00C95FD7"/>
    <w:rsid w:val="00CA4CD4"/>
    <w:rsid w:val="00CA65BC"/>
    <w:rsid w:val="00CB0909"/>
    <w:rsid w:val="00CB3276"/>
    <w:rsid w:val="00CB370F"/>
    <w:rsid w:val="00CB72B3"/>
    <w:rsid w:val="00CC26DE"/>
    <w:rsid w:val="00CC5CF4"/>
    <w:rsid w:val="00CC6666"/>
    <w:rsid w:val="00CD11AF"/>
    <w:rsid w:val="00CD3596"/>
    <w:rsid w:val="00CD67DD"/>
    <w:rsid w:val="00CE1425"/>
    <w:rsid w:val="00CE56BD"/>
    <w:rsid w:val="00CE56F3"/>
    <w:rsid w:val="00CF270B"/>
    <w:rsid w:val="00CF646F"/>
    <w:rsid w:val="00D0081C"/>
    <w:rsid w:val="00D0422D"/>
    <w:rsid w:val="00D04707"/>
    <w:rsid w:val="00D04ACA"/>
    <w:rsid w:val="00D100A8"/>
    <w:rsid w:val="00D140EC"/>
    <w:rsid w:val="00D162F8"/>
    <w:rsid w:val="00D43E53"/>
    <w:rsid w:val="00D648EF"/>
    <w:rsid w:val="00D650E7"/>
    <w:rsid w:val="00D65900"/>
    <w:rsid w:val="00D67040"/>
    <w:rsid w:val="00D67A43"/>
    <w:rsid w:val="00D71F5B"/>
    <w:rsid w:val="00DA2134"/>
    <w:rsid w:val="00DA28AC"/>
    <w:rsid w:val="00DA47E1"/>
    <w:rsid w:val="00DB1505"/>
    <w:rsid w:val="00DB2311"/>
    <w:rsid w:val="00DB4094"/>
    <w:rsid w:val="00DC763A"/>
    <w:rsid w:val="00DE6287"/>
    <w:rsid w:val="00DE7A69"/>
    <w:rsid w:val="00DF0675"/>
    <w:rsid w:val="00DF2D6D"/>
    <w:rsid w:val="00DF5E84"/>
    <w:rsid w:val="00E004A5"/>
    <w:rsid w:val="00E005B5"/>
    <w:rsid w:val="00E0371E"/>
    <w:rsid w:val="00E04752"/>
    <w:rsid w:val="00E15E08"/>
    <w:rsid w:val="00E1671B"/>
    <w:rsid w:val="00E30C1A"/>
    <w:rsid w:val="00E35854"/>
    <w:rsid w:val="00E37924"/>
    <w:rsid w:val="00E422FD"/>
    <w:rsid w:val="00E44AC2"/>
    <w:rsid w:val="00E55E14"/>
    <w:rsid w:val="00E56BF4"/>
    <w:rsid w:val="00E60860"/>
    <w:rsid w:val="00E60C57"/>
    <w:rsid w:val="00E6234C"/>
    <w:rsid w:val="00E6245F"/>
    <w:rsid w:val="00E6752B"/>
    <w:rsid w:val="00E67545"/>
    <w:rsid w:val="00E75316"/>
    <w:rsid w:val="00E854DB"/>
    <w:rsid w:val="00E92740"/>
    <w:rsid w:val="00E9414B"/>
    <w:rsid w:val="00E9426F"/>
    <w:rsid w:val="00EA1FDD"/>
    <w:rsid w:val="00EA2649"/>
    <w:rsid w:val="00EB40C7"/>
    <w:rsid w:val="00EB76A4"/>
    <w:rsid w:val="00EC1853"/>
    <w:rsid w:val="00EC4AC5"/>
    <w:rsid w:val="00EC6424"/>
    <w:rsid w:val="00ED001C"/>
    <w:rsid w:val="00ED20A6"/>
    <w:rsid w:val="00EE48AF"/>
    <w:rsid w:val="00EE6F18"/>
    <w:rsid w:val="00F01244"/>
    <w:rsid w:val="00F02299"/>
    <w:rsid w:val="00F1106E"/>
    <w:rsid w:val="00F14F54"/>
    <w:rsid w:val="00F30D42"/>
    <w:rsid w:val="00F55984"/>
    <w:rsid w:val="00F60AB7"/>
    <w:rsid w:val="00F622D0"/>
    <w:rsid w:val="00F71159"/>
    <w:rsid w:val="00F74864"/>
    <w:rsid w:val="00F76DB2"/>
    <w:rsid w:val="00F77188"/>
    <w:rsid w:val="00FA0513"/>
    <w:rsid w:val="00FA0974"/>
    <w:rsid w:val="00FA27F3"/>
    <w:rsid w:val="00FA4A48"/>
    <w:rsid w:val="00FA56C7"/>
    <w:rsid w:val="00FA7252"/>
    <w:rsid w:val="00FB72DB"/>
    <w:rsid w:val="00FC3BC5"/>
    <w:rsid w:val="00FE1820"/>
    <w:rsid w:val="00FE1EF0"/>
    <w:rsid w:val="00FE2634"/>
    <w:rsid w:val="00FE73F1"/>
    <w:rsid w:val="00FF2915"/>
    <w:rsid w:val="00FF2A1D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1FAF3-DF2C-467B-BA52-3DD2D2C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F18"/>
  </w:style>
  <w:style w:type="paragraph" w:styleId="Footer">
    <w:name w:val="footer"/>
    <w:basedOn w:val="Normal"/>
    <w:link w:val="FooterChar"/>
    <w:uiPriority w:val="99"/>
    <w:unhideWhenUsed/>
    <w:rsid w:val="00EE6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18"/>
  </w:style>
  <w:style w:type="paragraph" w:styleId="ListParagraph">
    <w:name w:val="List Paragraph"/>
    <w:basedOn w:val="Normal"/>
    <w:uiPriority w:val="34"/>
    <w:qFormat/>
    <w:rsid w:val="004F0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ED5BF52-A506-48F3-82BD-DC366417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JSC</cp:lastModifiedBy>
  <cp:revision>2</cp:revision>
  <cp:lastPrinted>2022-10-27T10:46:00Z</cp:lastPrinted>
  <dcterms:created xsi:type="dcterms:W3CDTF">2022-10-28T09:10:00Z</dcterms:created>
  <dcterms:modified xsi:type="dcterms:W3CDTF">2022-10-28T09:10:00Z</dcterms:modified>
</cp:coreProperties>
</file>