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76" w:rsidRPr="008E1711" w:rsidRDefault="00436976" w:rsidP="00436976">
      <w:pPr>
        <w:spacing w:line="360" w:lineRule="auto"/>
        <w:rPr>
          <w:b/>
        </w:rPr>
      </w:pPr>
      <w:r w:rsidRPr="008E1711">
        <w:rPr>
          <w:b/>
        </w:rPr>
        <w:t>IN THE LABOUR COURT OF ZIMBABWE      JUDGMENT NO. LC/H/</w:t>
      </w:r>
      <w:r w:rsidR="00961D4D">
        <w:rPr>
          <w:b/>
        </w:rPr>
        <w:t>154</w:t>
      </w:r>
      <w:r>
        <w:rPr>
          <w:b/>
        </w:rPr>
        <w:t>/2016</w:t>
      </w:r>
    </w:p>
    <w:p w:rsidR="00436976" w:rsidRDefault="00436976" w:rsidP="00436976">
      <w:pPr>
        <w:spacing w:line="360" w:lineRule="auto"/>
        <w:jc w:val="both"/>
        <w:rPr>
          <w:b/>
        </w:rPr>
      </w:pPr>
      <w:r>
        <w:rPr>
          <w:b/>
        </w:rPr>
        <w:t>HARARE, 15 OCTOBER 2015</w:t>
      </w:r>
      <w:r w:rsidRPr="00047C13">
        <w:rPr>
          <w:b/>
        </w:rPr>
        <w:tab/>
      </w:r>
      <w:r>
        <w:rPr>
          <w:b/>
        </w:rPr>
        <w:tab/>
      </w:r>
      <w:r>
        <w:rPr>
          <w:b/>
        </w:rPr>
        <w:tab/>
      </w:r>
      <w:r w:rsidRPr="00047C13">
        <w:rPr>
          <w:b/>
        </w:rPr>
        <w:t>CASE NO. LC/</w:t>
      </w:r>
      <w:r>
        <w:rPr>
          <w:b/>
        </w:rPr>
        <w:t>H/342/15</w:t>
      </w:r>
    </w:p>
    <w:p w:rsidR="00436976" w:rsidRDefault="00436976" w:rsidP="00436976">
      <w:pPr>
        <w:spacing w:line="360" w:lineRule="auto"/>
        <w:jc w:val="both"/>
        <w:rPr>
          <w:b/>
        </w:rPr>
      </w:pPr>
      <w:r>
        <w:rPr>
          <w:b/>
        </w:rPr>
        <w:t xml:space="preserve">AND </w:t>
      </w:r>
      <w:r w:rsidR="00961D4D">
        <w:rPr>
          <w:b/>
        </w:rPr>
        <w:t>18 MARCH</w:t>
      </w:r>
      <w:r>
        <w:rPr>
          <w:b/>
        </w:rPr>
        <w:t xml:space="preserve"> 2016</w:t>
      </w:r>
    </w:p>
    <w:p w:rsidR="00436976" w:rsidRPr="00047C13" w:rsidRDefault="00436976" w:rsidP="00436976">
      <w:pPr>
        <w:jc w:val="both"/>
      </w:pPr>
      <w:r w:rsidRPr="00047C13">
        <w:t>In the matter between</w:t>
      </w:r>
      <w:r>
        <w:t>:-</w:t>
      </w:r>
    </w:p>
    <w:p w:rsidR="00436976" w:rsidRPr="00047C13" w:rsidRDefault="00436976" w:rsidP="00436976">
      <w:pPr>
        <w:jc w:val="both"/>
      </w:pPr>
    </w:p>
    <w:p w:rsidR="00436976" w:rsidRDefault="00436976" w:rsidP="00436976">
      <w:pPr>
        <w:spacing w:line="360" w:lineRule="auto"/>
        <w:jc w:val="both"/>
        <w:rPr>
          <w:b/>
        </w:rPr>
      </w:pPr>
      <w:r>
        <w:rPr>
          <w:b/>
        </w:rPr>
        <w:t>ELIZABETH GLASIER PEDIATRIC</w:t>
      </w:r>
      <w:r>
        <w:rPr>
          <w:b/>
        </w:rPr>
        <w:tab/>
      </w:r>
      <w:r w:rsidR="00E568EF">
        <w:rPr>
          <w:b/>
        </w:rPr>
        <w:tab/>
      </w:r>
      <w:r w:rsidR="00E568EF">
        <w:rPr>
          <w:b/>
        </w:rPr>
        <w:tab/>
      </w:r>
      <w:r>
        <w:rPr>
          <w:b/>
        </w:rPr>
        <w:t>Appellant</w:t>
      </w:r>
    </w:p>
    <w:p w:rsidR="00E568EF" w:rsidRPr="00047C13" w:rsidRDefault="00E568EF" w:rsidP="00436976">
      <w:pPr>
        <w:spacing w:line="360" w:lineRule="auto"/>
        <w:jc w:val="both"/>
        <w:rPr>
          <w:b/>
        </w:rPr>
      </w:pPr>
      <w:r>
        <w:rPr>
          <w:b/>
        </w:rPr>
        <w:t xml:space="preserve">AIDS FOUNDATION </w:t>
      </w:r>
    </w:p>
    <w:p w:rsidR="00436976" w:rsidRPr="00047C13" w:rsidRDefault="00436976" w:rsidP="00436976">
      <w:pPr>
        <w:tabs>
          <w:tab w:val="left" w:pos="1995"/>
        </w:tabs>
        <w:spacing w:line="360" w:lineRule="auto"/>
        <w:jc w:val="both"/>
      </w:pPr>
      <w:r w:rsidRPr="00047C13">
        <w:t>And</w:t>
      </w:r>
      <w:r w:rsidRPr="00047C13">
        <w:tab/>
      </w:r>
    </w:p>
    <w:p w:rsidR="00436976" w:rsidRDefault="00E568EF" w:rsidP="00436976">
      <w:pPr>
        <w:spacing w:line="360" w:lineRule="auto"/>
        <w:jc w:val="both"/>
        <w:rPr>
          <w:b/>
        </w:rPr>
      </w:pPr>
      <w:r>
        <w:rPr>
          <w:b/>
        </w:rPr>
        <w:t>FENNY MWAZOZO</w:t>
      </w:r>
      <w:r>
        <w:rPr>
          <w:b/>
        </w:rPr>
        <w:tab/>
      </w:r>
      <w:r w:rsidR="00436976">
        <w:rPr>
          <w:b/>
        </w:rPr>
        <w:tab/>
      </w:r>
      <w:r w:rsidR="00436976">
        <w:rPr>
          <w:b/>
        </w:rPr>
        <w:tab/>
      </w:r>
      <w:r w:rsidR="00436976">
        <w:rPr>
          <w:b/>
        </w:rPr>
        <w:tab/>
      </w:r>
      <w:r w:rsidR="00436976">
        <w:rPr>
          <w:b/>
        </w:rPr>
        <w:tab/>
        <w:t>1</w:t>
      </w:r>
      <w:r w:rsidR="00436976" w:rsidRPr="00F85406">
        <w:rPr>
          <w:b/>
          <w:vertAlign w:val="superscript"/>
        </w:rPr>
        <w:t>st</w:t>
      </w:r>
      <w:r w:rsidR="00436976">
        <w:rPr>
          <w:b/>
        </w:rPr>
        <w:t xml:space="preserve"> Respondent</w:t>
      </w:r>
    </w:p>
    <w:p w:rsidR="00436976" w:rsidRDefault="00436976" w:rsidP="00436976">
      <w:pPr>
        <w:spacing w:line="360" w:lineRule="auto"/>
        <w:jc w:val="both"/>
      </w:pPr>
      <w:r>
        <w:t>And</w:t>
      </w:r>
    </w:p>
    <w:p w:rsidR="008D0792" w:rsidRDefault="00E568EF" w:rsidP="00436976">
      <w:pPr>
        <w:rPr>
          <w:b/>
        </w:rPr>
      </w:pPr>
      <w:r>
        <w:rPr>
          <w:b/>
        </w:rPr>
        <w:t>DZINGIRAYI DINGWIZA</w:t>
      </w:r>
      <w:r>
        <w:rPr>
          <w:b/>
        </w:rPr>
        <w:tab/>
      </w:r>
      <w:r w:rsidR="00436976">
        <w:rPr>
          <w:b/>
        </w:rPr>
        <w:tab/>
      </w:r>
      <w:r w:rsidR="00436976">
        <w:rPr>
          <w:b/>
        </w:rPr>
        <w:tab/>
      </w:r>
      <w:r w:rsidR="00436976">
        <w:rPr>
          <w:b/>
        </w:rPr>
        <w:tab/>
        <w:t>2</w:t>
      </w:r>
      <w:r w:rsidR="00436976" w:rsidRPr="00F85406">
        <w:rPr>
          <w:b/>
          <w:vertAlign w:val="superscript"/>
        </w:rPr>
        <w:t>nd</w:t>
      </w:r>
      <w:r w:rsidR="00436976">
        <w:rPr>
          <w:b/>
        </w:rPr>
        <w:t xml:space="preserve"> Respondent</w:t>
      </w:r>
    </w:p>
    <w:p w:rsidR="00B31DC0" w:rsidRDefault="00B31DC0" w:rsidP="00436976">
      <w:pPr>
        <w:rPr>
          <w:b/>
        </w:rPr>
      </w:pPr>
    </w:p>
    <w:p w:rsidR="00B31DC0" w:rsidRDefault="00B31DC0" w:rsidP="00436976">
      <w:pPr>
        <w:rPr>
          <w:b/>
        </w:rPr>
      </w:pPr>
    </w:p>
    <w:p w:rsidR="00B31DC0" w:rsidRDefault="00B31DC0" w:rsidP="00B31DC0">
      <w:pPr>
        <w:spacing w:line="360" w:lineRule="auto"/>
        <w:jc w:val="both"/>
      </w:pPr>
      <w:r>
        <w:t xml:space="preserve">Before Honourable L. Kudya, Judge </w:t>
      </w:r>
    </w:p>
    <w:p w:rsidR="00B31DC0" w:rsidRPr="00047C13" w:rsidRDefault="00B31DC0" w:rsidP="00B31DC0">
      <w:pPr>
        <w:jc w:val="both"/>
      </w:pPr>
      <w:r>
        <w:t xml:space="preserve">                            </w:t>
      </w:r>
    </w:p>
    <w:p w:rsidR="00B31DC0" w:rsidRPr="00047C13" w:rsidRDefault="00B31DC0" w:rsidP="00B31DC0">
      <w:pPr>
        <w:spacing w:line="360" w:lineRule="auto"/>
        <w:jc w:val="both"/>
        <w:rPr>
          <w:b/>
        </w:rPr>
      </w:pPr>
      <w:r>
        <w:rPr>
          <w:b/>
        </w:rPr>
        <w:t xml:space="preserve">For </w:t>
      </w:r>
      <w:r w:rsidRPr="00047C13">
        <w:rPr>
          <w:b/>
        </w:rPr>
        <w:t>App</w:t>
      </w:r>
      <w:r>
        <w:rPr>
          <w:b/>
        </w:rPr>
        <w:t>ellant</w:t>
      </w:r>
      <w:r>
        <w:rPr>
          <w:b/>
        </w:rPr>
        <w:tab/>
      </w:r>
      <w:r>
        <w:rPr>
          <w:b/>
        </w:rPr>
        <w:tab/>
        <w:t xml:space="preserve">P </w:t>
      </w:r>
      <w:r w:rsidR="00112E3F">
        <w:rPr>
          <w:b/>
        </w:rPr>
        <w:t>Chakasikwa (</w:t>
      </w:r>
      <w:r>
        <w:rPr>
          <w:b/>
        </w:rPr>
        <w:t>Legal Practitioner)</w:t>
      </w:r>
    </w:p>
    <w:p w:rsidR="00B31DC0" w:rsidRDefault="00B31DC0" w:rsidP="00B31DC0">
      <w:pPr>
        <w:spacing w:line="360" w:lineRule="auto"/>
        <w:ind w:left="2880" w:hanging="2880"/>
        <w:jc w:val="both"/>
        <w:rPr>
          <w:b/>
        </w:rPr>
      </w:pPr>
      <w:r>
        <w:rPr>
          <w:b/>
        </w:rPr>
        <w:t>For Respondent</w:t>
      </w:r>
      <w:r w:rsidR="00112E3F">
        <w:rPr>
          <w:b/>
        </w:rPr>
        <w:t>s</w:t>
      </w:r>
      <w:r>
        <w:rPr>
          <w:b/>
        </w:rPr>
        <w:tab/>
      </w:r>
      <w:r w:rsidR="00112E3F">
        <w:rPr>
          <w:b/>
        </w:rPr>
        <w:t>K. Gama (Legal Practitioner)</w:t>
      </w:r>
    </w:p>
    <w:p w:rsidR="00B31DC0" w:rsidRDefault="00B31DC0" w:rsidP="00B31DC0">
      <w:pPr>
        <w:jc w:val="both"/>
        <w:rPr>
          <w:b/>
        </w:rPr>
      </w:pPr>
    </w:p>
    <w:p w:rsidR="00B31DC0" w:rsidRPr="00047C13" w:rsidRDefault="00B31DC0" w:rsidP="00B31DC0">
      <w:pPr>
        <w:jc w:val="both"/>
        <w:rPr>
          <w:b/>
        </w:rPr>
      </w:pPr>
    </w:p>
    <w:p w:rsidR="00B31DC0" w:rsidRDefault="00B31DC0" w:rsidP="00B31DC0">
      <w:pPr>
        <w:spacing w:line="360" w:lineRule="auto"/>
        <w:jc w:val="both"/>
        <w:rPr>
          <w:b/>
        </w:rPr>
      </w:pPr>
      <w:r>
        <w:rPr>
          <w:b/>
        </w:rPr>
        <w:t>KUDYA, J:</w:t>
      </w:r>
    </w:p>
    <w:p w:rsidR="00B31DC0" w:rsidRDefault="00B31DC0" w:rsidP="00112E3F">
      <w:pPr>
        <w:spacing w:line="360" w:lineRule="auto"/>
        <w:jc w:val="both"/>
      </w:pPr>
    </w:p>
    <w:p w:rsidR="00112E3F" w:rsidRDefault="00112E3F" w:rsidP="00112E3F">
      <w:pPr>
        <w:spacing w:line="360" w:lineRule="auto"/>
        <w:jc w:val="both"/>
      </w:pPr>
      <w:r>
        <w:tab/>
      </w:r>
      <w:r w:rsidR="00C42E79">
        <w:t xml:space="preserve">This is an appeal against the arbitrator’s decision where she ruled that </w:t>
      </w:r>
      <w:r w:rsidR="005060B5">
        <w:t>appellant employer</w:t>
      </w:r>
      <w:r w:rsidR="005C369C">
        <w:t xml:space="preserve"> had </w:t>
      </w:r>
      <w:r w:rsidR="00C53ABA">
        <w:t>underpaid respondent’s</w:t>
      </w:r>
      <w:r w:rsidR="002D506F">
        <w:t xml:space="preserve"> employees</w:t>
      </w:r>
      <w:r w:rsidR="00C53ABA">
        <w:t>’</w:t>
      </w:r>
      <w:r w:rsidR="002D506F">
        <w:t xml:space="preserve"> gratuity when</w:t>
      </w:r>
      <w:r w:rsidR="00815DAC">
        <w:t xml:space="preserve"> it used the industry code calculations as opposed to the model contained in the employees’ </w:t>
      </w:r>
      <w:r w:rsidR="000C5E37">
        <w:t>handbook</w:t>
      </w:r>
      <w:r w:rsidR="00E57E37">
        <w:t xml:space="preserve"> forming part of the contract and which contained more favourable provisions.</w:t>
      </w:r>
    </w:p>
    <w:p w:rsidR="00E57E37" w:rsidRDefault="00E57E37" w:rsidP="006538F4">
      <w:pPr>
        <w:jc w:val="both"/>
      </w:pPr>
    </w:p>
    <w:p w:rsidR="005C7233" w:rsidRDefault="00E57E37" w:rsidP="004556A9">
      <w:pPr>
        <w:spacing w:line="360" w:lineRule="auto"/>
        <w:ind w:firstLine="720"/>
        <w:jc w:val="both"/>
      </w:pPr>
      <w:r>
        <w:t xml:space="preserve">The background to the matter is that the respondent employees who were in the appellant’s </w:t>
      </w:r>
      <w:r w:rsidR="006206C1">
        <w:t>employ</w:t>
      </w:r>
      <w:r w:rsidR="00CE3E84">
        <w:t xml:space="preserve"> had their contracts terminated by </w:t>
      </w:r>
      <w:proofErr w:type="spellStart"/>
      <w:r w:rsidR="006206C1">
        <w:t>e</w:t>
      </w:r>
      <w:r w:rsidR="00AD59E2">
        <w:t>fluxion</w:t>
      </w:r>
      <w:proofErr w:type="spellEnd"/>
      <w:r w:rsidR="00CE3E84">
        <w:t xml:space="preserve"> of time.</w:t>
      </w:r>
      <w:r w:rsidR="00AD59E2">
        <w:t xml:space="preserve">  Their contracts were to be read in conjunction with a </w:t>
      </w:r>
      <w:r w:rsidR="000C5E37">
        <w:t>handbook</w:t>
      </w:r>
      <w:r w:rsidR="005C25F3">
        <w:t xml:space="preserve"> which provided for amo</w:t>
      </w:r>
      <w:r w:rsidR="0078670E">
        <w:t>ng</w:t>
      </w:r>
      <w:r w:rsidR="005C25F3">
        <w:t xml:space="preserve"> other issues the provision or gratuity or severance upon the expiration the contract.  </w:t>
      </w:r>
    </w:p>
    <w:p w:rsidR="005C7233" w:rsidRDefault="005C7233" w:rsidP="005C7233">
      <w:pPr>
        <w:ind w:left="720" w:firstLine="720"/>
        <w:jc w:val="both"/>
      </w:pPr>
    </w:p>
    <w:p w:rsidR="00E57E37" w:rsidRDefault="005C25F3" w:rsidP="00E37865">
      <w:pPr>
        <w:spacing w:line="360" w:lineRule="auto"/>
        <w:ind w:firstLine="720"/>
        <w:jc w:val="both"/>
      </w:pPr>
      <w:r>
        <w:t>When the appellant paid the</w:t>
      </w:r>
      <w:r w:rsidR="005C7233">
        <w:t xml:space="preserve"> respondents their dues i</w:t>
      </w:r>
      <w:r w:rsidR="00FC687B">
        <w:t xml:space="preserve">t used the industry code formula of calculating gratuity instead of using the model contained on the workplace handbook.  This irked the employees and </w:t>
      </w:r>
      <w:r w:rsidR="009F4A72">
        <w:t xml:space="preserve">drove them to arbitration </w:t>
      </w:r>
      <w:r w:rsidR="007B79E0">
        <w:t xml:space="preserve">where </w:t>
      </w:r>
      <w:r w:rsidR="007B79E0">
        <w:lastRenderedPageBreak/>
        <w:t>the</w:t>
      </w:r>
      <w:r w:rsidR="009F4A72">
        <w:t xml:space="preserve"> arbitrator </w:t>
      </w:r>
      <w:r w:rsidR="00DA175A">
        <w:t>ruled i</w:t>
      </w:r>
      <w:r w:rsidR="007B79E0">
        <w:t xml:space="preserve">n their </w:t>
      </w:r>
      <w:proofErr w:type="spellStart"/>
      <w:r w:rsidR="007B79E0">
        <w:t>favour</w:t>
      </w:r>
      <w:proofErr w:type="spellEnd"/>
      <w:r w:rsidR="007B79E0">
        <w:t xml:space="preserve">.  The </w:t>
      </w:r>
      <w:r w:rsidR="00130A22">
        <w:t xml:space="preserve">employer was dissatisfied by the arbitral </w:t>
      </w:r>
      <w:r w:rsidR="003C1FDE">
        <w:t xml:space="preserve">award and </w:t>
      </w:r>
      <w:r w:rsidR="00E84F00">
        <w:t>decided to</w:t>
      </w:r>
      <w:r w:rsidR="003C1FDE">
        <w:t xml:space="preserve"> appeal to the Labour court, which appeal is the subject matter of this judgment</w:t>
      </w:r>
      <w:r w:rsidR="009A7D0B">
        <w:t>.  R</w:t>
      </w:r>
      <w:r w:rsidR="003C1FDE">
        <w:t xml:space="preserve">espondent employees in </w:t>
      </w:r>
      <w:r w:rsidR="00E84F00">
        <w:t>turn opposed the said appeal.</w:t>
      </w:r>
    </w:p>
    <w:p w:rsidR="004C3EB2" w:rsidRDefault="004C3EB2" w:rsidP="006538F4">
      <w:pPr>
        <w:ind w:firstLine="720"/>
        <w:jc w:val="both"/>
      </w:pPr>
    </w:p>
    <w:p w:rsidR="004C3EB2" w:rsidRDefault="004C3EB2" w:rsidP="00E84F00">
      <w:pPr>
        <w:spacing w:line="360" w:lineRule="auto"/>
        <w:ind w:firstLine="720"/>
        <w:jc w:val="both"/>
      </w:pPr>
      <w:r>
        <w:t>The appeal is based on these grounds:-</w:t>
      </w:r>
    </w:p>
    <w:p w:rsidR="004C3EB2" w:rsidRDefault="004C3EB2" w:rsidP="006538F4">
      <w:pPr>
        <w:jc w:val="both"/>
      </w:pPr>
    </w:p>
    <w:p w:rsidR="00452B70" w:rsidRPr="00F57C50" w:rsidRDefault="00452B70" w:rsidP="007D04A5">
      <w:pPr>
        <w:pStyle w:val="ListParagraph"/>
        <w:numPr>
          <w:ilvl w:val="0"/>
          <w:numId w:val="2"/>
        </w:numPr>
        <w:spacing w:line="276" w:lineRule="auto"/>
        <w:jc w:val="both"/>
        <w:rPr>
          <w:i/>
          <w:sz w:val="22"/>
          <w:szCs w:val="22"/>
        </w:rPr>
      </w:pPr>
      <w:r w:rsidRPr="00F57C50">
        <w:rPr>
          <w:i/>
          <w:sz w:val="22"/>
          <w:szCs w:val="22"/>
        </w:rPr>
        <w:t xml:space="preserve">Arbitrator grossly misdirected self to hold that employees were entitled to </w:t>
      </w:r>
      <w:r w:rsidR="001A75F0" w:rsidRPr="00F57C50">
        <w:rPr>
          <w:i/>
          <w:sz w:val="22"/>
          <w:szCs w:val="22"/>
        </w:rPr>
        <w:t>gratuity in terms of the employment handbook and contract yet the handbook did not provide for gratuity but instead payment of severance where contract terminated before expiry which was not the case in the matter at hand.</w:t>
      </w:r>
    </w:p>
    <w:p w:rsidR="001A75F0" w:rsidRPr="00F57C50" w:rsidRDefault="008B2288" w:rsidP="007D04A5">
      <w:pPr>
        <w:pStyle w:val="ListParagraph"/>
        <w:numPr>
          <w:ilvl w:val="0"/>
          <w:numId w:val="2"/>
        </w:numPr>
        <w:spacing w:line="276" w:lineRule="auto"/>
        <w:jc w:val="both"/>
        <w:rPr>
          <w:i/>
          <w:sz w:val="22"/>
          <w:szCs w:val="22"/>
        </w:rPr>
      </w:pPr>
      <w:r w:rsidRPr="00F57C50">
        <w:rPr>
          <w:i/>
          <w:sz w:val="22"/>
          <w:szCs w:val="22"/>
        </w:rPr>
        <w:t>Arbit</w:t>
      </w:r>
      <w:r w:rsidR="0084041B" w:rsidRPr="00F57C50">
        <w:rPr>
          <w:i/>
          <w:sz w:val="22"/>
          <w:szCs w:val="22"/>
        </w:rPr>
        <w:t>rator grossly misdirected self i</w:t>
      </w:r>
      <w:r w:rsidRPr="00F57C50">
        <w:rPr>
          <w:i/>
          <w:sz w:val="22"/>
          <w:szCs w:val="22"/>
        </w:rPr>
        <w:t xml:space="preserve">n concluding that the respondents were not aware of the charges made to their employment contracts and manual and such </w:t>
      </w:r>
      <w:proofErr w:type="gramStart"/>
      <w:r w:rsidRPr="00F57C50">
        <w:rPr>
          <w:i/>
          <w:sz w:val="22"/>
          <w:szCs w:val="22"/>
        </w:rPr>
        <w:t>a misdirection</w:t>
      </w:r>
      <w:proofErr w:type="gramEnd"/>
      <w:r w:rsidRPr="00F57C50">
        <w:rPr>
          <w:i/>
          <w:sz w:val="22"/>
          <w:szCs w:val="22"/>
        </w:rPr>
        <w:t xml:space="preserve"> was grossly unreasonable that it constituted a misdirection at law.</w:t>
      </w:r>
    </w:p>
    <w:p w:rsidR="008B2288" w:rsidRDefault="008B2288" w:rsidP="00424149">
      <w:pPr>
        <w:jc w:val="both"/>
      </w:pPr>
    </w:p>
    <w:p w:rsidR="008B2288" w:rsidRDefault="008B2288" w:rsidP="00A1362F">
      <w:pPr>
        <w:spacing w:line="360" w:lineRule="auto"/>
        <w:ind w:firstLine="720"/>
        <w:jc w:val="both"/>
      </w:pPr>
      <w:r>
        <w:t xml:space="preserve">In the result the appellant prayed that the appeal succeeds with costs and that the arbitral award be set aside and be substituted by an order that there was no underpayment by the employer and that the respondents are only </w:t>
      </w:r>
      <w:r w:rsidR="000309DC">
        <w:t>entitled</w:t>
      </w:r>
      <w:r>
        <w:t xml:space="preserve"> to gratuity as per the Industry Code.</w:t>
      </w:r>
    </w:p>
    <w:p w:rsidR="00A1362F" w:rsidRDefault="00A1362F" w:rsidP="00424149">
      <w:pPr>
        <w:ind w:firstLine="720"/>
        <w:jc w:val="both"/>
      </w:pPr>
    </w:p>
    <w:p w:rsidR="00A1362F" w:rsidRDefault="00A1362F" w:rsidP="00CA3589">
      <w:pPr>
        <w:spacing w:line="360" w:lineRule="auto"/>
        <w:jc w:val="both"/>
      </w:pPr>
      <w:r>
        <w:t>In response to the appeal the respondents maintained that:-</w:t>
      </w:r>
    </w:p>
    <w:p w:rsidR="00A1362F" w:rsidRDefault="00A1362F" w:rsidP="00424149">
      <w:pPr>
        <w:jc w:val="both"/>
      </w:pPr>
    </w:p>
    <w:p w:rsidR="00A1362F" w:rsidRPr="00F57C50" w:rsidRDefault="006F4524" w:rsidP="00F57C50">
      <w:pPr>
        <w:pStyle w:val="ListParagraph"/>
        <w:numPr>
          <w:ilvl w:val="0"/>
          <w:numId w:val="3"/>
        </w:numPr>
        <w:spacing w:line="276" w:lineRule="auto"/>
        <w:jc w:val="both"/>
        <w:rPr>
          <w:i/>
          <w:sz w:val="22"/>
          <w:szCs w:val="22"/>
        </w:rPr>
      </w:pPr>
      <w:r w:rsidRPr="00F57C50">
        <w:rPr>
          <w:i/>
          <w:sz w:val="22"/>
          <w:szCs w:val="22"/>
        </w:rPr>
        <w:t>Reference to the payment in the handbook as severance benefits does not</w:t>
      </w:r>
      <w:r w:rsidR="002E6674" w:rsidRPr="00F57C50">
        <w:rPr>
          <w:i/>
          <w:sz w:val="22"/>
          <w:szCs w:val="22"/>
        </w:rPr>
        <w:t xml:space="preserve"> alter the fact that it is a gratuity.  Even if it were styled severance amounts due and payable to respondents would not change.  The matter is therefore academic.  It is incorrect to state that severance only payable before </w:t>
      </w:r>
      <w:r w:rsidR="007E6A11" w:rsidRPr="00F57C50">
        <w:rPr>
          <w:i/>
          <w:sz w:val="22"/>
          <w:szCs w:val="22"/>
        </w:rPr>
        <w:t>expiry of contract.  Manual clauses</w:t>
      </w:r>
      <w:r w:rsidR="00586AB6" w:rsidRPr="00F57C50">
        <w:rPr>
          <w:i/>
          <w:sz w:val="22"/>
          <w:szCs w:val="22"/>
        </w:rPr>
        <w:t xml:space="preserve"> </w:t>
      </w:r>
      <w:r w:rsidR="00756C17" w:rsidRPr="00F57C50">
        <w:rPr>
          <w:i/>
          <w:sz w:val="22"/>
          <w:szCs w:val="22"/>
        </w:rPr>
        <w:t>demonstrate that such was not so see 6.5.3 and 6.5.5 of the manual.</w:t>
      </w:r>
    </w:p>
    <w:p w:rsidR="00756C17" w:rsidRPr="00F57C50" w:rsidRDefault="00756C17" w:rsidP="00F57C50">
      <w:pPr>
        <w:pStyle w:val="ListParagraph"/>
        <w:numPr>
          <w:ilvl w:val="0"/>
          <w:numId w:val="3"/>
        </w:numPr>
        <w:spacing w:line="276" w:lineRule="auto"/>
        <w:jc w:val="both"/>
        <w:rPr>
          <w:i/>
          <w:sz w:val="22"/>
          <w:szCs w:val="22"/>
        </w:rPr>
      </w:pPr>
      <w:r w:rsidRPr="00F57C50">
        <w:rPr>
          <w:i/>
          <w:sz w:val="22"/>
          <w:szCs w:val="22"/>
        </w:rPr>
        <w:t xml:space="preserve">Appellant </w:t>
      </w:r>
      <w:r w:rsidR="00E5573A" w:rsidRPr="00F57C50">
        <w:rPr>
          <w:i/>
          <w:sz w:val="22"/>
          <w:szCs w:val="22"/>
        </w:rPr>
        <w:t>failed</w:t>
      </w:r>
      <w:r w:rsidRPr="00F57C50">
        <w:rPr>
          <w:i/>
          <w:sz w:val="22"/>
          <w:szCs w:val="22"/>
        </w:rPr>
        <w:t xml:space="preserve"> to tender proof that it delivered to</w:t>
      </w:r>
      <w:r w:rsidR="00E5573A" w:rsidRPr="00F57C50">
        <w:rPr>
          <w:i/>
          <w:sz w:val="22"/>
          <w:szCs w:val="22"/>
        </w:rPr>
        <w:t xml:space="preserve"> the respondents the notices of the chan</w:t>
      </w:r>
      <w:r w:rsidR="00E02CC0" w:rsidRPr="00F57C50">
        <w:rPr>
          <w:i/>
          <w:sz w:val="22"/>
          <w:szCs w:val="22"/>
        </w:rPr>
        <w:t xml:space="preserve">ges to the handbook.  It would be outrageous to suggest that arbitrator should have found that such service was </w:t>
      </w:r>
      <w:proofErr w:type="gramStart"/>
      <w:r w:rsidR="00E02CC0" w:rsidRPr="00F57C50">
        <w:rPr>
          <w:i/>
          <w:sz w:val="22"/>
          <w:szCs w:val="22"/>
        </w:rPr>
        <w:t>effected</w:t>
      </w:r>
      <w:proofErr w:type="gramEnd"/>
      <w:r w:rsidR="00E02CC0" w:rsidRPr="00F57C50">
        <w:rPr>
          <w:i/>
          <w:sz w:val="22"/>
          <w:szCs w:val="22"/>
        </w:rPr>
        <w:t xml:space="preserve"> yet there was no evidence to that effect.  Besides</w:t>
      </w:r>
      <w:r w:rsidR="00E5573A" w:rsidRPr="00F57C50">
        <w:rPr>
          <w:i/>
          <w:sz w:val="22"/>
          <w:szCs w:val="22"/>
        </w:rPr>
        <w:t>,</w:t>
      </w:r>
      <w:r w:rsidR="00E02CC0" w:rsidRPr="00F57C50">
        <w:rPr>
          <w:i/>
          <w:sz w:val="22"/>
          <w:szCs w:val="22"/>
        </w:rPr>
        <w:t xml:space="preserve"> a contract </w:t>
      </w:r>
      <w:r w:rsidR="00A97CEB" w:rsidRPr="00F57C50">
        <w:rPr>
          <w:i/>
          <w:sz w:val="22"/>
          <w:szCs w:val="22"/>
        </w:rPr>
        <w:t>cannot be unilaterally varied.</w:t>
      </w:r>
    </w:p>
    <w:p w:rsidR="00F57C50" w:rsidRPr="00F57C50" w:rsidRDefault="00F57C50" w:rsidP="00F57C50">
      <w:pPr>
        <w:pStyle w:val="ListParagraph"/>
        <w:spacing w:line="276" w:lineRule="auto"/>
        <w:jc w:val="both"/>
        <w:rPr>
          <w:sz w:val="22"/>
          <w:szCs w:val="22"/>
        </w:rPr>
      </w:pPr>
    </w:p>
    <w:p w:rsidR="00A97CEB" w:rsidRDefault="00A97CEB" w:rsidP="00CA3589">
      <w:pPr>
        <w:spacing w:line="360" w:lineRule="auto"/>
        <w:jc w:val="both"/>
      </w:pPr>
      <w:r>
        <w:t>In the result the respondents prayed that the appeal be dismissed on an attorney and client scale for lack of merit.</w:t>
      </w:r>
    </w:p>
    <w:p w:rsidR="00A97CEB" w:rsidRDefault="00A97CEB" w:rsidP="00424149">
      <w:pPr>
        <w:ind w:left="360"/>
        <w:jc w:val="both"/>
      </w:pPr>
    </w:p>
    <w:p w:rsidR="00A97CEB" w:rsidRDefault="00A97CEB" w:rsidP="00CA3589">
      <w:pPr>
        <w:spacing w:line="360" w:lineRule="auto"/>
        <w:ind w:firstLine="720"/>
        <w:jc w:val="both"/>
      </w:pPr>
      <w:r>
        <w:t xml:space="preserve">Each of the appeal grounds will </w:t>
      </w:r>
      <w:r w:rsidR="00B74221">
        <w:t>be addressed below:-</w:t>
      </w:r>
    </w:p>
    <w:p w:rsidR="00B74221" w:rsidRDefault="00B74221" w:rsidP="00424149">
      <w:pPr>
        <w:ind w:left="360" w:firstLine="360"/>
        <w:jc w:val="both"/>
      </w:pPr>
    </w:p>
    <w:p w:rsidR="00B74221" w:rsidRDefault="00BF0D86" w:rsidP="00CA3589">
      <w:pPr>
        <w:spacing w:line="360" w:lineRule="auto"/>
        <w:ind w:firstLine="720"/>
        <w:jc w:val="both"/>
      </w:pPr>
      <w:r>
        <w:t>It i</w:t>
      </w:r>
      <w:r w:rsidR="00AA4962">
        <w:t xml:space="preserve">s noteworthy that the law is clear that the appellate court would only </w:t>
      </w:r>
      <w:r w:rsidR="00927FF9">
        <w:t xml:space="preserve">interfer with factual findings of the tribunal below on exceptional cases.  The case of </w:t>
      </w:r>
      <w:proofErr w:type="spellStart"/>
      <w:r w:rsidR="00927FF9" w:rsidRPr="00424149">
        <w:rPr>
          <w:i/>
        </w:rPr>
        <w:t>Nyahondo</w:t>
      </w:r>
      <w:proofErr w:type="spellEnd"/>
      <w:r w:rsidR="00927FF9">
        <w:t xml:space="preserve"> v </w:t>
      </w:r>
      <w:proofErr w:type="spellStart"/>
      <w:r w:rsidR="00927FF9" w:rsidRPr="00424149">
        <w:rPr>
          <w:i/>
        </w:rPr>
        <w:t>Hokonya</w:t>
      </w:r>
      <w:proofErr w:type="spellEnd"/>
      <w:r w:rsidR="00927FF9">
        <w:t xml:space="preserve"> </w:t>
      </w:r>
      <w:r w:rsidR="009B398C">
        <w:t>1</w:t>
      </w:r>
      <w:r w:rsidR="00074061">
        <w:t xml:space="preserve">997 (2) ZLR 475 (SC) </w:t>
      </w:r>
      <w:r w:rsidR="00927FF9">
        <w:t>is instructive in this regard.</w:t>
      </w:r>
      <w:r w:rsidR="0078119A">
        <w:t xml:space="preserve"> Bes</w:t>
      </w:r>
      <w:r w:rsidR="00507AD3">
        <w:t xml:space="preserve">ides, </w:t>
      </w:r>
      <w:r w:rsidR="007613B1">
        <w:lastRenderedPageBreak/>
        <w:t>appeals from arbitration</w:t>
      </w:r>
      <w:r w:rsidR="0078119A">
        <w:t xml:space="preserve"> are primarily on points of law and not fact except </w:t>
      </w:r>
      <w:r w:rsidR="0086786A">
        <w:t xml:space="preserve">when the factual conclusions be styled </w:t>
      </w:r>
      <w:r w:rsidR="009B398C">
        <w:t>outrageous</w:t>
      </w:r>
      <w:r w:rsidR="0086786A">
        <w:t xml:space="preserve"> see </w:t>
      </w:r>
      <w:r w:rsidR="0086786A" w:rsidRPr="00424149">
        <w:rPr>
          <w:i/>
        </w:rPr>
        <w:t xml:space="preserve">Hama </w:t>
      </w:r>
      <w:r w:rsidR="0086786A">
        <w:t xml:space="preserve">v </w:t>
      </w:r>
      <w:r w:rsidR="0086786A" w:rsidRPr="00424149">
        <w:rPr>
          <w:i/>
        </w:rPr>
        <w:t>NRZ</w:t>
      </w:r>
      <w:r w:rsidR="009B398C">
        <w:t xml:space="preserve"> 1996 (1) ZLR 664 (SC)</w:t>
      </w:r>
    </w:p>
    <w:p w:rsidR="00CA3589" w:rsidRDefault="00CA3589" w:rsidP="00CA3589">
      <w:pPr>
        <w:spacing w:line="360" w:lineRule="auto"/>
        <w:ind w:firstLine="720"/>
        <w:jc w:val="both"/>
      </w:pPr>
    </w:p>
    <w:p w:rsidR="00CA3589" w:rsidRPr="00424149" w:rsidRDefault="00CA3589" w:rsidP="00CA3589">
      <w:pPr>
        <w:spacing w:line="360" w:lineRule="auto"/>
        <w:ind w:firstLine="720"/>
        <w:jc w:val="both"/>
        <w:rPr>
          <w:u w:val="single"/>
        </w:rPr>
      </w:pPr>
      <w:r w:rsidRPr="00424149">
        <w:rPr>
          <w:u w:val="single"/>
        </w:rPr>
        <w:t>Ground 1</w:t>
      </w:r>
    </w:p>
    <w:p w:rsidR="00CA3589" w:rsidRDefault="00CA3589" w:rsidP="00424149">
      <w:pPr>
        <w:ind w:firstLine="720"/>
        <w:jc w:val="both"/>
      </w:pPr>
    </w:p>
    <w:p w:rsidR="00CA3589" w:rsidRDefault="00CA3589" w:rsidP="00CA3589">
      <w:pPr>
        <w:spacing w:line="360" w:lineRule="auto"/>
        <w:ind w:firstLine="720"/>
        <w:jc w:val="both"/>
      </w:pPr>
      <w:r>
        <w:t>A reading of the oral submissions</w:t>
      </w:r>
      <w:r w:rsidR="00AA084C">
        <w:t xml:space="preserve"> </w:t>
      </w:r>
      <w:r w:rsidR="001E506B">
        <w:t>by the parties</w:t>
      </w:r>
      <w:r w:rsidR="00C93D9A">
        <w:t>,</w:t>
      </w:r>
      <w:r w:rsidR="001E506B">
        <w:t xml:space="preserve"> the </w:t>
      </w:r>
      <w:r w:rsidR="003A2AB9">
        <w:t>parties</w:t>
      </w:r>
      <w:r w:rsidR="00C93D9A">
        <w:t xml:space="preserve">’ </w:t>
      </w:r>
      <w:r w:rsidR="003A2AB9">
        <w:t>heads</w:t>
      </w:r>
      <w:r w:rsidR="001E506B">
        <w:t xml:space="preserve"> of argument and the arbitral award together with the cuttings from the handbook speak to one irrefutable fact that the use of the terms gratuity and severance could be </w:t>
      </w:r>
      <w:r w:rsidR="00C93D9A">
        <w:t>interchanged.  W</w:t>
      </w:r>
      <w:r w:rsidR="00A11D86">
        <w:t xml:space="preserve">hat was </w:t>
      </w:r>
      <w:proofErr w:type="spellStart"/>
      <w:r w:rsidR="00A11D86">
        <w:t>categoric</w:t>
      </w:r>
      <w:proofErr w:type="spellEnd"/>
      <w:r w:rsidR="006B2C55">
        <w:t xml:space="preserve"> was that such payment was however not due to a person whose </w:t>
      </w:r>
      <w:r w:rsidR="00A62D65">
        <w:t>contract ha</w:t>
      </w:r>
      <w:r w:rsidR="006B2C55">
        <w:t>d been</w:t>
      </w:r>
      <w:r w:rsidR="003A2AB9">
        <w:t xml:space="preserve"> terminated due to </w:t>
      </w:r>
      <w:r w:rsidR="003C4EF9">
        <w:t>misconduct</w:t>
      </w:r>
      <w:r w:rsidR="00A62D65">
        <w:t>.  S</w:t>
      </w:r>
      <w:r w:rsidR="003C4EF9">
        <w:t>ee 6.5.3 of the handbook.  The court is therefore not persuaded that</w:t>
      </w:r>
      <w:r w:rsidR="006A0152">
        <w:t xml:space="preserve"> the arbitrator erred to conclude as he did that the respondents had to be paid as per the handbook.  The ground therefore lacking in merit should fail.</w:t>
      </w:r>
    </w:p>
    <w:p w:rsidR="006A0152" w:rsidRDefault="006A0152" w:rsidP="00CA3589">
      <w:pPr>
        <w:spacing w:line="360" w:lineRule="auto"/>
        <w:ind w:firstLine="720"/>
        <w:jc w:val="both"/>
      </w:pPr>
    </w:p>
    <w:p w:rsidR="006A0152" w:rsidRPr="00424149" w:rsidRDefault="006A0152" w:rsidP="00CA3589">
      <w:pPr>
        <w:spacing w:line="360" w:lineRule="auto"/>
        <w:ind w:firstLine="720"/>
        <w:jc w:val="both"/>
        <w:rPr>
          <w:u w:val="single"/>
        </w:rPr>
      </w:pPr>
      <w:r w:rsidRPr="00424149">
        <w:rPr>
          <w:u w:val="single"/>
        </w:rPr>
        <w:t>Ground 2</w:t>
      </w:r>
    </w:p>
    <w:p w:rsidR="006A0152" w:rsidRDefault="006A0152" w:rsidP="00424149">
      <w:pPr>
        <w:ind w:firstLine="720"/>
        <w:jc w:val="both"/>
      </w:pPr>
    </w:p>
    <w:p w:rsidR="00086CD4" w:rsidRDefault="006A0152" w:rsidP="00CA3589">
      <w:pPr>
        <w:spacing w:line="360" w:lineRule="auto"/>
        <w:ind w:firstLine="720"/>
        <w:jc w:val="both"/>
      </w:pPr>
      <w:r>
        <w:t>As rega</w:t>
      </w:r>
      <w:r w:rsidR="001054C1">
        <w:t xml:space="preserve">rds the issue of the </w:t>
      </w:r>
      <w:r w:rsidR="00A0275D">
        <w:t>communication of</w:t>
      </w:r>
      <w:r w:rsidR="001054C1">
        <w:t xml:space="preserve"> the amendment it need be noted that this is patently a factual issue.  Facts of the matter as presented to the arbitrator failed to demonstrate clearly to him the fact that</w:t>
      </w:r>
      <w:r w:rsidR="00EE14BB">
        <w:t xml:space="preserve"> the communication which the employer claimed got to the employee indeed got to them.  There were a number of variables that emanated</w:t>
      </w:r>
      <w:r w:rsidR="00A0275D">
        <w:t xml:space="preserve"> from the evidence on</w:t>
      </w:r>
      <w:r w:rsidR="00F65AE2">
        <w:t xml:space="preserve"> that note </w:t>
      </w:r>
      <w:r w:rsidR="00E73CDF">
        <w:t>one</w:t>
      </w:r>
      <w:r w:rsidR="00275234">
        <w:t xml:space="preserve"> being that the </w:t>
      </w:r>
      <w:r w:rsidR="00E73CDF">
        <w:t>loan information</w:t>
      </w:r>
      <w:r w:rsidR="00275234">
        <w:t xml:space="preserve"> could have been </w:t>
      </w:r>
      <w:r w:rsidR="00E73CDF">
        <w:t>gotten</w:t>
      </w:r>
      <w:r w:rsidR="00275234">
        <w:t xml:space="preserve"> from </w:t>
      </w:r>
      <w:r w:rsidR="00086CD4">
        <w:t>colleagues.</w:t>
      </w:r>
      <w:r w:rsidR="00D849FB">
        <w:t xml:space="preserve"> </w:t>
      </w:r>
    </w:p>
    <w:p w:rsidR="00086CD4" w:rsidRDefault="00086CD4" w:rsidP="00086CD4">
      <w:pPr>
        <w:ind w:firstLine="720"/>
        <w:jc w:val="both"/>
      </w:pPr>
    </w:p>
    <w:p w:rsidR="006A0152" w:rsidRDefault="00086CD4" w:rsidP="00CA3589">
      <w:pPr>
        <w:spacing w:line="360" w:lineRule="auto"/>
        <w:ind w:firstLine="720"/>
        <w:jc w:val="both"/>
      </w:pPr>
      <w:r>
        <w:t>W</w:t>
      </w:r>
      <w:r w:rsidR="00D849FB">
        <w:t xml:space="preserve">hat is clear is that on the basis of what was presented before the arbitrator the court </w:t>
      </w:r>
      <w:r>
        <w:t>has no cogent basis for faulting t</w:t>
      </w:r>
      <w:r w:rsidR="00D849FB">
        <w:t>he arbitral findings.  In the result the court is not persuaded that a good case on appeal</w:t>
      </w:r>
      <w:r w:rsidR="00322662">
        <w:t xml:space="preserve"> has been made out by</w:t>
      </w:r>
      <w:r w:rsidR="00ED4601">
        <w:t xml:space="preserve"> the appellant on account of this</w:t>
      </w:r>
      <w:r w:rsidR="00322662">
        <w:t xml:space="preserve"> ground.  The ground should </w:t>
      </w:r>
      <w:r w:rsidR="00ED4601">
        <w:t>therefore</w:t>
      </w:r>
      <w:r w:rsidR="00322662">
        <w:t xml:space="preserve"> fail.</w:t>
      </w:r>
    </w:p>
    <w:p w:rsidR="00322662" w:rsidRDefault="00322662" w:rsidP="00424149">
      <w:pPr>
        <w:ind w:firstLine="720"/>
        <w:jc w:val="both"/>
      </w:pPr>
    </w:p>
    <w:p w:rsidR="00322662" w:rsidRDefault="00322662" w:rsidP="00CA3589">
      <w:pPr>
        <w:spacing w:line="360" w:lineRule="auto"/>
        <w:ind w:firstLine="720"/>
        <w:jc w:val="both"/>
      </w:pPr>
      <w:r>
        <w:t xml:space="preserve">As regards costs there </w:t>
      </w:r>
      <w:r w:rsidR="000B5D57">
        <w:t xml:space="preserve">is nothing </w:t>
      </w:r>
      <w:r w:rsidR="0037231F">
        <w:t xml:space="preserve">which was placed </w:t>
      </w:r>
      <w:r w:rsidR="000B5D57">
        <w:t xml:space="preserve">on record to justify punitive costs and court is not persuaded that a </w:t>
      </w:r>
      <w:r w:rsidR="00AF013A">
        <w:t xml:space="preserve">punitive order is called </w:t>
      </w:r>
      <w:r w:rsidR="00887DC7">
        <w:t>for</w:t>
      </w:r>
      <w:r w:rsidR="00AF013A">
        <w:t>.</w:t>
      </w:r>
    </w:p>
    <w:p w:rsidR="00887DC7" w:rsidRDefault="00887DC7" w:rsidP="00887DC7">
      <w:pPr>
        <w:jc w:val="both"/>
      </w:pPr>
    </w:p>
    <w:p w:rsidR="00887DC7" w:rsidRDefault="00887DC7" w:rsidP="00887DC7">
      <w:pPr>
        <w:jc w:val="both"/>
      </w:pPr>
    </w:p>
    <w:p w:rsidR="00887DC7" w:rsidRDefault="00887DC7" w:rsidP="00887DC7">
      <w:pPr>
        <w:jc w:val="both"/>
      </w:pPr>
    </w:p>
    <w:p w:rsidR="00887DC7" w:rsidRDefault="00887DC7" w:rsidP="00887DC7">
      <w:pPr>
        <w:jc w:val="both"/>
      </w:pPr>
    </w:p>
    <w:p w:rsidR="00887DC7" w:rsidRDefault="00887DC7" w:rsidP="00887DC7">
      <w:pPr>
        <w:jc w:val="both"/>
      </w:pPr>
    </w:p>
    <w:p w:rsidR="00AF013A" w:rsidRPr="00424149" w:rsidRDefault="00AF013A" w:rsidP="00AF013A">
      <w:pPr>
        <w:spacing w:line="360" w:lineRule="auto"/>
        <w:jc w:val="both"/>
        <w:rPr>
          <w:b/>
        </w:rPr>
      </w:pPr>
      <w:r w:rsidRPr="00424149">
        <w:rPr>
          <w:b/>
        </w:rPr>
        <w:lastRenderedPageBreak/>
        <w:t>IT IS ORDERED THAT</w:t>
      </w:r>
    </w:p>
    <w:p w:rsidR="00AF013A" w:rsidRDefault="00AF013A" w:rsidP="00424149">
      <w:pPr>
        <w:jc w:val="both"/>
      </w:pPr>
    </w:p>
    <w:p w:rsidR="00EA0E46" w:rsidRDefault="00AF013A" w:rsidP="00AF013A">
      <w:pPr>
        <w:spacing w:line="360" w:lineRule="auto"/>
        <w:jc w:val="both"/>
      </w:pPr>
      <w:r>
        <w:t xml:space="preserve">Appeal being devoid of merit in its entirely </w:t>
      </w:r>
      <w:r w:rsidR="00EA0E46">
        <w:t>it be and is hereby dismissed with costs on the normal scale.</w:t>
      </w:r>
    </w:p>
    <w:p w:rsidR="00AF013A" w:rsidRDefault="00EA0E46" w:rsidP="00AF013A">
      <w:pPr>
        <w:spacing w:line="360" w:lineRule="auto"/>
        <w:jc w:val="both"/>
      </w:pPr>
      <w:r>
        <w:t>The arbitrator</w:t>
      </w:r>
      <w:r w:rsidR="00424149">
        <w:t>’s award is to stand.</w:t>
      </w:r>
      <w:r>
        <w:t xml:space="preserve"> </w:t>
      </w:r>
    </w:p>
    <w:p w:rsidR="00B0505E" w:rsidRDefault="00B0505E" w:rsidP="00AF013A">
      <w:pPr>
        <w:spacing w:line="360" w:lineRule="auto"/>
        <w:jc w:val="both"/>
      </w:pPr>
    </w:p>
    <w:p w:rsidR="00B0505E" w:rsidRDefault="00B0505E" w:rsidP="00AF013A">
      <w:pPr>
        <w:spacing w:line="360" w:lineRule="auto"/>
        <w:jc w:val="both"/>
      </w:pPr>
      <w:bookmarkStart w:id="0" w:name="_GoBack"/>
      <w:bookmarkEnd w:id="0"/>
    </w:p>
    <w:p w:rsidR="00B0505E" w:rsidRDefault="00B0505E" w:rsidP="00AF013A">
      <w:pPr>
        <w:spacing w:line="360" w:lineRule="auto"/>
        <w:jc w:val="both"/>
      </w:pPr>
      <w:r w:rsidRPr="00B0505E">
        <w:rPr>
          <w:i/>
        </w:rPr>
        <w:t xml:space="preserve">Kantor &amp; </w:t>
      </w:r>
      <w:proofErr w:type="spellStart"/>
      <w:r w:rsidRPr="00B0505E">
        <w:rPr>
          <w:i/>
        </w:rPr>
        <w:t>Immerman</w:t>
      </w:r>
      <w:proofErr w:type="spellEnd"/>
      <w:r>
        <w:t>, appellant’s legal practitioners</w:t>
      </w:r>
    </w:p>
    <w:p w:rsidR="00001D4C" w:rsidRPr="00001D4C" w:rsidRDefault="00001D4C" w:rsidP="00AF013A">
      <w:pPr>
        <w:spacing w:line="360" w:lineRule="auto"/>
        <w:jc w:val="both"/>
      </w:pPr>
      <w:r w:rsidRPr="00001D4C">
        <w:rPr>
          <w:i/>
        </w:rPr>
        <w:t>Gama &amp; Partners</w:t>
      </w:r>
      <w:r w:rsidRPr="00001D4C">
        <w:t>,</w:t>
      </w:r>
      <w:r>
        <w:rPr>
          <w:i/>
        </w:rPr>
        <w:t xml:space="preserve"> </w:t>
      </w:r>
      <w:r>
        <w:t>respondent’s legal practitioners</w:t>
      </w:r>
    </w:p>
    <w:p w:rsidR="00CA3589" w:rsidRDefault="00CA3589" w:rsidP="00B74221">
      <w:pPr>
        <w:spacing w:line="360" w:lineRule="auto"/>
        <w:ind w:left="360" w:firstLine="360"/>
        <w:jc w:val="both"/>
      </w:pPr>
      <w:r>
        <w:tab/>
      </w:r>
    </w:p>
    <w:p w:rsidR="0086786A" w:rsidRDefault="0086786A" w:rsidP="00B74221">
      <w:pPr>
        <w:spacing w:line="360" w:lineRule="auto"/>
        <w:ind w:left="360" w:firstLine="360"/>
        <w:jc w:val="both"/>
      </w:pPr>
    </w:p>
    <w:p w:rsidR="0086786A" w:rsidRDefault="0086786A" w:rsidP="00B74221">
      <w:pPr>
        <w:spacing w:line="360" w:lineRule="auto"/>
        <w:ind w:left="360" w:firstLine="360"/>
        <w:jc w:val="both"/>
      </w:pPr>
    </w:p>
    <w:sectPr w:rsidR="0086786A" w:rsidSect="00CE552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B1" w:rsidRDefault="008029B1" w:rsidP="00EC0824">
      <w:r>
        <w:separator/>
      </w:r>
    </w:p>
  </w:endnote>
  <w:endnote w:type="continuationSeparator" w:id="0">
    <w:p w:rsidR="008029B1" w:rsidRDefault="008029B1" w:rsidP="00EC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302164"/>
      <w:docPartObj>
        <w:docPartGallery w:val="Page Numbers (Bottom of Page)"/>
        <w:docPartUnique/>
      </w:docPartObj>
    </w:sdtPr>
    <w:sdtEndPr>
      <w:rPr>
        <w:noProof/>
      </w:rPr>
    </w:sdtEndPr>
    <w:sdtContent>
      <w:p w:rsidR="00114DEF" w:rsidRDefault="00114DEF">
        <w:pPr>
          <w:pStyle w:val="Footer"/>
          <w:jc w:val="center"/>
        </w:pPr>
        <w:r>
          <w:fldChar w:fldCharType="begin"/>
        </w:r>
        <w:r>
          <w:instrText xml:space="preserve"> PAGE   \* MERGEFORMAT </w:instrText>
        </w:r>
        <w:r>
          <w:fldChar w:fldCharType="separate"/>
        </w:r>
        <w:r w:rsidR="00001D4C">
          <w:rPr>
            <w:noProof/>
          </w:rPr>
          <w:t>4</w:t>
        </w:r>
        <w:r>
          <w:rPr>
            <w:noProof/>
          </w:rPr>
          <w:fldChar w:fldCharType="end"/>
        </w:r>
      </w:p>
    </w:sdtContent>
  </w:sdt>
  <w:p w:rsidR="00114DEF" w:rsidRDefault="00114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B1" w:rsidRDefault="008029B1" w:rsidP="00EC0824">
      <w:r>
        <w:separator/>
      </w:r>
    </w:p>
  </w:footnote>
  <w:footnote w:type="continuationSeparator" w:id="0">
    <w:p w:rsidR="008029B1" w:rsidRDefault="008029B1" w:rsidP="00EC0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24" w:rsidRPr="00EC0824" w:rsidRDefault="00CE552E">
    <w:pPr>
      <w:pStyle w:val="Header"/>
      <w:rPr>
        <w:lang w:val="en-ZW"/>
      </w:rPr>
    </w:pPr>
    <w:r>
      <w:rPr>
        <w:lang w:val="en-ZW"/>
      </w:rPr>
      <w:tab/>
    </w:r>
    <w:r>
      <w:rPr>
        <w:lang w:val="en-ZW"/>
      </w:rPr>
      <w:tab/>
    </w:r>
    <w:r w:rsidR="00EC0824">
      <w:rPr>
        <w:lang w:val="en-ZW"/>
      </w:rPr>
      <w:t xml:space="preserve">JUDGMENT NO. </w:t>
    </w:r>
    <w:r>
      <w:rPr>
        <w:lang w:val="en-ZW"/>
      </w:rPr>
      <w:t>LC/H/</w:t>
    </w:r>
    <w:r w:rsidR="00961D4D">
      <w:rPr>
        <w:lang w:val="en-ZW"/>
      </w:rPr>
      <w:t>154</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0395F"/>
    <w:multiLevelType w:val="hybridMultilevel"/>
    <w:tmpl w:val="59B299F4"/>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A8A2371"/>
    <w:multiLevelType w:val="hybridMultilevel"/>
    <w:tmpl w:val="CD026144"/>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3165A4D"/>
    <w:multiLevelType w:val="hybridMultilevel"/>
    <w:tmpl w:val="29E249CA"/>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76"/>
    <w:rsid w:val="00001D4C"/>
    <w:rsid w:val="000309DC"/>
    <w:rsid w:val="00074061"/>
    <w:rsid w:val="00086CD4"/>
    <w:rsid w:val="000B5D57"/>
    <w:rsid w:val="000C5E37"/>
    <w:rsid w:val="001054C1"/>
    <w:rsid w:val="00112E3F"/>
    <w:rsid w:val="00114DEF"/>
    <w:rsid w:val="00130A22"/>
    <w:rsid w:val="001A75F0"/>
    <w:rsid w:val="001E506B"/>
    <w:rsid w:val="002549D4"/>
    <w:rsid w:val="00275234"/>
    <w:rsid w:val="002D506F"/>
    <w:rsid w:val="002E6674"/>
    <w:rsid w:val="00322662"/>
    <w:rsid w:val="0037231F"/>
    <w:rsid w:val="003A2AB9"/>
    <w:rsid w:val="003C1FDE"/>
    <w:rsid w:val="003C4EF9"/>
    <w:rsid w:val="00424149"/>
    <w:rsid w:val="00436976"/>
    <w:rsid w:val="00452B70"/>
    <w:rsid w:val="004556A9"/>
    <w:rsid w:val="004C3EB2"/>
    <w:rsid w:val="004E272F"/>
    <w:rsid w:val="005060B5"/>
    <w:rsid w:val="00507AD3"/>
    <w:rsid w:val="005378D9"/>
    <w:rsid w:val="00586AB6"/>
    <w:rsid w:val="005C25F3"/>
    <w:rsid w:val="005C369C"/>
    <w:rsid w:val="005C7233"/>
    <w:rsid w:val="006206C1"/>
    <w:rsid w:val="006538F4"/>
    <w:rsid w:val="006A0152"/>
    <w:rsid w:val="006B2C55"/>
    <w:rsid w:val="006F4524"/>
    <w:rsid w:val="00756C17"/>
    <w:rsid w:val="007613B1"/>
    <w:rsid w:val="0078119A"/>
    <w:rsid w:val="0078670E"/>
    <w:rsid w:val="007B79E0"/>
    <w:rsid w:val="007D04A5"/>
    <w:rsid w:val="007E6A11"/>
    <w:rsid w:val="008029B1"/>
    <w:rsid w:val="00815DAC"/>
    <w:rsid w:val="0084041B"/>
    <w:rsid w:val="0086786A"/>
    <w:rsid w:val="00887DC7"/>
    <w:rsid w:val="008B2288"/>
    <w:rsid w:val="008D0792"/>
    <w:rsid w:val="00927FF9"/>
    <w:rsid w:val="00961D4D"/>
    <w:rsid w:val="009A7D0B"/>
    <w:rsid w:val="009B398C"/>
    <w:rsid w:val="009F4A72"/>
    <w:rsid w:val="00A0275D"/>
    <w:rsid w:val="00A11D86"/>
    <w:rsid w:val="00A1362F"/>
    <w:rsid w:val="00A62D65"/>
    <w:rsid w:val="00A649BB"/>
    <w:rsid w:val="00A97CEB"/>
    <w:rsid w:val="00AA084C"/>
    <w:rsid w:val="00AA4962"/>
    <w:rsid w:val="00AD59E2"/>
    <w:rsid w:val="00AF013A"/>
    <w:rsid w:val="00B03EAD"/>
    <w:rsid w:val="00B0505E"/>
    <w:rsid w:val="00B31DC0"/>
    <w:rsid w:val="00B677D4"/>
    <w:rsid w:val="00B74221"/>
    <w:rsid w:val="00BF0D86"/>
    <w:rsid w:val="00C42E79"/>
    <w:rsid w:val="00C53ABA"/>
    <w:rsid w:val="00C93D9A"/>
    <w:rsid w:val="00CA3589"/>
    <w:rsid w:val="00CE3E84"/>
    <w:rsid w:val="00CE552E"/>
    <w:rsid w:val="00D849FB"/>
    <w:rsid w:val="00DA175A"/>
    <w:rsid w:val="00E02CC0"/>
    <w:rsid w:val="00E30CF0"/>
    <w:rsid w:val="00E37865"/>
    <w:rsid w:val="00E5573A"/>
    <w:rsid w:val="00E568EF"/>
    <w:rsid w:val="00E57E37"/>
    <w:rsid w:val="00E73CDF"/>
    <w:rsid w:val="00E84F00"/>
    <w:rsid w:val="00EA0E46"/>
    <w:rsid w:val="00EC0824"/>
    <w:rsid w:val="00ED4601"/>
    <w:rsid w:val="00EE14BB"/>
    <w:rsid w:val="00F57C50"/>
    <w:rsid w:val="00F65AE2"/>
    <w:rsid w:val="00FC68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7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824"/>
    <w:pPr>
      <w:tabs>
        <w:tab w:val="center" w:pos="4513"/>
        <w:tab w:val="right" w:pos="9026"/>
      </w:tabs>
    </w:pPr>
  </w:style>
  <w:style w:type="character" w:customStyle="1" w:styleId="HeaderChar">
    <w:name w:val="Header Char"/>
    <w:basedOn w:val="DefaultParagraphFont"/>
    <w:link w:val="Header"/>
    <w:uiPriority w:val="99"/>
    <w:rsid w:val="00EC0824"/>
    <w:rPr>
      <w:rFonts w:ascii="Tahoma" w:eastAsia="Times New Roman" w:hAnsi="Tahoma" w:cs="Times New Roman"/>
      <w:sz w:val="24"/>
      <w:szCs w:val="24"/>
      <w:lang w:val="en-US"/>
    </w:rPr>
  </w:style>
  <w:style w:type="paragraph" w:styleId="Footer">
    <w:name w:val="footer"/>
    <w:basedOn w:val="Normal"/>
    <w:link w:val="FooterChar"/>
    <w:uiPriority w:val="99"/>
    <w:unhideWhenUsed/>
    <w:rsid w:val="00EC0824"/>
    <w:pPr>
      <w:tabs>
        <w:tab w:val="center" w:pos="4513"/>
        <w:tab w:val="right" w:pos="9026"/>
      </w:tabs>
    </w:pPr>
  </w:style>
  <w:style w:type="character" w:customStyle="1" w:styleId="FooterChar">
    <w:name w:val="Footer Char"/>
    <w:basedOn w:val="DefaultParagraphFont"/>
    <w:link w:val="Footer"/>
    <w:uiPriority w:val="99"/>
    <w:rsid w:val="00EC0824"/>
    <w:rPr>
      <w:rFonts w:ascii="Tahoma" w:eastAsia="Times New Roman" w:hAnsi="Tahoma" w:cs="Times New Roman"/>
      <w:sz w:val="24"/>
      <w:szCs w:val="24"/>
      <w:lang w:val="en-US"/>
    </w:rPr>
  </w:style>
  <w:style w:type="paragraph" w:styleId="ListParagraph">
    <w:name w:val="List Paragraph"/>
    <w:basedOn w:val="Normal"/>
    <w:uiPriority w:val="34"/>
    <w:qFormat/>
    <w:rsid w:val="00452B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7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824"/>
    <w:pPr>
      <w:tabs>
        <w:tab w:val="center" w:pos="4513"/>
        <w:tab w:val="right" w:pos="9026"/>
      </w:tabs>
    </w:pPr>
  </w:style>
  <w:style w:type="character" w:customStyle="1" w:styleId="HeaderChar">
    <w:name w:val="Header Char"/>
    <w:basedOn w:val="DefaultParagraphFont"/>
    <w:link w:val="Header"/>
    <w:uiPriority w:val="99"/>
    <w:rsid w:val="00EC0824"/>
    <w:rPr>
      <w:rFonts w:ascii="Tahoma" w:eastAsia="Times New Roman" w:hAnsi="Tahoma" w:cs="Times New Roman"/>
      <w:sz w:val="24"/>
      <w:szCs w:val="24"/>
      <w:lang w:val="en-US"/>
    </w:rPr>
  </w:style>
  <w:style w:type="paragraph" w:styleId="Footer">
    <w:name w:val="footer"/>
    <w:basedOn w:val="Normal"/>
    <w:link w:val="FooterChar"/>
    <w:uiPriority w:val="99"/>
    <w:unhideWhenUsed/>
    <w:rsid w:val="00EC0824"/>
    <w:pPr>
      <w:tabs>
        <w:tab w:val="center" w:pos="4513"/>
        <w:tab w:val="right" w:pos="9026"/>
      </w:tabs>
    </w:pPr>
  </w:style>
  <w:style w:type="character" w:customStyle="1" w:styleId="FooterChar">
    <w:name w:val="Footer Char"/>
    <w:basedOn w:val="DefaultParagraphFont"/>
    <w:link w:val="Footer"/>
    <w:uiPriority w:val="99"/>
    <w:rsid w:val="00EC0824"/>
    <w:rPr>
      <w:rFonts w:ascii="Tahoma" w:eastAsia="Times New Roman" w:hAnsi="Tahoma" w:cs="Times New Roman"/>
      <w:sz w:val="24"/>
      <w:szCs w:val="24"/>
      <w:lang w:val="en-US"/>
    </w:rPr>
  </w:style>
  <w:style w:type="paragraph" w:styleId="ListParagraph">
    <w:name w:val="List Paragraph"/>
    <w:basedOn w:val="Normal"/>
    <w:uiPriority w:val="34"/>
    <w:qFormat/>
    <w:rsid w:val="00452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44</cp:revision>
  <dcterms:created xsi:type="dcterms:W3CDTF">2016-03-03T13:33:00Z</dcterms:created>
  <dcterms:modified xsi:type="dcterms:W3CDTF">2016-03-09T07:14:00Z</dcterms:modified>
</cp:coreProperties>
</file>