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A1A5" w14:textId="77777777" w:rsidR="005029CB" w:rsidRPr="007D7662" w:rsidRDefault="00752744" w:rsidP="007D7662">
      <w:pPr>
        <w:jc w:val="both"/>
        <w:rPr>
          <w:b/>
          <w:sz w:val="24"/>
          <w:szCs w:val="24"/>
        </w:rPr>
      </w:pPr>
      <w:r w:rsidRPr="007D7662">
        <w:rPr>
          <w:b/>
          <w:sz w:val="24"/>
          <w:szCs w:val="24"/>
        </w:rPr>
        <w:t xml:space="preserve">IN THE LABOUR COURT OF </w:t>
      </w:r>
      <w:r w:rsidR="007D7662">
        <w:rPr>
          <w:b/>
          <w:sz w:val="24"/>
          <w:szCs w:val="24"/>
        </w:rPr>
        <w:t>ZIMBABWE</w:t>
      </w:r>
      <w:r w:rsidR="007D7662">
        <w:rPr>
          <w:b/>
          <w:sz w:val="24"/>
          <w:szCs w:val="24"/>
        </w:rPr>
        <w:tab/>
      </w:r>
      <w:r w:rsidR="007D7662">
        <w:rPr>
          <w:b/>
          <w:sz w:val="24"/>
          <w:szCs w:val="24"/>
        </w:rPr>
        <w:tab/>
      </w:r>
      <w:r w:rsidR="007D7662">
        <w:rPr>
          <w:b/>
          <w:sz w:val="24"/>
          <w:szCs w:val="24"/>
        </w:rPr>
        <w:tab/>
      </w:r>
      <w:r w:rsidRPr="007D7662">
        <w:rPr>
          <w:b/>
          <w:sz w:val="24"/>
          <w:szCs w:val="24"/>
        </w:rPr>
        <w:t>JUDGMENT NO. LC/H//24</w:t>
      </w:r>
    </w:p>
    <w:p w14:paraId="1B81022C" w14:textId="77777777" w:rsidR="00752744" w:rsidRPr="007D7662" w:rsidRDefault="00752744" w:rsidP="007D7662">
      <w:pPr>
        <w:jc w:val="both"/>
        <w:rPr>
          <w:b/>
          <w:sz w:val="24"/>
          <w:szCs w:val="24"/>
        </w:rPr>
      </w:pPr>
      <w:r w:rsidRPr="007D7662">
        <w:rPr>
          <w:b/>
          <w:sz w:val="24"/>
          <w:szCs w:val="24"/>
        </w:rPr>
        <w:t>HELD AT HARARE 23 JANURY 2024</w:t>
      </w:r>
      <w:r w:rsidRPr="007D7662">
        <w:rPr>
          <w:b/>
          <w:sz w:val="24"/>
          <w:szCs w:val="24"/>
        </w:rPr>
        <w:tab/>
      </w:r>
      <w:r w:rsidRPr="007D7662">
        <w:rPr>
          <w:b/>
          <w:sz w:val="24"/>
          <w:szCs w:val="24"/>
        </w:rPr>
        <w:tab/>
      </w:r>
      <w:r w:rsidRPr="007D7662">
        <w:rPr>
          <w:b/>
          <w:sz w:val="24"/>
          <w:szCs w:val="24"/>
        </w:rPr>
        <w:tab/>
      </w:r>
      <w:r w:rsidRPr="007D7662">
        <w:rPr>
          <w:b/>
          <w:sz w:val="24"/>
          <w:szCs w:val="24"/>
        </w:rPr>
        <w:tab/>
        <w:t>CASE NO. LC/H/946/23</w:t>
      </w:r>
    </w:p>
    <w:p w14:paraId="3F3D138C" w14:textId="77777777" w:rsidR="00752744" w:rsidRPr="007D7662" w:rsidRDefault="00752744" w:rsidP="007D7662">
      <w:pPr>
        <w:jc w:val="both"/>
        <w:rPr>
          <w:b/>
          <w:sz w:val="24"/>
          <w:szCs w:val="24"/>
        </w:rPr>
      </w:pPr>
      <w:r w:rsidRPr="007D7662">
        <w:rPr>
          <w:b/>
          <w:sz w:val="24"/>
          <w:szCs w:val="24"/>
        </w:rPr>
        <w:t>AND 14 MARCH 2024</w:t>
      </w:r>
    </w:p>
    <w:p w14:paraId="2523B93A" w14:textId="77777777" w:rsidR="00752744" w:rsidRPr="007D7662" w:rsidRDefault="00752744" w:rsidP="007D7662">
      <w:pPr>
        <w:jc w:val="both"/>
        <w:rPr>
          <w:b/>
          <w:sz w:val="24"/>
          <w:szCs w:val="24"/>
        </w:rPr>
      </w:pPr>
    </w:p>
    <w:p w14:paraId="6685B7F7" w14:textId="77777777" w:rsidR="00752744" w:rsidRPr="007D7662" w:rsidRDefault="00752744" w:rsidP="007D7662">
      <w:pPr>
        <w:jc w:val="both"/>
        <w:rPr>
          <w:b/>
          <w:sz w:val="24"/>
          <w:szCs w:val="24"/>
        </w:rPr>
      </w:pPr>
      <w:r w:rsidRPr="007D7662">
        <w:rPr>
          <w:b/>
          <w:sz w:val="24"/>
          <w:szCs w:val="24"/>
        </w:rPr>
        <w:t xml:space="preserve">IN THE MATTER </w:t>
      </w:r>
      <w:proofErr w:type="gramStart"/>
      <w:r w:rsidRPr="007D7662">
        <w:rPr>
          <w:b/>
          <w:sz w:val="24"/>
          <w:szCs w:val="24"/>
        </w:rPr>
        <w:t>BETWEEN:-</w:t>
      </w:r>
      <w:proofErr w:type="gramEnd"/>
    </w:p>
    <w:p w14:paraId="32EF6D07" w14:textId="77777777" w:rsidR="00752744" w:rsidRPr="007D7662" w:rsidRDefault="00752744" w:rsidP="007D7662">
      <w:pPr>
        <w:jc w:val="both"/>
        <w:rPr>
          <w:b/>
          <w:sz w:val="24"/>
          <w:szCs w:val="24"/>
        </w:rPr>
      </w:pPr>
    </w:p>
    <w:p w14:paraId="26366768" w14:textId="77777777" w:rsidR="00752744" w:rsidRPr="007D7662" w:rsidRDefault="00752744" w:rsidP="007D7662">
      <w:pPr>
        <w:jc w:val="both"/>
        <w:rPr>
          <w:b/>
          <w:sz w:val="24"/>
          <w:szCs w:val="24"/>
        </w:rPr>
      </w:pPr>
      <w:r w:rsidRPr="007D7662">
        <w:rPr>
          <w:b/>
          <w:sz w:val="24"/>
          <w:szCs w:val="24"/>
        </w:rPr>
        <w:t>ELISHA TSHUMA</w:t>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t>FIRST APPLICANT</w:t>
      </w:r>
    </w:p>
    <w:p w14:paraId="1029CDA9" w14:textId="77777777" w:rsidR="00752744" w:rsidRPr="007D7662" w:rsidRDefault="007D7662" w:rsidP="007D7662">
      <w:pPr>
        <w:jc w:val="both"/>
        <w:rPr>
          <w:b/>
          <w:sz w:val="24"/>
          <w:szCs w:val="24"/>
        </w:rPr>
      </w:pPr>
      <w:r>
        <w:rPr>
          <w:b/>
          <w:sz w:val="24"/>
          <w:szCs w:val="24"/>
        </w:rPr>
        <w:t>KHAUHELO MAWANA</w:t>
      </w:r>
      <w:r>
        <w:rPr>
          <w:b/>
          <w:sz w:val="24"/>
          <w:szCs w:val="24"/>
        </w:rPr>
        <w:tab/>
      </w:r>
      <w:r>
        <w:rPr>
          <w:b/>
          <w:sz w:val="24"/>
          <w:szCs w:val="24"/>
        </w:rPr>
        <w:tab/>
      </w:r>
      <w:r>
        <w:rPr>
          <w:b/>
          <w:sz w:val="24"/>
          <w:szCs w:val="24"/>
        </w:rPr>
        <w:tab/>
      </w:r>
      <w:r>
        <w:rPr>
          <w:b/>
          <w:sz w:val="24"/>
          <w:szCs w:val="24"/>
        </w:rPr>
        <w:tab/>
      </w:r>
      <w:r>
        <w:rPr>
          <w:b/>
          <w:sz w:val="24"/>
          <w:szCs w:val="24"/>
        </w:rPr>
        <w:tab/>
      </w:r>
      <w:r w:rsidR="00752744" w:rsidRPr="007D7662">
        <w:rPr>
          <w:b/>
          <w:sz w:val="24"/>
          <w:szCs w:val="24"/>
        </w:rPr>
        <w:t>SECOND APPLICANT</w:t>
      </w:r>
    </w:p>
    <w:p w14:paraId="2EC38DCF" w14:textId="77777777" w:rsidR="00752744" w:rsidRPr="007D7662" w:rsidRDefault="00752744" w:rsidP="007D7662">
      <w:pPr>
        <w:jc w:val="both"/>
        <w:rPr>
          <w:b/>
          <w:sz w:val="24"/>
          <w:szCs w:val="24"/>
        </w:rPr>
      </w:pPr>
      <w:r w:rsidRPr="007D7662">
        <w:rPr>
          <w:b/>
          <w:sz w:val="24"/>
          <w:szCs w:val="24"/>
        </w:rPr>
        <w:t>AUSTIN WAMEDZA</w:t>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t>THIRD APPLICANT</w:t>
      </w:r>
    </w:p>
    <w:p w14:paraId="1F2407A2" w14:textId="77777777" w:rsidR="00752744" w:rsidRPr="007D7662" w:rsidRDefault="00752744" w:rsidP="007D7662">
      <w:pPr>
        <w:jc w:val="both"/>
        <w:rPr>
          <w:b/>
          <w:sz w:val="24"/>
          <w:szCs w:val="24"/>
        </w:rPr>
      </w:pPr>
      <w:r w:rsidRPr="007D7662">
        <w:rPr>
          <w:b/>
          <w:sz w:val="24"/>
          <w:szCs w:val="24"/>
        </w:rPr>
        <w:t>PETROS SH</w:t>
      </w:r>
      <w:r w:rsidR="007D7662">
        <w:rPr>
          <w:b/>
          <w:sz w:val="24"/>
          <w:szCs w:val="24"/>
        </w:rPr>
        <w:t>AYANOWAKO</w:t>
      </w:r>
      <w:r w:rsidR="007D7662">
        <w:rPr>
          <w:b/>
          <w:sz w:val="24"/>
          <w:szCs w:val="24"/>
        </w:rPr>
        <w:tab/>
      </w:r>
      <w:r w:rsidR="007D7662">
        <w:rPr>
          <w:b/>
          <w:sz w:val="24"/>
          <w:szCs w:val="24"/>
        </w:rPr>
        <w:tab/>
      </w:r>
      <w:r w:rsidR="007D7662">
        <w:rPr>
          <w:b/>
          <w:sz w:val="24"/>
          <w:szCs w:val="24"/>
        </w:rPr>
        <w:tab/>
      </w:r>
      <w:r w:rsidR="007D7662">
        <w:rPr>
          <w:b/>
          <w:sz w:val="24"/>
          <w:szCs w:val="24"/>
        </w:rPr>
        <w:tab/>
      </w:r>
      <w:r w:rsidR="007D7662">
        <w:rPr>
          <w:b/>
          <w:sz w:val="24"/>
          <w:szCs w:val="24"/>
        </w:rPr>
        <w:tab/>
      </w:r>
      <w:r w:rsidRPr="007D7662">
        <w:rPr>
          <w:b/>
          <w:sz w:val="24"/>
          <w:szCs w:val="24"/>
        </w:rPr>
        <w:t>FOURTH APPLICANT</w:t>
      </w:r>
    </w:p>
    <w:p w14:paraId="444585A1" w14:textId="77777777" w:rsidR="00752744" w:rsidRPr="007D7662" w:rsidRDefault="00752744" w:rsidP="007D7662">
      <w:pPr>
        <w:jc w:val="both"/>
        <w:rPr>
          <w:b/>
          <w:sz w:val="24"/>
          <w:szCs w:val="24"/>
        </w:rPr>
      </w:pPr>
      <w:r w:rsidRPr="007D7662">
        <w:rPr>
          <w:b/>
          <w:sz w:val="24"/>
          <w:szCs w:val="24"/>
        </w:rPr>
        <w:t>SIFELANI NHLIZIYO</w:t>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t>FIFTH APPLICANT</w:t>
      </w:r>
    </w:p>
    <w:p w14:paraId="3A2438AC" w14:textId="77777777" w:rsidR="00752744" w:rsidRPr="007D7662" w:rsidRDefault="00752744" w:rsidP="007D7662">
      <w:pPr>
        <w:jc w:val="both"/>
        <w:rPr>
          <w:b/>
          <w:sz w:val="24"/>
          <w:szCs w:val="24"/>
        </w:rPr>
      </w:pPr>
      <w:r w:rsidRPr="007D7662">
        <w:rPr>
          <w:b/>
          <w:sz w:val="24"/>
          <w:szCs w:val="24"/>
        </w:rPr>
        <w:t>AND</w:t>
      </w:r>
    </w:p>
    <w:p w14:paraId="1A9EE764" w14:textId="77777777" w:rsidR="00752744" w:rsidRPr="007D7662" w:rsidRDefault="00752744" w:rsidP="007D7662">
      <w:pPr>
        <w:jc w:val="both"/>
        <w:rPr>
          <w:b/>
          <w:sz w:val="24"/>
          <w:szCs w:val="24"/>
        </w:rPr>
      </w:pPr>
      <w:r w:rsidRPr="007D7662">
        <w:rPr>
          <w:b/>
          <w:sz w:val="24"/>
          <w:szCs w:val="24"/>
        </w:rPr>
        <w:t>ZIMBABWE REVENUE AUTHORITY</w:t>
      </w:r>
      <w:r w:rsidRPr="007D7662">
        <w:rPr>
          <w:b/>
          <w:sz w:val="24"/>
          <w:szCs w:val="24"/>
        </w:rPr>
        <w:tab/>
      </w:r>
      <w:r w:rsidRPr="007D7662">
        <w:rPr>
          <w:b/>
          <w:sz w:val="24"/>
          <w:szCs w:val="24"/>
        </w:rPr>
        <w:tab/>
      </w:r>
      <w:r w:rsidRPr="007D7662">
        <w:rPr>
          <w:b/>
          <w:sz w:val="24"/>
          <w:szCs w:val="24"/>
        </w:rPr>
        <w:tab/>
      </w:r>
      <w:r w:rsidRPr="007D7662">
        <w:rPr>
          <w:b/>
          <w:sz w:val="24"/>
          <w:szCs w:val="24"/>
        </w:rPr>
        <w:tab/>
        <w:t>RESPONDENT</w:t>
      </w:r>
    </w:p>
    <w:p w14:paraId="5D1FB70D" w14:textId="77777777" w:rsidR="00752744" w:rsidRPr="007D7662" w:rsidRDefault="00752744" w:rsidP="007D7662">
      <w:pPr>
        <w:jc w:val="both"/>
        <w:rPr>
          <w:sz w:val="24"/>
          <w:szCs w:val="24"/>
        </w:rPr>
      </w:pPr>
    </w:p>
    <w:p w14:paraId="24BE51C1" w14:textId="77777777" w:rsidR="00752744" w:rsidRPr="007D7662" w:rsidRDefault="00752744" w:rsidP="007D7662">
      <w:pPr>
        <w:jc w:val="both"/>
        <w:rPr>
          <w:sz w:val="24"/>
          <w:szCs w:val="24"/>
        </w:rPr>
      </w:pPr>
      <w:r w:rsidRPr="007D7662">
        <w:rPr>
          <w:sz w:val="24"/>
          <w:szCs w:val="24"/>
        </w:rPr>
        <w:t>Before Honourable Mr. Justice L.M. Murasi</w:t>
      </w:r>
    </w:p>
    <w:p w14:paraId="34531F66" w14:textId="77777777" w:rsidR="00752744" w:rsidRPr="007D7662" w:rsidRDefault="00752744" w:rsidP="007D7662">
      <w:pPr>
        <w:jc w:val="both"/>
        <w:rPr>
          <w:sz w:val="24"/>
          <w:szCs w:val="24"/>
        </w:rPr>
      </w:pPr>
    </w:p>
    <w:p w14:paraId="73E84E10" w14:textId="77777777" w:rsidR="00752744" w:rsidRPr="007D7662" w:rsidRDefault="00752744" w:rsidP="007D7662">
      <w:pPr>
        <w:jc w:val="both"/>
        <w:rPr>
          <w:b/>
          <w:sz w:val="24"/>
          <w:szCs w:val="24"/>
        </w:rPr>
      </w:pPr>
      <w:r w:rsidRPr="007D7662">
        <w:rPr>
          <w:b/>
          <w:sz w:val="24"/>
          <w:szCs w:val="24"/>
        </w:rPr>
        <w:t>For Applicants</w:t>
      </w:r>
      <w:r w:rsidRPr="007D7662">
        <w:rPr>
          <w:b/>
          <w:sz w:val="24"/>
          <w:szCs w:val="24"/>
        </w:rPr>
        <w:tab/>
      </w:r>
      <w:r w:rsidRPr="007D7662">
        <w:rPr>
          <w:b/>
          <w:sz w:val="24"/>
          <w:szCs w:val="24"/>
        </w:rPr>
        <w:tab/>
      </w:r>
      <w:r w:rsidRPr="007D7662">
        <w:rPr>
          <w:b/>
          <w:sz w:val="24"/>
          <w:szCs w:val="24"/>
        </w:rPr>
        <w:tab/>
      </w:r>
      <w:r w:rsidRPr="007D7662">
        <w:rPr>
          <w:b/>
          <w:sz w:val="24"/>
          <w:szCs w:val="24"/>
        </w:rPr>
        <w:tab/>
      </w:r>
      <w:r w:rsidRPr="007D7662">
        <w:rPr>
          <w:b/>
          <w:sz w:val="24"/>
          <w:szCs w:val="24"/>
        </w:rPr>
        <w:tab/>
        <w:t xml:space="preserve">Mr. R. </w:t>
      </w:r>
      <w:proofErr w:type="spellStart"/>
      <w:r w:rsidRPr="007D7662">
        <w:rPr>
          <w:b/>
          <w:sz w:val="24"/>
          <w:szCs w:val="24"/>
        </w:rPr>
        <w:t>Matsikidze</w:t>
      </w:r>
      <w:proofErr w:type="spellEnd"/>
    </w:p>
    <w:p w14:paraId="3207BCFD" w14:textId="77777777" w:rsidR="00752744" w:rsidRPr="007D7662" w:rsidRDefault="00752744" w:rsidP="007D7662">
      <w:pPr>
        <w:jc w:val="both"/>
        <w:rPr>
          <w:b/>
          <w:sz w:val="24"/>
          <w:szCs w:val="24"/>
        </w:rPr>
      </w:pPr>
      <w:r w:rsidRPr="007D7662">
        <w:rPr>
          <w:b/>
          <w:sz w:val="24"/>
          <w:szCs w:val="24"/>
        </w:rPr>
        <w:t xml:space="preserve">For </w:t>
      </w:r>
      <w:r w:rsidR="007D7662">
        <w:rPr>
          <w:b/>
          <w:sz w:val="24"/>
          <w:szCs w:val="24"/>
        </w:rPr>
        <w:t>Respondent</w:t>
      </w:r>
      <w:r w:rsidR="007D7662">
        <w:rPr>
          <w:b/>
          <w:sz w:val="24"/>
          <w:szCs w:val="24"/>
        </w:rPr>
        <w:tab/>
      </w:r>
      <w:r w:rsidR="007D7662">
        <w:rPr>
          <w:b/>
          <w:sz w:val="24"/>
          <w:szCs w:val="24"/>
        </w:rPr>
        <w:tab/>
      </w:r>
      <w:r w:rsidR="007D7662">
        <w:rPr>
          <w:b/>
          <w:sz w:val="24"/>
          <w:szCs w:val="24"/>
        </w:rPr>
        <w:tab/>
      </w:r>
      <w:r w:rsidR="007D7662">
        <w:rPr>
          <w:b/>
          <w:sz w:val="24"/>
          <w:szCs w:val="24"/>
        </w:rPr>
        <w:tab/>
      </w:r>
      <w:r w:rsidRPr="007D7662">
        <w:rPr>
          <w:b/>
          <w:sz w:val="24"/>
          <w:szCs w:val="24"/>
        </w:rPr>
        <w:t xml:space="preserve">Mr. S. Banda </w:t>
      </w:r>
    </w:p>
    <w:p w14:paraId="6DEA1571" w14:textId="77777777" w:rsidR="00752744" w:rsidRPr="007D7662" w:rsidRDefault="00752744" w:rsidP="007D7662">
      <w:pPr>
        <w:jc w:val="both"/>
        <w:rPr>
          <w:sz w:val="24"/>
          <w:szCs w:val="24"/>
        </w:rPr>
      </w:pPr>
    </w:p>
    <w:p w14:paraId="48458098" w14:textId="77777777" w:rsidR="00752744" w:rsidRPr="007D7662" w:rsidRDefault="00752744" w:rsidP="007D7662">
      <w:pPr>
        <w:jc w:val="both"/>
        <w:rPr>
          <w:b/>
          <w:sz w:val="24"/>
          <w:szCs w:val="24"/>
        </w:rPr>
      </w:pPr>
      <w:r w:rsidRPr="007D7662">
        <w:rPr>
          <w:b/>
          <w:sz w:val="24"/>
          <w:szCs w:val="24"/>
        </w:rPr>
        <w:t>MURASI J.,</w:t>
      </w:r>
    </w:p>
    <w:p w14:paraId="2D631A77" w14:textId="77777777" w:rsidR="00752744" w:rsidRPr="007D7662" w:rsidRDefault="00752744" w:rsidP="007D7662">
      <w:pPr>
        <w:jc w:val="both"/>
        <w:rPr>
          <w:sz w:val="24"/>
          <w:szCs w:val="24"/>
        </w:rPr>
      </w:pPr>
      <w:r w:rsidRPr="007D7662">
        <w:rPr>
          <w:sz w:val="24"/>
          <w:szCs w:val="24"/>
        </w:rPr>
        <w:t>This is an application for quantification of damages following the remittal of the matter by the Supreme Court.</w:t>
      </w:r>
    </w:p>
    <w:p w14:paraId="4DFB1980" w14:textId="77777777" w:rsidR="00752744" w:rsidRPr="007D7662" w:rsidRDefault="00752744" w:rsidP="007D7662">
      <w:pPr>
        <w:jc w:val="both"/>
        <w:rPr>
          <w:sz w:val="24"/>
          <w:szCs w:val="24"/>
        </w:rPr>
      </w:pPr>
      <w:r w:rsidRPr="007D7662">
        <w:rPr>
          <w:sz w:val="24"/>
          <w:szCs w:val="24"/>
        </w:rPr>
        <w:t xml:space="preserve">At the commencement of the proceedings, </w:t>
      </w:r>
      <w:r w:rsidRPr="007D7662">
        <w:rPr>
          <w:i/>
          <w:sz w:val="24"/>
          <w:szCs w:val="24"/>
        </w:rPr>
        <w:t>Mr. Banda</w:t>
      </w:r>
      <w:r w:rsidRPr="007D7662">
        <w:rPr>
          <w:sz w:val="24"/>
          <w:szCs w:val="24"/>
        </w:rPr>
        <w:t xml:space="preserve"> stated that he had a preliminary point to raise. He submitted that there was a substantive award by L. </w:t>
      </w:r>
      <w:proofErr w:type="spellStart"/>
      <w:r w:rsidRPr="007D7662">
        <w:rPr>
          <w:sz w:val="24"/>
          <w:szCs w:val="24"/>
        </w:rPr>
        <w:t>Gabi</w:t>
      </w:r>
      <w:r w:rsidR="00E94A03" w:rsidRPr="007D7662">
        <w:rPr>
          <w:sz w:val="24"/>
          <w:szCs w:val="24"/>
        </w:rPr>
        <w:t>lo</w:t>
      </w:r>
      <w:proofErr w:type="spellEnd"/>
      <w:r w:rsidR="00E94A03" w:rsidRPr="007D7662">
        <w:rPr>
          <w:sz w:val="24"/>
          <w:szCs w:val="24"/>
        </w:rPr>
        <w:t xml:space="preserve"> which was quantified and is still pending. He further submitted that the same issues which had been placed before L. </w:t>
      </w:r>
      <w:proofErr w:type="spellStart"/>
      <w:r w:rsidR="00E94A03" w:rsidRPr="007D7662">
        <w:rPr>
          <w:sz w:val="24"/>
          <w:szCs w:val="24"/>
        </w:rPr>
        <w:t>Gabilo</w:t>
      </w:r>
      <w:proofErr w:type="spellEnd"/>
      <w:r w:rsidR="00E94A03" w:rsidRPr="007D7662">
        <w:rPr>
          <w:sz w:val="24"/>
          <w:szCs w:val="24"/>
        </w:rPr>
        <w:t xml:space="preserve"> were those before the Court in the present application. He averred that it was thus an incompetent application. The said </w:t>
      </w:r>
      <w:r w:rsidR="007D7662">
        <w:rPr>
          <w:sz w:val="24"/>
          <w:szCs w:val="24"/>
        </w:rPr>
        <w:t xml:space="preserve">the </w:t>
      </w:r>
      <w:r w:rsidR="00E94A03" w:rsidRPr="007D7662">
        <w:rPr>
          <w:sz w:val="24"/>
          <w:szCs w:val="24"/>
        </w:rPr>
        <w:t xml:space="preserve">second issue alluded to the decision by L. </w:t>
      </w:r>
      <w:proofErr w:type="spellStart"/>
      <w:r w:rsidR="00E94A03" w:rsidRPr="007D7662">
        <w:rPr>
          <w:sz w:val="24"/>
          <w:szCs w:val="24"/>
        </w:rPr>
        <w:t>Gabilo</w:t>
      </w:r>
      <w:proofErr w:type="spellEnd"/>
      <w:r w:rsidR="00E94A03" w:rsidRPr="007D7662">
        <w:rPr>
          <w:sz w:val="24"/>
          <w:szCs w:val="24"/>
        </w:rPr>
        <w:t xml:space="preserve"> and he argued that the present application could only proceed if the </w:t>
      </w:r>
      <w:proofErr w:type="spellStart"/>
      <w:r w:rsidR="00E94A03" w:rsidRPr="007D7662">
        <w:rPr>
          <w:sz w:val="24"/>
          <w:szCs w:val="24"/>
        </w:rPr>
        <w:t>Gabilo</w:t>
      </w:r>
      <w:proofErr w:type="spellEnd"/>
      <w:r w:rsidR="00E94A03" w:rsidRPr="007D7662">
        <w:rPr>
          <w:sz w:val="24"/>
          <w:szCs w:val="24"/>
        </w:rPr>
        <w:t xml:space="preserve"> decision was set aside by a court of competent jurisdiction.</w:t>
      </w:r>
    </w:p>
    <w:p w14:paraId="350E2E46" w14:textId="77777777" w:rsidR="00E94A03" w:rsidRPr="007D7662" w:rsidRDefault="00E94A03" w:rsidP="007D7662">
      <w:pPr>
        <w:jc w:val="both"/>
        <w:rPr>
          <w:sz w:val="24"/>
          <w:szCs w:val="24"/>
        </w:rPr>
      </w:pPr>
      <w:r w:rsidRPr="007D7662">
        <w:rPr>
          <w:sz w:val="24"/>
          <w:szCs w:val="24"/>
        </w:rPr>
        <w:lastRenderedPageBreak/>
        <w:t xml:space="preserve">In response, </w:t>
      </w:r>
      <w:r w:rsidRPr="007D7662">
        <w:rPr>
          <w:i/>
          <w:sz w:val="24"/>
          <w:szCs w:val="24"/>
        </w:rPr>
        <w:t xml:space="preserve">Mr. </w:t>
      </w:r>
      <w:proofErr w:type="spellStart"/>
      <w:r w:rsidRPr="007D7662">
        <w:rPr>
          <w:i/>
          <w:sz w:val="24"/>
          <w:szCs w:val="24"/>
        </w:rPr>
        <w:t>Matsikidze</w:t>
      </w:r>
      <w:proofErr w:type="spellEnd"/>
      <w:r w:rsidRPr="007D7662">
        <w:rPr>
          <w:sz w:val="24"/>
          <w:szCs w:val="24"/>
        </w:rPr>
        <w:t xml:space="preserve"> stated that there was no pending matter as the two matters had in fact been consolidated. The reason the remittal was made was that the Court had proceeded to make the award as given by </w:t>
      </w:r>
      <w:proofErr w:type="spellStart"/>
      <w:r w:rsidRPr="007D7662">
        <w:rPr>
          <w:sz w:val="24"/>
          <w:szCs w:val="24"/>
        </w:rPr>
        <w:t>Gabilo</w:t>
      </w:r>
      <w:proofErr w:type="spellEnd"/>
      <w:r w:rsidRPr="007D7662">
        <w:rPr>
          <w:sz w:val="24"/>
          <w:szCs w:val="24"/>
        </w:rPr>
        <w:t xml:space="preserve"> without hearing the parties as promised. He stated that before the Supreme Court</w:t>
      </w:r>
      <w:r w:rsidR="007D7662">
        <w:rPr>
          <w:sz w:val="24"/>
          <w:szCs w:val="24"/>
        </w:rPr>
        <w:t>,</w:t>
      </w:r>
      <w:r w:rsidRPr="007D7662">
        <w:rPr>
          <w:sz w:val="24"/>
          <w:szCs w:val="24"/>
        </w:rPr>
        <w:t xml:space="preserve"> it was conceded by the Applicants that the issue of damages had not been addressed before the Court. He submitted that this was the reason the matter had been remitted for quantification of damages.</w:t>
      </w:r>
    </w:p>
    <w:p w14:paraId="7C12070C" w14:textId="77777777" w:rsidR="00E94A03" w:rsidRPr="007D7662" w:rsidRDefault="00E94A03" w:rsidP="007D7662">
      <w:pPr>
        <w:jc w:val="both"/>
        <w:rPr>
          <w:sz w:val="24"/>
          <w:szCs w:val="24"/>
        </w:rPr>
      </w:pPr>
      <w:r w:rsidRPr="007D7662">
        <w:rPr>
          <w:sz w:val="24"/>
          <w:szCs w:val="24"/>
        </w:rPr>
        <w:t>The Supreme Court Order dated 21</w:t>
      </w:r>
      <w:r w:rsidRPr="007D7662">
        <w:rPr>
          <w:sz w:val="24"/>
          <w:szCs w:val="24"/>
          <w:vertAlign w:val="superscript"/>
        </w:rPr>
        <w:t>st</w:t>
      </w:r>
      <w:r w:rsidRPr="007D7662">
        <w:rPr>
          <w:sz w:val="24"/>
          <w:szCs w:val="24"/>
        </w:rPr>
        <w:t xml:space="preserve"> July 2023 reads as follows:</w:t>
      </w:r>
    </w:p>
    <w:p w14:paraId="5AA54C79" w14:textId="77777777" w:rsidR="00E94A03" w:rsidRPr="007D7662" w:rsidRDefault="00E94A03" w:rsidP="007D7662">
      <w:pPr>
        <w:jc w:val="both"/>
        <w:rPr>
          <w:sz w:val="24"/>
          <w:szCs w:val="24"/>
        </w:rPr>
      </w:pPr>
      <w:r w:rsidRPr="007D7662">
        <w:rPr>
          <w:sz w:val="24"/>
          <w:szCs w:val="24"/>
        </w:rPr>
        <w:tab/>
        <w:t>“</w:t>
      </w:r>
      <w:r w:rsidRPr="007D7662">
        <w:rPr>
          <w:b/>
          <w:sz w:val="24"/>
          <w:szCs w:val="24"/>
        </w:rPr>
        <w:t>IT IS ORDERED BY CONSENT THAT:</w:t>
      </w:r>
    </w:p>
    <w:p w14:paraId="12739434" w14:textId="77777777" w:rsidR="00E94A03" w:rsidRPr="007D7662" w:rsidRDefault="00E94A03" w:rsidP="007D7662">
      <w:pPr>
        <w:pStyle w:val="ListParagraph"/>
        <w:numPr>
          <w:ilvl w:val="0"/>
          <w:numId w:val="1"/>
        </w:numPr>
        <w:jc w:val="both"/>
        <w:rPr>
          <w:sz w:val="24"/>
          <w:szCs w:val="24"/>
        </w:rPr>
      </w:pPr>
      <w:r w:rsidRPr="007D7662">
        <w:rPr>
          <w:sz w:val="24"/>
          <w:szCs w:val="24"/>
        </w:rPr>
        <w:t>The appeal be and hereby allowed in part with each party to bear its own costs.</w:t>
      </w:r>
    </w:p>
    <w:p w14:paraId="770944FC" w14:textId="77777777" w:rsidR="00E94A03" w:rsidRPr="007D7662" w:rsidRDefault="00E94A03" w:rsidP="007D7662">
      <w:pPr>
        <w:pStyle w:val="ListParagraph"/>
        <w:numPr>
          <w:ilvl w:val="0"/>
          <w:numId w:val="1"/>
        </w:numPr>
        <w:jc w:val="both"/>
        <w:rPr>
          <w:sz w:val="24"/>
          <w:szCs w:val="24"/>
        </w:rPr>
      </w:pPr>
      <w:r w:rsidRPr="007D7662">
        <w:rPr>
          <w:sz w:val="24"/>
          <w:szCs w:val="24"/>
        </w:rPr>
        <w:t>Paragraph 1 of the judgment of the court a quo is amended to read as follows:</w:t>
      </w:r>
    </w:p>
    <w:p w14:paraId="39A87D4B" w14:textId="77777777" w:rsidR="00E94A03" w:rsidRPr="007D7662" w:rsidRDefault="00E94A03" w:rsidP="007D7662">
      <w:pPr>
        <w:pStyle w:val="ListParagraph"/>
        <w:ind w:left="1080"/>
        <w:jc w:val="both"/>
        <w:rPr>
          <w:sz w:val="24"/>
          <w:szCs w:val="24"/>
        </w:rPr>
      </w:pPr>
      <w:r w:rsidRPr="007D7662">
        <w:rPr>
          <w:sz w:val="24"/>
          <w:szCs w:val="24"/>
        </w:rPr>
        <w:t>‘1. The appeal against the substantive arbitration award</w:t>
      </w:r>
      <w:r w:rsidR="002A6E14" w:rsidRPr="007D7662">
        <w:rPr>
          <w:sz w:val="24"/>
          <w:szCs w:val="24"/>
        </w:rPr>
        <w:t xml:space="preserve"> of L.M. </w:t>
      </w:r>
      <w:proofErr w:type="spellStart"/>
      <w:r w:rsidR="002A6E14" w:rsidRPr="007D7662">
        <w:rPr>
          <w:sz w:val="24"/>
          <w:szCs w:val="24"/>
        </w:rPr>
        <w:t>Gabilo</w:t>
      </w:r>
      <w:proofErr w:type="spellEnd"/>
      <w:r w:rsidR="002A6E14" w:rsidRPr="007D7662">
        <w:rPr>
          <w:sz w:val="24"/>
          <w:szCs w:val="24"/>
        </w:rPr>
        <w:t xml:space="preserve"> dated 14 October 2009 is dismissed with costs.’</w:t>
      </w:r>
    </w:p>
    <w:p w14:paraId="0FDB88EE" w14:textId="77777777" w:rsidR="002A6E14" w:rsidRPr="007D7662" w:rsidRDefault="002A6E14" w:rsidP="007D7662">
      <w:pPr>
        <w:pStyle w:val="ListParagraph"/>
        <w:numPr>
          <w:ilvl w:val="0"/>
          <w:numId w:val="1"/>
        </w:numPr>
        <w:jc w:val="both"/>
        <w:rPr>
          <w:sz w:val="24"/>
          <w:szCs w:val="24"/>
        </w:rPr>
      </w:pPr>
      <w:r w:rsidRPr="007D7662">
        <w:rPr>
          <w:sz w:val="24"/>
          <w:szCs w:val="24"/>
        </w:rPr>
        <w:t>Paragraphs 2.3 and 4 of the judgment of the court a quo are set aside.</w:t>
      </w:r>
    </w:p>
    <w:p w14:paraId="7420CE67" w14:textId="77777777" w:rsidR="002A6E14" w:rsidRPr="007D7662" w:rsidRDefault="002A6E14" w:rsidP="007D7662">
      <w:pPr>
        <w:pStyle w:val="ListParagraph"/>
        <w:numPr>
          <w:ilvl w:val="0"/>
          <w:numId w:val="1"/>
        </w:numPr>
        <w:jc w:val="both"/>
        <w:rPr>
          <w:sz w:val="24"/>
          <w:szCs w:val="24"/>
        </w:rPr>
      </w:pPr>
      <w:r w:rsidRPr="007D7662">
        <w:rPr>
          <w:sz w:val="24"/>
          <w:szCs w:val="24"/>
        </w:rPr>
        <w:t>The matter is remitted to the court a quo for determination of the claim for damages.”</w:t>
      </w:r>
    </w:p>
    <w:p w14:paraId="299B2B3F" w14:textId="77777777" w:rsidR="002A6E14" w:rsidRPr="007D7662" w:rsidRDefault="002A6E14" w:rsidP="007D7662">
      <w:pPr>
        <w:jc w:val="both"/>
        <w:rPr>
          <w:sz w:val="24"/>
          <w:szCs w:val="24"/>
        </w:rPr>
      </w:pPr>
      <w:r w:rsidRPr="007D7662">
        <w:rPr>
          <w:sz w:val="24"/>
          <w:szCs w:val="24"/>
        </w:rPr>
        <w:t xml:space="preserve">I make the observation that both </w:t>
      </w:r>
      <w:r w:rsidRPr="007D7662">
        <w:rPr>
          <w:i/>
          <w:sz w:val="24"/>
          <w:szCs w:val="24"/>
        </w:rPr>
        <w:t xml:space="preserve">Mr. </w:t>
      </w:r>
      <w:proofErr w:type="spellStart"/>
      <w:r w:rsidRPr="007D7662">
        <w:rPr>
          <w:i/>
          <w:sz w:val="24"/>
          <w:szCs w:val="24"/>
        </w:rPr>
        <w:t>Matsik</w:t>
      </w:r>
      <w:r w:rsidR="007D7662">
        <w:rPr>
          <w:i/>
          <w:sz w:val="24"/>
          <w:szCs w:val="24"/>
        </w:rPr>
        <w:t>i</w:t>
      </w:r>
      <w:r w:rsidRPr="007D7662">
        <w:rPr>
          <w:i/>
          <w:sz w:val="24"/>
          <w:szCs w:val="24"/>
        </w:rPr>
        <w:t>dze</w:t>
      </w:r>
      <w:proofErr w:type="spellEnd"/>
      <w:r w:rsidRPr="007D7662">
        <w:rPr>
          <w:sz w:val="24"/>
          <w:szCs w:val="24"/>
        </w:rPr>
        <w:t xml:space="preserve"> and </w:t>
      </w:r>
      <w:r w:rsidRPr="007D7662">
        <w:rPr>
          <w:i/>
          <w:sz w:val="24"/>
          <w:szCs w:val="24"/>
        </w:rPr>
        <w:t>Mr. Banda</w:t>
      </w:r>
      <w:r w:rsidRPr="007D7662">
        <w:rPr>
          <w:sz w:val="24"/>
          <w:szCs w:val="24"/>
        </w:rPr>
        <w:t xml:space="preserve"> appeared for the parties in those proceedings. Paragraphs 2, 3 and 4 of this Court’s Order which was set aside dealt with the quantum of damages. The remittal is clear and unambiguous. It informs the parties that a determination on the claim for damages is to be made.</w:t>
      </w:r>
      <w:r w:rsidR="00CC4130" w:rsidRPr="007D7662">
        <w:rPr>
          <w:sz w:val="24"/>
          <w:szCs w:val="24"/>
        </w:rPr>
        <w:t xml:space="preserve"> There i</w:t>
      </w:r>
      <w:r w:rsidRPr="007D7662">
        <w:rPr>
          <w:sz w:val="24"/>
          <w:szCs w:val="24"/>
        </w:rPr>
        <w:t xml:space="preserve">s no reference to the </w:t>
      </w:r>
      <w:proofErr w:type="spellStart"/>
      <w:r w:rsidRPr="007D7662">
        <w:rPr>
          <w:sz w:val="24"/>
          <w:szCs w:val="24"/>
        </w:rPr>
        <w:t>Gabilo</w:t>
      </w:r>
      <w:proofErr w:type="spellEnd"/>
      <w:r w:rsidRPr="007D7662">
        <w:rPr>
          <w:sz w:val="24"/>
          <w:szCs w:val="24"/>
        </w:rPr>
        <w:t xml:space="preserve"> determination on quantification of damages. It is also correct as stated by </w:t>
      </w:r>
      <w:r w:rsidRPr="007D7662">
        <w:rPr>
          <w:i/>
          <w:sz w:val="24"/>
          <w:szCs w:val="24"/>
        </w:rPr>
        <w:t xml:space="preserve">Mr. </w:t>
      </w:r>
      <w:proofErr w:type="spellStart"/>
      <w:r w:rsidRPr="007D7662">
        <w:rPr>
          <w:i/>
          <w:sz w:val="24"/>
          <w:szCs w:val="24"/>
        </w:rPr>
        <w:t>Matsikidze</w:t>
      </w:r>
      <w:proofErr w:type="spellEnd"/>
      <w:r w:rsidRPr="007D7662">
        <w:rPr>
          <w:sz w:val="24"/>
          <w:szCs w:val="24"/>
        </w:rPr>
        <w:t xml:space="preserve"> that the matter was consolidated and the clear path after such consolidation is clear for all to see.</w:t>
      </w:r>
    </w:p>
    <w:p w14:paraId="40D6E408" w14:textId="77777777" w:rsidR="00CC4130" w:rsidRPr="007D7662" w:rsidRDefault="00CC4130" w:rsidP="007D7662">
      <w:pPr>
        <w:jc w:val="both"/>
        <w:rPr>
          <w:sz w:val="24"/>
          <w:szCs w:val="24"/>
        </w:rPr>
      </w:pPr>
      <w:r w:rsidRPr="007D7662">
        <w:rPr>
          <w:sz w:val="24"/>
          <w:szCs w:val="24"/>
        </w:rPr>
        <w:t xml:space="preserve">The question that arises is why Respondent had not raised the issue before the Supreme Court in the process of consenting to the Order granted. It cannot be said that the minds of the legal practitioners were at cross purposes when they signed the consent order. It cannot be stated that it was Respondent’s mistaken view that the damages in question related to the </w:t>
      </w:r>
      <w:proofErr w:type="spellStart"/>
      <w:r w:rsidRPr="007D7662">
        <w:rPr>
          <w:sz w:val="24"/>
          <w:szCs w:val="24"/>
        </w:rPr>
        <w:t>Gabilo</w:t>
      </w:r>
      <w:proofErr w:type="spellEnd"/>
      <w:r w:rsidRPr="007D7662">
        <w:rPr>
          <w:sz w:val="24"/>
          <w:szCs w:val="24"/>
        </w:rPr>
        <w:t xml:space="preserve"> decision. It is apparent that there is no reference to this decision. The reason is clear. The matters had been consolidated and that there was no ‘separate’ </w:t>
      </w:r>
      <w:proofErr w:type="spellStart"/>
      <w:r w:rsidRPr="007D7662">
        <w:rPr>
          <w:sz w:val="24"/>
          <w:szCs w:val="24"/>
        </w:rPr>
        <w:t>Gabilo</w:t>
      </w:r>
      <w:proofErr w:type="spellEnd"/>
      <w:r w:rsidRPr="007D7662">
        <w:rPr>
          <w:sz w:val="24"/>
          <w:szCs w:val="24"/>
        </w:rPr>
        <w:t xml:space="preserve"> decision. If at all I am not correct in stating this, it was incumbent on the Respondent to approach the Supreme Court and state that the complexion of the remittal order was incomplete without the reference to the </w:t>
      </w:r>
      <w:proofErr w:type="spellStart"/>
      <w:r w:rsidRPr="007D7662">
        <w:rPr>
          <w:sz w:val="24"/>
          <w:szCs w:val="24"/>
        </w:rPr>
        <w:t>Gabilo</w:t>
      </w:r>
      <w:proofErr w:type="spellEnd"/>
      <w:r w:rsidRPr="007D7662">
        <w:rPr>
          <w:sz w:val="24"/>
          <w:szCs w:val="24"/>
        </w:rPr>
        <w:t xml:space="preserve"> decision. This was not done.</w:t>
      </w:r>
      <w:r w:rsidR="007D7662" w:rsidRPr="007D7662">
        <w:rPr>
          <w:sz w:val="24"/>
          <w:szCs w:val="24"/>
        </w:rPr>
        <w:t xml:space="preserve"> It is thus my considered view that the preliminary point is devoid of merit and ought to be dismissed.</w:t>
      </w:r>
    </w:p>
    <w:p w14:paraId="0EF6E013" w14:textId="77777777" w:rsidR="007D7662" w:rsidRDefault="007D7662" w:rsidP="007D7662">
      <w:pPr>
        <w:jc w:val="both"/>
        <w:rPr>
          <w:sz w:val="24"/>
          <w:szCs w:val="24"/>
        </w:rPr>
      </w:pPr>
    </w:p>
    <w:p w14:paraId="2FFEF239" w14:textId="77777777" w:rsidR="007D7662" w:rsidRDefault="007D7662" w:rsidP="007D7662">
      <w:pPr>
        <w:jc w:val="both"/>
        <w:rPr>
          <w:sz w:val="24"/>
          <w:szCs w:val="24"/>
        </w:rPr>
      </w:pPr>
    </w:p>
    <w:p w14:paraId="629F4CD2" w14:textId="77777777" w:rsidR="007D7662" w:rsidRDefault="007D7662" w:rsidP="007D7662">
      <w:pPr>
        <w:jc w:val="both"/>
        <w:rPr>
          <w:sz w:val="24"/>
          <w:szCs w:val="24"/>
        </w:rPr>
      </w:pPr>
    </w:p>
    <w:p w14:paraId="14530582" w14:textId="77777777" w:rsidR="007D7662" w:rsidRDefault="007D7662" w:rsidP="007D7662">
      <w:pPr>
        <w:jc w:val="both"/>
        <w:rPr>
          <w:sz w:val="24"/>
          <w:szCs w:val="24"/>
        </w:rPr>
      </w:pPr>
    </w:p>
    <w:p w14:paraId="5007114F" w14:textId="77777777" w:rsidR="007D7662" w:rsidRDefault="007D7662" w:rsidP="007D7662">
      <w:pPr>
        <w:jc w:val="both"/>
        <w:rPr>
          <w:sz w:val="24"/>
          <w:szCs w:val="24"/>
        </w:rPr>
      </w:pPr>
    </w:p>
    <w:p w14:paraId="3A2FEFAC" w14:textId="77777777" w:rsidR="007D7662" w:rsidRPr="007D7662" w:rsidRDefault="007D7662" w:rsidP="007D7662">
      <w:pPr>
        <w:jc w:val="both"/>
        <w:rPr>
          <w:sz w:val="24"/>
          <w:szCs w:val="24"/>
        </w:rPr>
      </w:pPr>
      <w:r w:rsidRPr="007D7662">
        <w:rPr>
          <w:sz w:val="24"/>
          <w:szCs w:val="24"/>
        </w:rPr>
        <w:lastRenderedPageBreak/>
        <w:t>The following order is appropriate;</w:t>
      </w:r>
    </w:p>
    <w:p w14:paraId="5C0A6982" w14:textId="77777777" w:rsidR="007D7662" w:rsidRPr="007D7662" w:rsidRDefault="007D7662" w:rsidP="007D7662">
      <w:pPr>
        <w:pStyle w:val="ListParagraph"/>
        <w:numPr>
          <w:ilvl w:val="0"/>
          <w:numId w:val="2"/>
        </w:numPr>
        <w:jc w:val="both"/>
        <w:rPr>
          <w:sz w:val="24"/>
          <w:szCs w:val="24"/>
        </w:rPr>
      </w:pPr>
      <w:r w:rsidRPr="007D7662">
        <w:rPr>
          <w:sz w:val="24"/>
          <w:szCs w:val="24"/>
        </w:rPr>
        <w:t>The preliminary point, being devoid of merit, is hereby dismissed.</w:t>
      </w:r>
    </w:p>
    <w:p w14:paraId="167E79C5" w14:textId="77777777" w:rsidR="007D7662" w:rsidRPr="007D7662" w:rsidRDefault="007D7662" w:rsidP="007D7662">
      <w:pPr>
        <w:pStyle w:val="ListParagraph"/>
        <w:numPr>
          <w:ilvl w:val="0"/>
          <w:numId w:val="2"/>
        </w:numPr>
        <w:jc w:val="both"/>
        <w:rPr>
          <w:sz w:val="24"/>
          <w:szCs w:val="24"/>
        </w:rPr>
      </w:pPr>
      <w:r w:rsidRPr="007D7662">
        <w:rPr>
          <w:sz w:val="24"/>
          <w:szCs w:val="24"/>
        </w:rPr>
        <w:t>The Registrar is directed to set the matter down for hearing at the next available date.</w:t>
      </w:r>
    </w:p>
    <w:p w14:paraId="0D12305E" w14:textId="77777777" w:rsidR="007D7662" w:rsidRPr="007D7662" w:rsidRDefault="007D7662" w:rsidP="007D7662">
      <w:pPr>
        <w:pStyle w:val="ListParagraph"/>
        <w:numPr>
          <w:ilvl w:val="0"/>
          <w:numId w:val="2"/>
        </w:numPr>
        <w:jc w:val="both"/>
        <w:rPr>
          <w:sz w:val="24"/>
          <w:szCs w:val="24"/>
        </w:rPr>
      </w:pPr>
      <w:r w:rsidRPr="007D7662">
        <w:rPr>
          <w:sz w:val="24"/>
          <w:szCs w:val="24"/>
        </w:rPr>
        <w:t>Respondent to meet Applicants’ costs.</w:t>
      </w:r>
    </w:p>
    <w:p w14:paraId="0DD649AA" w14:textId="77777777" w:rsidR="007D7662" w:rsidRPr="007D7662" w:rsidRDefault="007D7662" w:rsidP="007D7662">
      <w:pPr>
        <w:jc w:val="both"/>
        <w:rPr>
          <w:sz w:val="24"/>
          <w:szCs w:val="24"/>
        </w:rPr>
      </w:pPr>
    </w:p>
    <w:p w14:paraId="70D4A51E" w14:textId="77777777" w:rsidR="007D7662" w:rsidRPr="007D7662" w:rsidRDefault="007D7662" w:rsidP="007D7662">
      <w:pPr>
        <w:jc w:val="both"/>
        <w:rPr>
          <w:sz w:val="24"/>
          <w:szCs w:val="24"/>
        </w:rPr>
      </w:pPr>
    </w:p>
    <w:p w14:paraId="28CF701A" w14:textId="77777777" w:rsidR="007D7662" w:rsidRPr="007D7662" w:rsidRDefault="007D7662" w:rsidP="007D7662">
      <w:pPr>
        <w:jc w:val="both"/>
        <w:rPr>
          <w:sz w:val="24"/>
          <w:szCs w:val="24"/>
        </w:rPr>
      </w:pPr>
    </w:p>
    <w:p w14:paraId="390C6731" w14:textId="77777777" w:rsidR="007D7662" w:rsidRPr="007D7662" w:rsidRDefault="007D7662" w:rsidP="007D7662">
      <w:pPr>
        <w:jc w:val="both"/>
        <w:rPr>
          <w:sz w:val="24"/>
          <w:szCs w:val="24"/>
        </w:rPr>
      </w:pPr>
    </w:p>
    <w:p w14:paraId="2BDFA329" w14:textId="77777777" w:rsidR="007D7662" w:rsidRPr="007D7662" w:rsidRDefault="007D7662" w:rsidP="007D7662">
      <w:pPr>
        <w:jc w:val="both"/>
        <w:rPr>
          <w:sz w:val="24"/>
          <w:szCs w:val="24"/>
        </w:rPr>
      </w:pPr>
      <w:proofErr w:type="spellStart"/>
      <w:r w:rsidRPr="007D7662">
        <w:rPr>
          <w:sz w:val="24"/>
          <w:szCs w:val="24"/>
        </w:rPr>
        <w:t>Matsikidze</w:t>
      </w:r>
      <w:proofErr w:type="spellEnd"/>
      <w:r w:rsidRPr="007D7662">
        <w:rPr>
          <w:sz w:val="24"/>
          <w:szCs w:val="24"/>
        </w:rPr>
        <w:t xml:space="preserve"> </w:t>
      </w:r>
      <w:proofErr w:type="spellStart"/>
      <w:r w:rsidRPr="007D7662">
        <w:rPr>
          <w:sz w:val="24"/>
          <w:szCs w:val="24"/>
        </w:rPr>
        <w:t>Atoorneys</w:t>
      </w:r>
      <w:proofErr w:type="spellEnd"/>
      <w:r w:rsidRPr="007D7662">
        <w:rPr>
          <w:sz w:val="24"/>
          <w:szCs w:val="24"/>
        </w:rPr>
        <w:t xml:space="preserve"> at Law-</w:t>
      </w:r>
      <w:r w:rsidRPr="007D7662">
        <w:rPr>
          <w:sz w:val="24"/>
          <w:szCs w:val="24"/>
        </w:rPr>
        <w:tab/>
      </w:r>
      <w:r w:rsidRPr="007D7662">
        <w:rPr>
          <w:sz w:val="24"/>
          <w:szCs w:val="24"/>
        </w:rPr>
        <w:tab/>
        <w:t>Applicants’ legal practitioners</w:t>
      </w:r>
    </w:p>
    <w:p w14:paraId="3D832600" w14:textId="77777777" w:rsidR="007D7662" w:rsidRPr="007D7662" w:rsidRDefault="007D7662" w:rsidP="007D7662">
      <w:pPr>
        <w:jc w:val="both"/>
        <w:rPr>
          <w:sz w:val="24"/>
          <w:szCs w:val="24"/>
        </w:rPr>
      </w:pPr>
      <w:proofErr w:type="spellStart"/>
      <w:r w:rsidRPr="007D7662">
        <w:rPr>
          <w:sz w:val="24"/>
          <w:szCs w:val="24"/>
        </w:rPr>
        <w:t>Sinyoro</w:t>
      </w:r>
      <w:proofErr w:type="spellEnd"/>
      <w:r w:rsidRPr="007D7662">
        <w:rPr>
          <w:sz w:val="24"/>
          <w:szCs w:val="24"/>
        </w:rPr>
        <w:t xml:space="preserve"> and Partners-</w:t>
      </w:r>
      <w:r w:rsidRPr="007D7662">
        <w:rPr>
          <w:sz w:val="24"/>
          <w:szCs w:val="24"/>
        </w:rPr>
        <w:tab/>
      </w:r>
      <w:r w:rsidRPr="007D7662">
        <w:rPr>
          <w:sz w:val="24"/>
          <w:szCs w:val="24"/>
        </w:rPr>
        <w:tab/>
      </w:r>
      <w:r w:rsidRPr="007D7662">
        <w:rPr>
          <w:sz w:val="24"/>
          <w:szCs w:val="24"/>
        </w:rPr>
        <w:tab/>
        <w:t>Respondent’s legal practitioners.</w:t>
      </w:r>
      <w:r w:rsidRPr="007D7662">
        <w:rPr>
          <w:sz w:val="24"/>
          <w:szCs w:val="24"/>
        </w:rPr>
        <w:tab/>
      </w:r>
      <w:r w:rsidRPr="007D7662">
        <w:rPr>
          <w:sz w:val="24"/>
          <w:szCs w:val="24"/>
        </w:rPr>
        <w:tab/>
      </w:r>
    </w:p>
    <w:sectPr w:rsidR="007D7662" w:rsidRPr="007D76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771E" w14:textId="77777777" w:rsidR="006119F0" w:rsidRDefault="006119F0" w:rsidP="007D7662">
      <w:pPr>
        <w:spacing w:after="0" w:line="240" w:lineRule="auto"/>
      </w:pPr>
      <w:r>
        <w:separator/>
      </w:r>
    </w:p>
  </w:endnote>
  <w:endnote w:type="continuationSeparator" w:id="0">
    <w:p w14:paraId="1812512C" w14:textId="77777777" w:rsidR="006119F0" w:rsidRDefault="006119F0" w:rsidP="007D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23568"/>
      <w:docPartObj>
        <w:docPartGallery w:val="Page Numbers (Bottom of Page)"/>
        <w:docPartUnique/>
      </w:docPartObj>
    </w:sdtPr>
    <w:sdtEndPr>
      <w:rPr>
        <w:noProof/>
      </w:rPr>
    </w:sdtEndPr>
    <w:sdtContent>
      <w:p w14:paraId="296B98CD" w14:textId="77777777" w:rsidR="007D7662" w:rsidRDefault="007D7662">
        <w:pPr>
          <w:pStyle w:val="Footer"/>
          <w:jc w:val="center"/>
        </w:pPr>
        <w:r>
          <w:fldChar w:fldCharType="begin"/>
        </w:r>
        <w:r>
          <w:instrText xml:space="preserve"> PAGE   \* MERGEFORMAT </w:instrText>
        </w:r>
        <w:r>
          <w:fldChar w:fldCharType="separate"/>
        </w:r>
        <w:r w:rsidR="00376137">
          <w:rPr>
            <w:noProof/>
          </w:rPr>
          <w:t>2</w:t>
        </w:r>
        <w:r>
          <w:rPr>
            <w:noProof/>
          </w:rPr>
          <w:fldChar w:fldCharType="end"/>
        </w:r>
      </w:p>
    </w:sdtContent>
  </w:sdt>
  <w:p w14:paraId="1FD1ABBE" w14:textId="77777777" w:rsidR="007D7662" w:rsidRDefault="007D7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AC72" w14:textId="77777777" w:rsidR="006119F0" w:rsidRDefault="006119F0" w:rsidP="007D7662">
      <w:pPr>
        <w:spacing w:after="0" w:line="240" w:lineRule="auto"/>
      </w:pPr>
      <w:r>
        <w:separator/>
      </w:r>
    </w:p>
  </w:footnote>
  <w:footnote w:type="continuationSeparator" w:id="0">
    <w:p w14:paraId="68A40590" w14:textId="77777777" w:rsidR="006119F0" w:rsidRDefault="006119F0" w:rsidP="007D7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04D"/>
    <w:multiLevelType w:val="hybridMultilevel"/>
    <w:tmpl w:val="3ED6207C"/>
    <w:lvl w:ilvl="0" w:tplc="84A40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AC1428"/>
    <w:multiLevelType w:val="hybridMultilevel"/>
    <w:tmpl w:val="B44C3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738821">
    <w:abstractNumId w:val="0"/>
  </w:num>
  <w:num w:numId="2" w16cid:durableId="173854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44"/>
    <w:rsid w:val="002A6E14"/>
    <w:rsid w:val="002F3239"/>
    <w:rsid w:val="00376137"/>
    <w:rsid w:val="004B68E9"/>
    <w:rsid w:val="005029CB"/>
    <w:rsid w:val="0054333A"/>
    <w:rsid w:val="006119F0"/>
    <w:rsid w:val="00752744"/>
    <w:rsid w:val="007D7662"/>
    <w:rsid w:val="00CC4130"/>
    <w:rsid w:val="00E9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6B75"/>
  <w15:chartTrackingRefBased/>
  <w15:docId w15:val="{9298EFCE-38EA-4538-A7F4-9D054822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A03"/>
    <w:pPr>
      <w:ind w:left="720"/>
      <w:contextualSpacing/>
    </w:pPr>
  </w:style>
  <w:style w:type="paragraph" w:styleId="Header">
    <w:name w:val="header"/>
    <w:basedOn w:val="Normal"/>
    <w:link w:val="HeaderChar"/>
    <w:uiPriority w:val="99"/>
    <w:unhideWhenUsed/>
    <w:rsid w:val="007D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662"/>
  </w:style>
  <w:style w:type="paragraph" w:styleId="Footer">
    <w:name w:val="footer"/>
    <w:basedOn w:val="Normal"/>
    <w:link w:val="FooterChar"/>
    <w:uiPriority w:val="99"/>
    <w:unhideWhenUsed/>
    <w:rsid w:val="007D7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Ophiliah Tokowoyo</cp:lastModifiedBy>
  <cp:revision>2</cp:revision>
  <cp:lastPrinted>2024-03-14T12:54:00Z</cp:lastPrinted>
  <dcterms:created xsi:type="dcterms:W3CDTF">2024-03-25T10:26:00Z</dcterms:created>
  <dcterms:modified xsi:type="dcterms:W3CDTF">2024-03-25T10:26:00Z</dcterms:modified>
</cp:coreProperties>
</file>