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032" w:rsidRDefault="00432032">
      <w:pPr>
        <w:rPr>
          <w:b/>
        </w:rPr>
      </w:pPr>
      <w:bookmarkStart w:id="0" w:name="_GoBack"/>
      <w:bookmarkEnd w:id="0"/>
      <w:r>
        <w:rPr>
          <w:b/>
        </w:rPr>
        <w:t>IN THE LABOUR COURT OF ZIMBABWE</w:t>
      </w:r>
      <w:r>
        <w:rPr>
          <w:b/>
        </w:rPr>
        <w:tab/>
      </w:r>
      <w:r>
        <w:rPr>
          <w:b/>
        </w:rPr>
        <w:tab/>
        <w:t>JUDGMENT NO LC/H/</w:t>
      </w:r>
      <w:r w:rsidR="00B3432F">
        <w:rPr>
          <w:b/>
        </w:rPr>
        <w:t>797</w:t>
      </w:r>
      <w:r>
        <w:rPr>
          <w:b/>
        </w:rPr>
        <w:t>/14</w:t>
      </w:r>
    </w:p>
    <w:p w:rsidR="008B0062" w:rsidRDefault="00B3432F">
      <w:pPr>
        <w:rPr>
          <w:b/>
        </w:rPr>
      </w:pPr>
      <w:r>
        <w:rPr>
          <w:b/>
        </w:rPr>
        <w:t>HELD AT HARARE 6</w:t>
      </w:r>
      <w:r w:rsidRPr="00B3432F">
        <w:rPr>
          <w:b/>
          <w:vertAlign w:val="superscript"/>
        </w:rPr>
        <w:t>TH</w:t>
      </w:r>
      <w:r>
        <w:rPr>
          <w:b/>
        </w:rPr>
        <w:t xml:space="preserve"> JUNE 2014</w:t>
      </w:r>
      <w:r>
        <w:rPr>
          <w:b/>
        </w:rPr>
        <w:tab/>
      </w:r>
      <w:r w:rsidR="00432032">
        <w:rPr>
          <w:b/>
        </w:rPr>
        <w:tab/>
      </w:r>
      <w:r w:rsidR="00432032">
        <w:rPr>
          <w:b/>
        </w:rPr>
        <w:tab/>
        <w:t xml:space="preserve">CASE NO </w:t>
      </w:r>
      <w:r w:rsidR="00EB5250">
        <w:rPr>
          <w:b/>
        </w:rPr>
        <w:t>LC/APP/H/16/14</w:t>
      </w:r>
    </w:p>
    <w:p w:rsidR="00B3432F" w:rsidRDefault="00B3432F">
      <w:pPr>
        <w:rPr>
          <w:b/>
        </w:rPr>
      </w:pPr>
      <w:r>
        <w:rPr>
          <w:b/>
        </w:rPr>
        <w:t>&amp; 21</w:t>
      </w:r>
      <w:r w:rsidRPr="00B3432F">
        <w:rPr>
          <w:b/>
          <w:vertAlign w:val="superscript"/>
        </w:rPr>
        <w:t>ST</w:t>
      </w:r>
      <w:r>
        <w:rPr>
          <w:b/>
        </w:rPr>
        <w:t xml:space="preserve"> NOVEMBER 2014</w:t>
      </w:r>
    </w:p>
    <w:p w:rsidR="00432032" w:rsidRDefault="00432032"/>
    <w:p w:rsidR="00EB5250" w:rsidRPr="00432032" w:rsidRDefault="00432032">
      <w:r>
        <w:t>In the matter between:-</w:t>
      </w:r>
    </w:p>
    <w:p w:rsidR="00432032" w:rsidRDefault="00432032">
      <w:pPr>
        <w:rPr>
          <w:b/>
        </w:rPr>
      </w:pPr>
    </w:p>
    <w:p w:rsidR="00EB5250" w:rsidRDefault="00B3432F">
      <w:pPr>
        <w:rPr>
          <w:b/>
        </w:rPr>
      </w:pPr>
      <w:r>
        <w:rPr>
          <w:b/>
        </w:rPr>
        <w:t>ELISHA T. SHIRIPINDA</w:t>
      </w:r>
      <w:r w:rsidR="00432032">
        <w:rPr>
          <w:b/>
        </w:rPr>
        <w:tab/>
      </w:r>
      <w:r w:rsidR="00432032">
        <w:rPr>
          <w:b/>
        </w:rPr>
        <w:tab/>
      </w:r>
      <w:r w:rsidR="00432032">
        <w:rPr>
          <w:b/>
        </w:rPr>
        <w:tab/>
      </w:r>
      <w:r w:rsidR="00432032">
        <w:rPr>
          <w:b/>
        </w:rPr>
        <w:tab/>
        <w:t xml:space="preserve">Appellant </w:t>
      </w:r>
    </w:p>
    <w:p w:rsidR="00EB5250" w:rsidRDefault="00EB5250">
      <w:pPr>
        <w:rPr>
          <w:b/>
        </w:rPr>
      </w:pPr>
      <w:r>
        <w:rPr>
          <w:b/>
        </w:rPr>
        <w:t>Vs</w:t>
      </w:r>
      <w:r w:rsidR="00432032">
        <w:rPr>
          <w:b/>
        </w:rPr>
        <w:tab/>
      </w:r>
      <w:r w:rsidR="00432032">
        <w:rPr>
          <w:b/>
        </w:rPr>
        <w:tab/>
      </w:r>
    </w:p>
    <w:p w:rsidR="00EB5250" w:rsidRDefault="00B3432F">
      <w:pPr>
        <w:rPr>
          <w:b/>
        </w:rPr>
      </w:pPr>
      <w:r>
        <w:rPr>
          <w:b/>
        </w:rPr>
        <w:t>CITY OF HARARE</w:t>
      </w:r>
      <w:r w:rsidR="00EB5250">
        <w:rPr>
          <w:b/>
        </w:rPr>
        <w:t xml:space="preserve"> </w:t>
      </w:r>
      <w:r w:rsidR="00432032">
        <w:rPr>
          <w:b/>
        </w:rPr>
        <w:tab/>
      </w:r>
      <w:r w:rsidR="00432032">
        <w:rPr>
          <w:b/>
        </w:rPr>
        <w:tab/>
      </w:r>
      <w:r w:rsidR="00432032">
        <w:rPr>
          <w:b/>
        </w:rPr>
        <w:tab/>
      </w:r>
      <w:r w:rsidR="00432032">
        <w:rPr>
          <w:b/>
        </w:rPr>
        <w:tab/>
      </w:r>
      <w:r w:rsidR="00432032">
        <w:rPr>
          <w:b/>
        </w:rPr>
        <w:tab/>
        <w:t>Respondent</w:t>
      </w:r>
    </w:p>
    <w:p w:rsidR="00EB5250" w:rsidRDefault="00432032">
      <w:pPr>
        <w:rPr>
          <w:b/>
        </w:rPr>
      </w:pPr>
      <w:r>
        <w:rPr>
          <w:b/>
        </w:rPr>
        <w:tab/>
      </w:r>
    </w:p>
    <w:p w:rsidR="00EB5250" w:rsidRDefault="00432032">
      <w:pPr>
        <w:rPr>
          <w:b/>
        </w:rPr>
      </w:pPr>
      <w:r>
        <w:rPr>
          <w:b/>
        </w:rPr>
        <w:t>For Appellant</w:t>
      </w:r>
      <w:r>
        <w:rPr>
          <w:b/>
        </w:rPr>
        <w:tab/>
      </w:r>
      <w:r>
        <w:rPr>
          <w:b/>
        </w:rPr>
        <w:tab/>
      </w:r>
      <w:r w:rsidR="00EB5250">
        <w:rPr>
          <w:b/>
        </w:rPr>
        <w:t xml:space="preserve">Miss R. Peters </w:t>
      </w:r>
      <w:r>
        <w:rPr>
          <w:b/>
        </w:rPr>
        <w:t>(Legal Practitioners</w:t>
      </w:r>
      <w:r w:rsidR="00EB5250">
        <w:rPr>
          <w:b/>
        </w:rPr>
        <w:t xml:space="preserve"> </w:t>
      </w:r>
    </w:p>
    <w:p w:rsidR="00EB5250" w:rsidRDefault="00432032">
      <w:pPr>
        <w:rPr>
          <w:b/>
        </w:rPr>
      </w:pPr>
      <w:r>
        <w:rPr>
          <w:b/>
        </w:rPr>
        <w:t>For Respondent</w:t>
      </w:r>
      <w:r>
        <w:rPr>
          <w:b/>
        </w:rPr>
        <w:tab/>
      </w:r>
      <w:r w:rsidR="00EB5250">
        <w:rPr>
          <w:b/>
        </w:rPr>
        <w:t xml:space="preserve">Mr B. Furidzo </w:t>
      </w:r>
      <w:r>
        <w:rPr>
          <w:b/>
        </w:rPr>
        <w:t>(Legal Practitioner)</w:t>
      </w:r>
    </w:p>
    <w:p w:rsidR="00EB5250" w:rsidRDefault="00EB5250">
      <w:pPr>
        <w:rPr>
          <w:b/>
        </w:rPr>
      </w:pPr>
    </w:p>
    <w:p w:rsidR="00EB5250" w:rsidRDefault="00EB5250">
      <w:pPr>
        <w:rPr>
          <w:b/>
        </w:rPr>
      </w:pPr>
      <w:r>
        <w:rPr>
          <w:b/>
        </w:rPr>
        <w:t xml:space="preserve">CHIVIZHE, J. </w:t>
      </w:r>
    </w:p>
    <w:p w:rsidR="00EB5250" w:rsidRDefault="00EB5250">
      <w:pPr>
        <w:rPr>
          <w:b/>
        </w:rPr>
      </w:pPr>
    </w:p>
    <w:p w:rsidR="00EB5250" w:rsidRDefault="00EB5250" w:rsidP="00EB5250">
      <w:pPr>
        <w:ind w:firstLine="720"/>
      </w:pPr>
      <w:r>
        <w:t>The matter was placed before</w:t>
      </w:r>
      <w:r w:rsidR="00B21E3D">
        <w:t xml:space="preserve"> me</w:t>
      </w:r>
      <w:r>
        <w:t xml:space="preserve"> as an application for leave to appeal against a determination hand</w:t>
      </w:r>
      <w:r w:rsidR="00B21E3D">
        <w:t>ed down by this court on the 1</w:t>
      </w:r>
      <w:r w:rsidR="00B21E3D" w:rsidRPr="00B21E3D">
        <w:rPr>
          <w:vertAlign w:val="superscript"/>
        </w:rPr>
        <w:t>st</w:t>
      </w:r>
      <w:r w:rsidR="00B21E3D">
        <w:t xml:space="preserve"> April, 2009</w:t>
      </w:r>
      <w:r>
        <w:t>. The application is opposed.</w:t>
      </w:r>
    </w:p>
    <w:p w:rsidR="00EB5250" w:rsidRDefault="00EB5250" w:rsidP="00EB5250">
      <w:pPr>
        <w:spacing w:before="240"/>
        <w:ind w:firstLine="720"/>
      </w:pPr>
      <w:r>
        <w:t>The background facts to the matter are as follows;</w:t>
      </w:r>
    </w:p>
    <w:p w:rsidR="00E150FC" w:rsidRDefault="00B21E3D" w:rsidP="00EB5250">
      <w:pPr>
        <w:spacing w:before="240"/>
        <w:ind w:firstLine="720"/>
      </w:pPr>
      <w:r>
        <w:t>The Applicant</w:t>
      </w:r>
      <w:r w:rsidR="00EB5250">
        <w:t xml:space="preserve"> was employed by the Respondent. The parties through an agreement reached agreed to settle the matter out of court. An order of consent</w:t>
      </w:r>
      <w:r>
        <w:t xml:space="preserve"> was granted</w:t>
      </w:r>
      <w:r w:rsidR="00EB5250">
        <w:t xml:space="preserve"> by this court on the 1</w:t>
      </w:r>
      <w:r w:rsidR="00EB5250" w:rsidRPr="00EB5250">
        <w:rPr>
          <w:vertAlign w:val="superscript"/>
        </w:rPr>
        <w:t>st</w:t>
      </w:r>
      <w:r w:rsidR="00EB5250">
        <w:t xml:space="preserve"> of April, 2008. Exactly one year later on the 1</w:t>
      </w:r>
      <w:r w:rsidR="00EB5250" w:rsidRPr="00EB5250">
        <w:rPr>
          <w:vertAlign w:val="superscript"/>
        </w:rPr>
        <w:t>st</w:t>
      </w:r>
      <w:r w:rsidR="00EB5250">
        <w:t xml:space="preserve"> of April 2009 the </w:t>
      </w:r>
      <w:r>
        <w:t>Applicant</w:t>
      </w:r>
      <w:r w:rsidR="00EB5250">
        <w:t xml:space="preserve"> lodged an application</w:t>
      </w:r>
      <w:r>
        <w:t xml:space="preserve"> which Applicant termed</w:t>
      </w:r>
      <w:r w:rsidR="00EB5250">
        <w:t xml:space="preserve"> </w:t>
      </w:r>
      <w:r>
        <w:t xml:space="preserve">on </w:t>
      </w:r>
      <w:r w:rsidR="00EB5250">
        <w:t>for quantification of the</w:t>
      </w:r>
      <w:r>
        <w:t xml:space="preserve"> Applicant</w:t>
      </w:r>
      <w:r w:rsidR="00EB5250">
        <w:t xml:space="preserve"> exit package. This court dismissed the application on the basis that the court was </w:t>
      </w:r>
      <w:r>
        <w:t>at that stage</w:t>
      </w:r>
      <w:r w:rsidR="00E150FC">
        <w:t xml:space="preserve"> </w:t>
      </w:r>
      <w:r w:rsidR="00E150FC" w:rsidRPr="00B21E3D">
        <w:rPr>
          <w:i/>
        </w:rPr>
        <w:t>functus offic</w:t>
      </w:r>
      <w:r>
        <w:rPr>
          <w:i/>
        </w:rPr>
        <w:t>io</w:t>
      </w:r>
      <w:r w:rsidR="00E150FC">
        <w:t xml:space="preserve">. The </w:t>
      </w:r>
      <w:r>
        <w:t>Applicant</w:t>
      </w:r>
      <w:r w:rsidR="00E150FC">
        <w:t xml:space="preserve"> dissatisfied with the decision seeks leave to appeal against the decision.</w:t>
      </w:r>
    </w:p>
    <w:p w:rsidR="00E150FC" w:rsidRDefault="00E150FC" w:rsidP="00EB5250">
      <w:pPr>
        <w:spacing w:before="240"/>
        <w:ind w:firstLine="720"/>
      </w:pPr>
      <w:r>
        <w:rPr>
          <w:b/>
        </w:rPr>
        <w:lastRenderedPageBreak/>
        <w:t xml:space="preserve">Section 92 F (2) </w:t>
      </w:r>
      <w:r>
        <w:t xml:space="preserve">of the </w:t>
      </w:r>
      <w:r>
        <w:rPr>
          <w:b/>
        </w:rPr>
        <w:t xml:space="preserve">Labour Act [Cap 28:01] </w:t>
      </w:r>
      <w:r>
        <w:t xml:space="preserve">enjoins that a party seeking leave to appeal against a decision of the Labour Court can only appeal on a question of law. The </w:t>
      </w:r>
      <w:r w:rsidR="00B21E3D">
        <w:t>Applicant</w:t>
      </w:r>
      <w:r>
        <w:t xml:space="preserve">s prospective grounds of appeal are basically two </w:t>
      </w:r>
    </w:p>
    <w:p w:rsidR="00E150FC" w:rsidRDefault="0095292B" w:rsidP="00EB5250">
      <w:pPr>
        <w:spacing w:before="240"/>
        <w:ind w:firstLine="720"/>
        <w:rPr>
          <w:b/>
          <w:u w:val="single"/>
        </w:rPr>
      </w:pPr>
      <w:r w:rsidRPr="0095292B">
        <w:rPr>
          <w:b/>
          <w:u w:val="single"/>
        </w:rPr>
        <w:t>GROUNDS OF APPEAL</w:t>
      </w:r>
    </w:p>
    <w:p w:rsidR="00E640A4" w:rsidRDefault="0095292B" w:rsidP="0095292B">
      <w:pPr>
        <w:pStyle w:val="ListParagraph"/>
        <w:numPr>
          <w:ilvl w:val="0"/>
          <w:numId w:val="1"/>
        </w:numPr>
        <w:spacing w:before="240"/>
      </w:pPr>
      <w:r>
        <w:t xml:space="preserve">The court </w:t>
      </w:r>
      <w:r w:rsidR="00A5242C">
        <w:rPr>
          <w:i/>
          <w:u w:val="single"/>
        </w:rPr>
        <w:t>a</w:t>
      </w:r>
      <w:r w:rsidR="00A5242C">
        <w:rPr>
          <w:i/>
        </w:rPr>
        <w:t xml:space="preserve"> </w:t>
      </w:r>
      <w:r w:rsidR="00A5242C" w:rsidRPr="00A5242C">
        <w:rPr>
          <w:i/>
          <w:u w:val="single"/>
        </w:rPr>
        <w:t>quo</w:t>
      </w:r>
      <w:r w:rsidR="00A5242C">
        <w:rPr>
          <w:i/>
        </w:rPr>
        <w:t xml:space="preserve"> </w:t>
      </w:r>
      <w:r w:rsidR="00A5242C" w:rsidRPr="00A5242C">
        <w:t>grossly</w:t>
      </w:r>
      <w:r w:rsidR="00A5242C">
        <w:t xml:space="preserve"> misdirected itself when it dismissed the Application for Quantification of the order it had granted on the grounds that it was </w:t>
      </w:r>
      <w:r w:rsidR="00A5242C">
        <w:rPr>
          <w:i/>
          <w:u w:val="single"/>
        </w:rPr>
        <w:t xml:space="preserve">functus officio </w:t>
      </w:r>
      <w:r w:rsidR="00E640A4">
        <w:t>when in terms of the applicable law it had jurisdiction to quantify its order for the purposes of both registration and enforcement.</w:t>
      </w:r>
    </w:p>
    <w:p w:rsidR="0095292B" w:rsidRPr="0095292B" w:rsidRDefault="00E640A4" w:rsidP="0095292B">
      <w:pPr>
        <w:pStyle w:val="ListParagraph"/>
        <w:numPr>
          <w:ilvl w:val="0"/>
          <w:numId w:val="1"/>
        </w:numPr>
        <w:spacing w:before="240"/>
      </w:pPr>
      <w:r>
        <w:t xml:space="preserve">The Court </w:t>
      </w:r>
      <w:r>
        <w:rPr>
          <w:i/>
          <w:u w:val="single"/>
        </w:rPr>
        <w:t>a</w:t>
      </w:r>
      <w:r>
        <w:rPr>
          <w:i/>
        </w:rPr>
        <w:t xml:space="preserve"> </w:t>
      </w:r>
      <w:r>
        <w:rPr>
          <w:i/>
          <w:u w:val="single"/>
        </w:rPr>
        <w:t xml:space="preserve">quo </w:t>
      </w:r>
      <w:r>
        <w:t>erred by concluding that an application for quantification of its order was a fresh application.”</w:t>
      </w:r>
      <w:r w:rsidR="00A5242C">
        <w:t xml:space="preserve">   </w:t>
      </w:r>
    </w:p>
    <w:p w:rsidR="00CA0ADE" w:rsidRDefault="00E150FC" w:rsidP="00EB5250">
      <w:pPr>
        <w:spacing w:before="240"/>
        <w:ind w:firstLine="720"/>
      </w:pPr>
      <w:r>
        <w:t>I am satisfied to the extent that the g</w:t>
      </w:r>
      <w:r w:rsidR="00E640A4">
        <w:t>rounds of appeal raise the question</w:t>
      </w:r>
      <w:r>
        <w:t xml:space="preserve"> as to whether</w:t>
      </w:r>
      <w:r w:rsidR="00E640A4">
        <w:t xml:space="preserve"> or not</w:t>
      </w:r>
      <w:r>
        <w:t xml:space="preserve"> the Labour Court had jurisdiction to quantify an earlier orde</w:t>
      </w:r>
      <w:r w:rsidR="00E640A4">
        <w:t>r granted by consent of parties, t</w:t>
      </w:r>
      <w:r>
        <w:t>he appe</w:t>
      </w:r>
      <w:r w:rsidR="00E640A4">
        <w:t>al raises a question of law. It is trite the</w:t>
      </w:r>
      <w:r>
        <w:t xml:space="preserve"> question as to whe</w:t>
      </w:r>
      <w:r w:rsidR="00E640A4">
        <w:t>ther or not a court/tribunal has</w:t>
      </w:r>
      <w:r>
        <w:t xml:space="preserve"> jurisdiction </w:t>
      </w:r>
      <w:r w:rsidR="00000F9E">
        <w:tab/>
        <w:t xml:space="preserve">to determine a matter before it </w:t>
      </w:r>
      <w:r>
        <w:t>is a question of law. In the judgement handed down on the 2</w:t>
      </w:r>
      <w:r w:rsidRPr="00E150FC">
        <w:rPr>
          <w:vertAlign w:val="superscript"/>
        </w:rPr>
        <w:t>nd</w:t>
      </w:r>
      <w:r>
        <w:t xml:space="preserve"> of April 2014, thi</w:t>
      </w:r>
      <w:r w:rsidR="004D1ED1">
        <w:t>s court found that in regards the</w:t>
      </w:r>
      <w:r>
        <w:t xml:space="preserve"> applica</w:t>
      </w:r>
      <w:r w:rsidR="004D1ED1">
        <w:t xml:space="preserve">tion for an exit package placed before </w:t>
      </w:r>
      <w:r w:rsidR="00CA0ADE">
        <w:t xml:space="preserve">the court was </w:t>
      </w:r>
      <w:r w:rsidR="003770F5" w:rsidRPr="00836FD7">
        <w:rPr>
          <w:i/>
        </w:rPr>
        <w:t>functus</w:t>
      </w:r>
      <w:r w:rsidR="00836FD7" w:rsidRPr="00836FD7">
        <w:rPr>
          <w:i/>
        </w:rPr>
        <w:t xml:space="preserve"> officio</w:t>
      </w:r>
      <w:r w:rsidR="00CA0ADE">
        <w:t>. The basis for reaching this dec</w:t>
      </w:r>
      <w:r w:rsidR="004D1ED1">
        <w:t>ision was that the parties had a</w:t>
      </w:r>
      <w:r w:rsidR="00CA0ADE">
        <w:t>n the 14</w:t>
      </w:r>
      <w:r w:rsidR="00CA0ADE" w:rsidRPr="00CA0ADE">
        <w:rPr>
          <w:vertAlign w:val="superscript"/>
        </w:rPr>
        <w:t>th</w:t>
      </w:r>
      <w:r w:rsidR="00CA0ADE">
        <w:t xml:space="preserve"> of March 2008 mutually reached settlement. The parties had then drawn up a deed of settlement r</w:t>
      </w:r>
      <w:r w:rsidR="004D1ED1">
        <w:t xml:space="preserve">eflecting </w:t>
      </w:r>
      <w:r w:rsidR="00CA0ADE">
        <w:t>that agreement. This deed of settlement was then filed with the court and the court granted an order in terms of the settlement agreement.</w:t>
      </w:r>
    </w:p>
    <w:p w:rsidR="003770F5" w:rsidRDefault="00CA0ADE" w:rsidP="003770F5">
      <w:pPr>
        <w:spacing w:before="240"/>
        <w:ind w:firstLine="720"/>
      </w:pPr>
      <w:r>
        <w:lastRenderedPageBreak/>
        <w:t xml:space="preserve">When the applicant filed a fresh application </w:t>
      </w:r>
      <w:r w:rsidR="004D1ED1">
        <w:t>t</w:t>
      </w:r>
      <w:r w:rsidR="00D8662B">
        <w:t>hat he referred to as ‘quantification of exit package’ the court was of the view firstly</w:t>
      </w:r>
      <w:r w:rsidR="004D1ED1">
        <w:t>, the</w:t>
      </w:r>
      <w:r w:rsidR="00D8662B">
        <w:t xml:space="preserve"> court having granted the consent order the court had become </w:t>
      </w:r>
      <w:r w:rsidR="003770F5" w:rsidRPr="004D1ED1">
        <w:rPr>
          <w:i/>
        </w:rPr>
        <w:t>functus</w:t>
      </w:r>
      <w:r w:rsidR="004D1ED1">
        <w:t xml:space="preserve"> officio</w:t>
      </w:r>
      <w:r w:rsidR="003770F5">
        <w:t xml:space="preserve">. The second reason was that although the application had been couched as an </w:t>
      </w:r>
      <w:r w:rsidR="004D1ED1">
        <w:t>‘</w:t>
      </w:r>
      <w:r w:rsidR="003770F5">
        <w:t>application for quantification of an exit package</w:t>
      </w:r>
      <w:r w:rsidR="004D1ED1">
        <w:t>’</w:t>
      </w:r>
      <w:r w:rsidR="003770F5">
        <w:t xml:space="preserve"> the </w:t>
      </w:r>
      <w:r w:rsidR="00B21E3D">
        <w:t>Applicant</w:t>
      </w:r>
      <w:r w:rsidR="003770F5">
        <w:t xml:space="preserve"> was actually asking the court to revisit the order granted in 2008 an</w:t>
      </w:r>
      <w:r w:rsidR="004D1ED1">
        <w:t>d make some adjustments thereto</w:t>
      </w:r>
      <w:r w:rsidR="003770F5">
        <w:t>. The court was also being asked to compel enforcement of some of the provision</w:t>
      </w:r>
      <w:r w:rsidR="004D1ED1">
        <w:t xml:space="preserve">s of the consent order where </w:t>
      </w:r>
      <w:r w:rsidR="003770F5">
        <w:t xml:space="preserve">clearly </w:t>
      </w:r>
      <w:r w:rsidR="004D1ED1">
        <w:t xml:space="preserve">the court </w:t>
      </w:r>
      <w:r w:rsidR="003770F5">
        <w:t>was not empowered to do so.</w:t>
      </w:r>
    </w:p>
    <w:p w:rsidR="00E22735" w:rsidRPr="009245D8" w:rsidRDefault="003770F5" w:rsidP="003770F5">
      <w:pPr>
        <w:spacing w:before="240"/>
        <w:ind w:firstLine="720"/>
        <w:rPr>
          <w:b/>
        </w:rPr>
      </w:pPr>
      <w:r>
        <w:t>The Applicant position</w:t>
      </w:r>
      <w:r w:rsidR="004D1ED1">
        <w:t xml:space="preserve"> in seeking leave to appeal</w:t>
      </w:r>
      <w:r>
        <w:t xml:space="preserve"> is that this court erred, firstly when it found that the application for quantification was a fresh application. Secondly the court erred and misdirected itself by finding that it was </w:t>
      </w:r>
      <w:r w:rsidR="00B3432F" w:rsidRPr="00B3432F">
        <w:rPr>
          <w:i/>
        </w:rPr>
        <w:t>functus</w:t>
      </w:r>
      <w:r w:rsidR="00B3432F">
        <w:t xml:space="preserve"> </w:t>
      </w:r>
      <w:r w:rsidR="002E5AE4" w:rsidRPr="002E5AE4">
        <w:rPr>
          <w:i/>
        </w:rPr>
        <w:t>officio</w:t>
      </w:r>
      <w:r w:rsidR="00B3432F">
        <w:t xml:space="preserve"> i</w:t>
      </w:r>
      <w:r w:rsidR="002237A4">
        <w:t xml:space="preserve">n the circumstances of the matter. The </w:t>
      </w:r>
      <w:r w:rsidR="00B21E3D">
        <w:t>Applicant</w:t>
      </w:r>
      <w:r w:rsidR="009245D8">
        <w:t xml:space="preserve"> further</w:t>
      </w:r>
      <w:r w:rsidR="002237A4">
        <w:t xml:space="preserve"> position is that the order granted by consent in 2008 had not ben quantified, resulting in the dispute that en</w:t>
      </w:r>
      <w:r w:rsidR="009245D8">
        <w:t>sued between the parties. T</w:t>
      </w:r>
      <w:r w:rsidR="00E22735">
        <w:t>he</w:t>
      </w:r>
      <w:r w:rsidR="002237A4">
        <w:t xml:space="preserve"> order</w:t>
      </w:r>
      <w:r w:rsidR="00E22735">
        <w:t xml:space="preserve"> for an example did not clearly indicate in monetary terms how much the Respondent was to pay </w:t>
      </w:r>
      <w:r w:rsidR="00B21E3D">
        <w:t>Applicant</w:t>
      </w:r>
      <w:r w:rsidR="00E22735">
        <w:t xml:space="preserve">. It is </w:t>
      </w:r>
      <w:r w:rsidR="00B21E3D">
        <w:t>Applicant</w:t>
      </w:r>
      <w:r w:rsidR="009245D8">
        <w:t xml:space="preserve"> further submission </w:t>
      </w:r>
      <w:r w:rsidR="00E22735">
        <w:t xml:space="preserve">this court has powers to quantify orders which are otherwise granted by consent. The court was referred to decisions in </w:t>
      </w:r>
      <w:r w:rsidR="009245D8">
        <w:rPr>
          <w:b/>
        </w:rPr>
        <w:t xml:space="preserve">Telecel Zimbabwe (Pvt) Limited Vs Mabare ZLR 36(S) </w:t>
      </w:r>
      <w:r w:rsidR="009245D8">
        <w:t xml:space="preserve">and </w:t>
      </w:r>
      <w:r w:rsidR="009245D8">
        <w:rPr>
          <w:b/>
        </w:rPr>
        <w:t>John Manyeruke Vs African Sun LC/H/31/02013.</w:t>
      </w:r>
    </w:p>
    <w:p w:rsidR="009103AC" w:rsidRDefault="00E22735" w:rsidP="003770F5">
      <w:pPr>
        <w:spacing w:before="240"/>
        <w:ind w:firstLine="720"/>
      </w:pPr>
      <w:r>
        <w:t xml:space="preserve">In any event the Respondent was in his papers clearly admitting that it was still owing </w:t>
      </w:r>
      <w:r w:rsidR="00B21E3D">
        <w:t>Applicant</w:t>
      </w:r>
      <w:r>
        <w:t xml:space="preserve"> a balance of </w:t>
      </w:r>
      <w:r w:rsidRPr="009245D8">
        <w:rPr>
          <w:b/>
        </w:rPr>
        <w:t>US$10 533.36</w:t>
      </w:r>
      <w:r>
        <w:t xml:space="preserve">. It was </w:t>
      </w:r>
      <w:r w:rsidR="00B21E3D">
        <w:t>Applicant</w:t>
      </w:r>
      <w:r w:rsidR="009245D8">
        <w:t>’s further submission</w:t>
      </w:r>
      <w:r>
        <w:t xml:space="preserve"> that because it</w:t>
      </w:r>
      <w:r w:rsidR="009245D8">
        <w:t xml:space="preserve"> was still not clear how much</w:t>
      </w:r>
      <w:r>
        <w:t xml:space="preserve"> was outstanding between the parties the court ought to have granted the </w:t>
      </w:r>
      <w:r>
        <w:lastRenderedPageBreak/>
        <w:t>applic</w:t>
      </w:r>
      <w:r w:rsidR="009245D8">
        <w:t>ation in order for that order to</w:t>
      </w:r>
      <w:r w:rsidR="009103AC">
        <w:t xml:space="preserve"> sound in money to enable its registration for enforcement purposes.</w:t>
      </w:r>
    </w:p>
    <w:p w:rsidR="002F4973" w:rsidRDefault="009103AC" w:rsidP="003770F5">
      <w:pPr>
        <w:spacing w:before="240"/>
        <w:ind w:firstLine="720"/>
      </w:pPr>
      <w:r>
        <w:t xml:space="preserve">The Respondent counter-argued that the application for quantification despite its warding as such was not an application for quantification. The </w:t>
      </w:r>
      <w:r w:rsidR="00B21E3D">
        <w:t>Applicant</w:t>
      </w:r>
      <w:r>
        <w:t xml:space="preserve"> was seeking in the application to have the court revisit the consent order granted in 2008 and make adjustments thereto. This was clear as </w:t>
      </w:r>
      <w:r w:rsidR="00B21E3D">
        <w:t>Applicant</w:t>
      </w:r>
      <w:r>
        <w:t xml:space="preserve"> </w:t>
      </w:r>
      <w:r w:rsidR="009245D8">
        <w:t xml:space="preserve">was </w:t>
      </w:r>
      <w:r>
        <w:t>seeking to have a recalculation of the figures. The consent order grant</w:t>
      </w:r>
      <w:r w:rsidR="00AF4D26">
        <w:t>ed</w:t>
      </w:r>
      <w:r>
        <w:t xml:space="preserve"> by the court was in any event quantified. The </w:t>
      </w:r>
      <w:r w:rsidR="00B21E3D">
        <w:t>Applicant</w:t>
      </w:r>
      <w:r>
        <w:t xml:space="preserve"> was</w:t>
      </w:r>
      <w:r w:rsidR="00AF4D26">
        <w:t xml:space="preserve"> in other wards</w:t>
      </w:r>
      <w:r>
        <w:t xml:space="preserve"> seeking a second bite at the cherry. It was the Respondent</w:t>
      </w:r>
      <w:r w:rsidR="00AF4D26">
        <w:t>’s further submission</w:t>
      </w:r>
      <w:r>
        <w:t xml:space="preserve"> that the court could not properly exercise its jurisdiction in terms of </w:t>
      </w:r>
      <w:r>
        <w:rPr>
          <w:b/>
        </w:rPr>
        <w:t xml:space="preserve">Section 92 C </w:t>
      </w:r>
      <w:r>
        <w:t xml:space="preserve">of the </w:t>
      </w:r>
      <w:r>
        <w:rPr>
          <w:b/>
        </w:rPr>
        <w:t>Labour Act</w:t>
      </w:r>
      <w:r w:rsidR="00AF4D26">
        <w:rPr>
          <w:b/>
        </w:rPr>
        <w:t xml:space="preserve"> [CAP 28:01]</w:t>
      </w:r>
      <w:r>
        <w:rPr>
          <w:b/>
        </w:rPr>
        <w:t xml:space="preserve"> </w:t>
      </w:r>
      <w:r>
        <w:t xml:space="preserve">as had been suggested by the </w:t>
      </w:r>
      <w:r w:rsidR="00B21E3D">
        <w:t>Applicant</w:t>
      </w:r>
      <w:r>
        <w:t xml:space="preserve"> because the application for quantification did not fall in any of the categories </w:t>
      </w:r>
      <w:r w:rsidR="002F4973">
        <w:t xml:space="preserve">outlined by </w:t>
      </w:r>
      <w:r w:rsidR="002F4973">
        <w:rPr>
          <w:b/>
        </w:rPr>
        <w:t>Section 92 C.</w:t>
      </w:r>
      <w:r w:rsidR="00AF4D26">
        <w:rPr>
          <w:b/>
        </w:rPr>
        <w:t xml:space="preserve"> Section 92 C </w:t>
      </w:r>
      <w:r w:rsidR="00AF4D26">
        <w:t>allows for the Labour Court to upon application rescind or vary an order made either in default of the one party, which the court is satisfied is void or was obtained by fraud or mistake common to the parties or in order to correct a patent error.</w:t>
      </w:r>
      <w:r w:rsidR="002F4973">
        <w:rPr>
          <w:b/>
        </w:rPr>
        <w:t xml:space="preserve"> </w:t>
      </w:r>
      <w:r w:rsidR="002F4973">
        <w:t xml:space="preserve">It was also Respondent view that the </w:t>
      </w:r>
      <w:r w:rsidR="00B21E3D">
        <w:t>Applicant</w:t>
      </w:r>
      <w:r w:rsidR="002F4973">
        <w:t xml:space="preserve"> was merely seeking a recalculation in order to benefit from the United States dollar regime that was introduced after the parties reached consent.</w:t>
      </w:r>
    </w:p>
    <w:p w:rsidR="00AF4D26" w:rsidRPr="00000F9E" w:rsidRDefault="00AF4D26" w:rsidP="003770F5">
      <w:pPr>
        <w:spacing w:before="240"/>
        <w:ind w:firstLine="720"/>
        <w:rPr>
          <w:b/>
          <w:u w:val="single"/>
        </w:rPr>
      </w:pPr>
      <w:r w:rsidRPr="00000F9E">
        <w:rPr>
          <w:b/>
          <w:u w:val="single"/>
        </w:rPr>
        <w:t>Conclusion</w:t>
      </w:r>
      <w:r w:rsidR="002F4973" w:rsidRPr="00000F9E">
        <w:rPr>
          <w:b/>
          <w:u w:val="single"/>
        </w:rPr>
        <w:t>.</w:t>
      </w:r>
    </w:p>
    <w:p w:rsidR="004C30B5" w:rsidRDefault="00AF4D26" w:rsidP="003770F5">
      <w:pPr>
        <w:spacing w:before="240"/>
        <w:ind w:firstLine="720"/>
      </w:pPr>
      <w:r>
        <w:t>The</w:t>
      </w:r>
      <w:r w:rsidR="00000F9E">
        <w:t xml:space="preserve"> proposed appeal raises</w:t>
      </w:r>
      <w:r>
        <w:t xml:space="preserve"> question as to whether or not this Court ha</w:t>
      </w:r>
      <w:r w:rsidR="00931F35">
        <w:t xml:space="preserve">d jurisdiction to quantify an order </w:t>
      </w:r>
      <w:r w:rsidR="00000F9E">
        <w:t xml:space="preserve">that </w:t>
      </w:r>
      <w:r w:rsidR="00931F35">
        <w:t>was</w:t>
      </w:r>
      <w:r w:rsidR="00000F9E">
        <w:t xml:space="preserve"> otherwise granted by consent. </w:t>
      </w:r>
      <w:r w:rsidR="004C30B5">
        <w:t xml:space="preserve">It is therefore a question which clearly ought to be referred to the superior court for the court to provide guidance. </w:t>
      </w:r>
      <w:r w:rsidR="00000F9E">
        <w:t>T</w:t>
      </w:r>
      <w:r w:rsidR="004C30B5">
        <w:t xml:space="preserve">he court on the basis of </w:t>
      </w:r>
      <w:r w:rsidR="004C30B5">
        <w:lastRenderedPageBreak/>
        <w:t>submissions by the Applicant is persuaded that another court could come to a different conclusion</w:t>
      </w:r>
      <w:r w:rsidR="00000F9E">
        <w:t xml:space="preserve"> as to</w:t>
      </w:r>
      <w:r w:rsidR="004C30B5">
        <w:t xml:space="preserve"> whether the court had authority to quantify the order in the circumstances of this case.</w:t>
      </w:r>
    </w:p>
    <w:p w:rsidR="004C30B5" w:rsidRDefault="004C30B5" w:rsidP="003770F5">
      <w:pPr>
        <w:spacing w:before="240"/>
        <w:ind w:firstLine="720"/>
        <w:rPr>
          <w:b/>
          <w:u w:val="single"/>
        </w:rPr>
      </w:pPr>
      <w:r>
        <w:rPr>
          <w:b/>
          <w:u w:val="single"/>
        </w:rPr>
        <w:t xml:space="preserve">Order </w:t>
      </w:r>
    </w:p>
    <w:p w:rsidR="00EB5250" w:rsidRPr="003770F5" w:rsidRDefault="004C30B5" w:rsidP="003770F5">
      <w:pPr>
        <w:spacing w:before="240"/>
        <w:ind w:firstLine="720"/>
        <w:rPr>
          <w:highlight w:val="yellow"/>
        </w:rPr>
      </w:pPr>
      <w:r>
        <w:t xml:space="preserve">In the light of the above the application for leave to appeal against the Court’s judgement dated </w:t>
      </w:r>
      <w:r w:rsidR="00000F9E">
        <w:t xml:space="preserve">the </w:t>
      </w:r>
      <w:r>
        <w:t xml:space="preserve">1 April, 2009 is allowed. </w:t>
      </w:r>
      <w:r w:rsidR="009103AC">
        <w:t xml:space="preserve">   </w:t>
      </w:r>
      <w:r w:rsidR="00C5136F">
        <w:t xml:space="preserve"> </w:t>
      </w:r>
      <w:r w:rsidR="00E22735">
        <w:t xml:space="preserve"> </w:t>
      </w:r>
      <w:r w:rsidR="002237A4">
        <w:t xml:space="preserve"> </w:t>
      </w:r>
      <w:r w:rsidR="002237A4">
        <w:rPr>
          <w:highlight w:val="yellow"/>
        </w:rPr>
        <w:t xml:space="preserve"> </w:t>
      </w:r>
      <w:r w:rsidR="003770F5">
        <w:rPr>
          <w:highlight w:val="yellow"/>
        </w:rPr>
        <w:t xml:space="preserve"> </w:t>
      </w:r>
      <w:r w:rsidR="003770F5">
        <w:t xml:space="preserve">   </w:t>
      </w:r>
      <w:r w:rsidR="00D8662B">
        <w:t xml:space="preserve">     </w:t>
      </w:r>
      <w:r w:rsidR="00CA0ADE">
        <w:t xml:space="preserve">     </w:t>
      </w:r>
      <w:r w:rsidR="00E150FC">
        <w:t xml:space="preserve">    </w:t>
      </w:r>
    </w:p>
    <w:p w:rsidR="00EB5250" w:rsidRDefault="00EB5250">
      <w:r>
        <w:tab/>
      </w:r>
    </w:p>
    <w:p w:rsidR="00EB5250" w:rsidRDefault="00EB5250"/>
    <w:p w:rsidR="00EB5250" w:rsidRDefault="00EB5250">
      <w:r>
        <w:tab/>
      </w:r>
    </w:p>
    <w:p w:rsidR="00EB5250" w:rsidRPr="00EB5250" w:rsidRDefault="00EB5250" w:rsidP="00EB5250">
      <w:pPr>
        <w:spacing w:after="240"/>
      </w:pPr>
    </w:p>
    <w:sectPr w:rsidR="00EB5250" w:rsidRPr="00EB5250" w:rsidSect="00432032">
      <w:headerReference w:type="default" r:id="rId8"/>
      <w:footerReference w:type="firs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1AC" w:rsidRDefault="005261AC" w:rsidP="00432032">
      <w:pPr>
        <w:spacing w:line="240" w:lineRule="auto"/>
      </w:pPr>
      <w:r>
        <w:separator/>
      </w:r>
    </w:p>
  </w:endnote>
  <w:endnote w:type="continuationSeparator" w:id="0">
    <w:p w:rsidR="005261AC" w:rsidRDefault="005261AC" w:rsidP="00432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63836"/>
      <w:docPartObj>
        <w:docPartGallery w:val="Page Numbers (Bottom of Page)"/>
        <w:docPartUnique/>
      </w:docPartObj>
    </w:sdtPr>
    <w:sdtEndPr>
      <w:rPr>
        <w:noProof/>
      </w:rPr>
    </w:sdtEndPr>
    <w:sdtContent>
      <w:p w:rsidR="00000F9E" w:rsidRDefault="00000F9E">
        <w:pPr>
          <w:pStyle w:val="Footer"/>
          <w:jc w:val="right"/>
        </w:pPr>
        <w:r>
          <w:fldChar w:fldCharType="begin"/>
        </w:r>
        <w:r>
          <w:instrText xml:space="preserve"> PAGE   \* MERGEFORMAT </w:instrText>
        </w:r>
        <w:r>
          <w:fldChar w:fldCharType="separate"/>
        </w:r>
        <w:r w:rsidR="00004A65">
          <w:rPr>
            <w:noProof/>
          </w:rPr>
          <w:t>1</w:t>
        </w:r>
        <w:r>
          <w:rPr>
            <w:noProof/>
          </w:rPr>
          <w:fldChar w:fldCharType="end"/>
        </w:r>
      </w:p>
    </w:sdtContent>
  </w:sdt>
  <w:p w:rsidR="00000F9E" w:rsidRDefault="00000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1AC" w:rsidRDefault="005261AC" w:rsidP="00432032">
      <w:pPr>
        <w:spacing w:line="240" w:lineRule="auto"/>
      </w:pPr>
      <w:r>
        <w:separator/>
      </w:r>
    </w:p>
  </w:footnote>
  <w:footnote w:type="continuationSeparator" w:id="0">
    <w:p w:rsidR="005261AC" w:rsidRDefault="005261AC" w:rsidP="004320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32" w:rsidRDefault="00432032" w:rsidP="00432032">
    <w:pPr>
      <w:ind w:left="5040" w:firstLine="720"/>
      <w:rPr>
        <w:b/>
      </w:rPr>
    </w:pPr>
    <w:r>
      <w:rPr>
        <w:b/>
      </w:rPr>
      <w:t>JUDGMENT NO LC/H/</w:t>
    </w:r>
    <w:r w:rsidR="00B3432F">
      <w:rPr>
        <w:b/>
      </w:rPr>
      <w:t>797</w:t>
    </w:r>
    <w:r>
      <w:rPr>
        <w:b/>
      </w:rPr>
      <w:t>/14</w:t>
    </w:r>
  </w:p>
  <w:p w:rsidR="00432032" w:rsidRDefault="00432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D0B71"/>
    <w:multiLevelType w:val="hybridMultilevel"/>
    <w:tmpl w:val="83C6BD80"/>
    <w:lvl w:ilvl="0" w:tplc="47C0DD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50"/>
    <w:rsid w:val="00000F9E"/>
    <w:rsid w:val="00004A65"/>
    <w:rsid w:val="00121AF0"/>
    <w:rsid w:val="00201C1C"/>
    <w:rsid w:val="002237A4"/>
    <w:rsid w:val="002E5AE4"/>
    <w:rsid w:val="002F4973"/>
    <w:rsid w:val="003770F5"/>
    <w:rsid w:val="00432032"/>
    <w:rsid w:val="004C30B5"/>
    <w:rsid w:val="004D1ED1"/>
    <w:rsid w:val="005261AC"/>
    <w:rsid w:val="00836FD7"/>
    <w:rsid w:val="008B0062"/>
    <w:rsid w:val="009103AC"/>
    <w:rsid w:val="009245D8"/>
    <w:rsid w:val="00931F35"/>
    <w:rsid w:val="0095292B"/>
    <w:rsid w:val="00A5242C"/>
    <w:rsid w:val="00AD7AE6"/>
    <w:rsid w:val="00AF4D26"/>
    <w:rsid w:val="00B21E3D"/>
    <w:rsid w:val="00B3432F"/>
    <w:rsid w:val="00BB40C6"/>
    <w:rsid w:val="00BC3564"/>
    <w:rsid w:val="00C5136F"/>
    <w:rsid w:val="00CA0ADE"/>
    <w:rsid w:val="00CF55B4"/>
    <w:rsid w:val="00D5652D"/>
    <w:rsid w:val="00D8662B"/>
    <w:rsid w:val="00E150FC"/>
    <w:rsid w:val="00E22735"/>
    <w:rsid w:val="00E22788"/>
    <w:rsid w:val="00E640A4"/>
    <w:rsid w:val="00EB52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788"/>
    <w:pPr>
      <w:spacing w:line="360" w:lineRule="auto"/>
      <w:jc w:val="both"/>
    </w:pPr>
    <w:rPr>
      <w:rFonts w:ascii="Courier New" w:hAnsi="Courier New"/>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2B"/>
    <w:pPr>
      <w:ind w:left="720"/>
      <w:contextualSpacing/>
    </w:pPr>
  </w:style>
  <w:style w:type="paragraph" w:styleId="Header">
    <w:name w:val="header"/>
    <w:basedOn w:val="Normal"/>
    <w:link w:val="HeaderChar"/>
    <w:rsid w:val="00432032"/>
    <w:pPr>
      <w:tabs>
        <w:tab w:val="center" w:pos="4513"/>
        <w:tab w:val="right" w:pos="9026"/>
      </w:tabs>
      <w:spacing w:line="240" w:lineRule="auto"/>
    </w:pPr>
  </w:style>
  <w:style w:type="character" w:customStyle="1" w:styleId="HeaderChar">
    <w:name w:val="Header Char"/>
    <w:basedOn w:val="DefaultParagraphFont"/>
    <w:link w:val="Header"/>
    <w:rsid w:val="00432032"/>
    <w:rPr>
      <w:rFonts w:ascii="Courier New" w:hAnsi="Courier New"/>
      <w:sz w:val="26"/>
      <w:szCs w:val="24"/>
      <w:lang w:val="en-GB" w:eastAsia="en-GB"/>
    </w:rPr>
  </w:style>
  <w:style w:type="paragraph" w:styleId="Footer">
    <w:name w:val="footer"/>
    <w:basedOn w:val="Normal"/>
    <w:link w:val="FooterChar"/>
    <w:uiPriority w:val="99"/>
    <w:rsid w:val="00432032"/>
    <w:pPr>
      <w:tabs>
        <w:tab w:val="center" w:pos="4513"/>
        <w:tab w:val="right" w:pos="9026"/>
      </w:tabs>
      <w:spacing w:line="240" w:lineRule="auto"/>
    </w:pPr>
  </w:style>
  <w:style w:type="character" w:customStyle="1" w:styleId="FooterChar">
    <w:name w:val="Footer Char"/>
    <w:basedOn w:val="DefaultParagraphFont"/>
    <w:link w:val="Footer"/>
    <w:uiPriority w:val="99"/>
    <w:rsid w:val="00432032"/>
    <w:rPr>
      <w:rFonts w:ascii="Courier New" w:hAnsi="Courier New"/>
      <w:sz w:val="26"/>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788"/>
    <w:pPr>
      <w:spacing w:line="360" w:lineRule="auto"/>
      <w:jc w:val="both"/>
    </w:pPr>
    <w:rPr>
      <w:rFonts w:ascii="Courier New" w:hAnsi="Courier New"/>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2B"/>
    <w:pPr>
      <w:ind w:left="720"/>
      <w:contextualSpacing/>
    </w:pPr>
  </w:style>
  <w:style w:type="paragraph" w:styleId="Header">
    <w:name w:val="header"/>
    <w:basedOn w:val="Normal"/>
    <w:link w:val="HeaderChar"/>
    <w:rsid w:val="00432032"/>
    <w:pPr>
      <w:tabs>
        <w:tab w:val="center" w:pos="4513"/>
        <w:tab w:val="right" w:pos="9026"/>
      </w:tabs>
      <w:spacing w:line="240" w:lineRule="auto"/>
    </w:pPr>
  </w:style>
  <w:style w:type="character" w:customStyle="1" w:styleId="HeaderChar">
    <w:name w:val="Header Char"/>
    <w:basedOn w:val="DefaultParagraphFont"/>
    <w:link w:val="Header"/>
    <w:rsid w:val="00432032"/>
    <w:rPr>
      <w:rFonts w:ascii="Courier New" w:hAnsi="Courier New"/>
      <w:sz w:val="26"/>
      <w:szCs w:val="24"/>
      <w:lang w:val="en-GB" w:eastAsia="en-GB"/>
    </w:rPr>
  </w:style>
  <w:style w:type="paragraph" w:styleId="Footer">
    <w:name w:val="footer"/>
    <w:basedOn w:val="Normal"/>
    <w:link w:val="FooterChar"/>
    <w:uiPriority w:val="99"/>
    <w:rsid w:val="00432032"/>
    <w:pPr>
      <w:tabs>
        <w:tab w:val="center" w:pos="4513"/>
        <w:tab w:val="right" w:pos="9026"/>
      </w:tabs>
      <w:spacing w:line="240" w:lineRule="auto"/>
    </w:pPr>
  </w:style>
  <w:style w:type="character" w:customStyle="1" w:styleId="FooterChar">
    <w:name w:val="Footer Char"/>
    <w:basedOn w:val="DefaultParagraphFont"/>
    <w:link w:val="Footer"/>
    <w:uiPriority w:val="99"/>
    <w:rsid w:val="00432032"/>
    <w:rPr>
      <w:rFonts w:ascii="Courier New" w:hAnsi="Courier New"/>
      <w:sz w:val="26"/>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M Chivizhe</dc:creator>
  <cp:lastModifiedBy>Labour Court</cp:lastModifiedBy>
  <cp:revision>2</cp:revision>
  <cp:lastPrinted>2014-11-19T14:20:00Z</cp:lastPrinted>
  <dcterms:created xsi:type="dcterms:W3CDTF">2014-11-19T14:44:00Z</dcterms:created>
  <dcterms:modified xsi:type="dcterms:W3CDTF">2014-11-19T14:44:00Z</dcterms:modified>
</cp:coreProperties>
</file>