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F5640" w14:textId="60C99B2E" w:rsidR="001E1AA9" w:rsidRPr="001E1AA9" w:rsidRDefault="001E1AA9" w:rsidP="001E1AA9">
      <w:pPr>
        <w:ind w:left="-284"/>
        <w:rPr>
          <w:rFonts w:ascii="Century Gothic" w:hAnsi="Century Gothic"/>
          <w:b/>
          <w:lang w:val="en-US"/>
        </w:rPr>
      </w:pPr>
      <w:bookmarkStart w:id="0" w:name="_GoBack"/>
      <w:bookmarkEnd w:id="0"/>
      <w:r w:rsidRPr="001E1AA9">
        <w:rPr>
          <w:rFonts w:ascii="Century Gothic" w:hAnsi="Century Gothic"/>
          <w:b/>
          <w:lang w:val="en-US"/>
        </w:rPr>
        <w:t>IN THE LABOUR COURT OF ZIMBABWE                       CASE NO LC/H/</w:t>
      </w:r>
      <w:r>
        <w:rPr>
          <w:rFonts w:ascii="Century Gothic" w:hAnsi="Century Gothic"/>
          <w:b/>
          <w:lang w:val="en-US"/>
        </w:rPr>
        <w:t>1250</w:t>
      </w:r>
      <w:r w:rsidRPr="001E1AA9">
        <w:rPr>
          <w:rFonts w:ascii="Century Gothic" w:hAnsi="Century Gothic"/>
          <w:b/>
          <w:lang w:val="en-US"/>
        </w:rPr>
        <w:t>/24</w:t>
      </w:r>
    </w:p>
    <w:p w14:paraId="0196A893" w14:textId="1D762C6E" w:rsidR="005F31C5" w:rsidRDefault="001E1AA9" w:rsidP="005F31C5">
      <w:pPr>
        <w:ind w:left="-284"/>
        <w:rPr>
          <w:rFonts w:ascii="Century Gothic" w:hAnsi="Century Gothic"/>
          <w:b/>
          <w:lang w:val="en-US"/>
        </w:rPr>
      </w:pPr>
      <w:r w:rsidRPr="001E1AA9">
        <w:rPr>
          <w:rFonts w:ascii="Century Gothic" w:hAnsi="Century Gothic"/>
          <w:b/>
          <w:lang w:val="en-US"/>
        </w:rPr>
        <w:t xml:space="preserve">HELD AT HARARE, </w:t>
      </w:r>
      <w:r>
        <w:rPr>
          <w:rFonts w:ascii="Century Gothic" w:hAnsi="Century Gothic"/>
          <w:b/>
          <w:lang w:val="en-US"/>
        </w:rPr>
        <w:t>11</w:t>
      </w:r>
      <w:r w:rsidRPr="001E1AA9">
        <w:rPr>
          <w:rFonts w:ascii="Century Gothic" w:hAnsi="Century Gothic"/>
          <w:b/>
          <w:vertAlign w:val="superscript"/>
          <w:lang w:val="en-US"/>
        </w:rPr>
        <w:t>th</w:t>
      </w:r>
      <w:r>
        <w:rPr>
          <w:rFonts w:ascii="Century Gothic" w:hAnsi="Century Gothic"/>
          <w:b/>
          <w:lang w:val="en-US"/>
        </w:rPr>
        <w:t xml:space="preserve"> of FEBRUARY</w:t>
      </w:r>
      <w:r w:rsidRPr="001E1AA9">
        <w:rPr>
          <w:rFonts w:ascii="Century Gothic" w:hAnsi="Century Gothic"/>
          <w:b/>
          <w:lang w:val="en-US"/>
        </w:rPr>
        <w:t xml:space="preserve"> 202</w:t>
      </w:r>
      <w:r w:rsidR="005F31C5">
        <w:rPr>
          <w:rFonts w:ascii="Century Gothic" w:hAnsi="Century Gothic"/>
          <w:b/>
          <w:lang w:val="en-US"/>
        </w:rPr>
        <w:t>5</w:t>
      </w:r>
    </w:p>
    <w:p w14:paraId="24E62F0D" w14:textId="46590E95" w:rsidR="005F31C5" w:rsidRPr="001E1AA9" w:rsidRDefault="005F31C5" w:rsidP="005F31C5">
      <w:pPr>
        <w:ind w:left="-284"/>
        <w:rPr>
          <w:rFonts w:ascii="Century Gothic" w:hAnsi="Century Gothic"/>
          <w:b/>
          <w:lang w:val="en-US"/>
        </w:rPr>
      </w:pPr>
      <w:r>
        <w:rPr>
          <w:rFonts w:ascii="Century Gothic" w:hAnsi="Century Gothic"/>
          <w:b/>
          <w:lang w:val="en-US"/>
        </w:rPr>
        <w:t>AND 6 MARCH 2025</w:t>
      </w:r>
    </w:p>
    <w:p w14:paraId="1C8DF430" w14:textId="77777777" w:rsidR="001E1AA9" w:rsidRPr="001E1AA9" w:rsidRDefault="001E1AA9" w:rsidP="001E1AA9">
      <w:pPr>
        <w:ind w:left="-284"/>
        <w:rPr>
          <w:rFonts w:ascii="Century Gothic" w:hAnsi="Century Gothic"/>
          <w:b/>
          <w:lang w:val="en-US"/>
        </w:rPr>
      </w:pPr>
    </w:p>
    <w:p w14:paraId="0CDD8F49" w14:textId="77777777" w:rsidR="001E1AA9" w:rsidRPr="001E1AA9" w:rsidRDefault="001E1AA9" w:rsidP="001E1AA9">
      <w:pPr>
        <w:ind w:left="-284"/>
        <w:rPr>
          <w:rFonts w:ascii="Century Gothic" w:hAnsi="Century Gothic"/>
          <w:b/>
          <w:lang w:val="en-US"/>
        </w:rPr>
      </w:pPr>
    </w:p>
    <w:p w14:paraId="2ACE9FB0" w14:textId="77777777" w:rsidR="001E1AA9" w:rsidRPr="001E1AA9" w:rsidRDefault="001E1AA9" w:rsidP="001E1AA9">
      <w:pPr>
        <w:ind w:left="-284"/>
        <w:rPr>
          <w:rFonts w:ascii="Century Gothic" w:hAnsi="Century Gothic"/>
          <w:lang w:val="en-US"/>
        </w:rPr>
      </w:pPr>
      <w:r w:rsidRPr="001E1AA9">
        <w:rPr>
          <w:rFonts w:ascii="Century Gothic" w:hAnsi="Century Gothic"/>
          <w:lang w:val="en-US"/>
        </w:rPr>
        <w:t>In the matter between: -</w:t>
      </w:r>
    </w:p>
    <w:p w14:paraId="53D0F74E" w14:textId="77777777" w:rsidR="001E1AA9" w:rsidRPr="001E1AA9" w:rsidRDefault="001E1AA9" w:rsidP="001E1AA9">
      <w:pPr>
        <w:ind w:left="-284"/>
        <w:rPr>
          <w:rFonts w:ascii="Century Gothic" w:hAnsi="Century Gothic"/>
          <w:lang w:val="en-US"/>
        </w:rPr>
      </w:pPr>
    </w:p>
    <w:p w14:paraId="12AC5969" w14:textId="389FCFD4" w:rsidR="001E1AA9" w:rsidRPr="001E1AA9" w:rsidRDefault="001E1AA9" w:rsidP="001E1AA9">
      <w:pPr>
        <w:ind w:left="-284"/>
        <w:rPr>
          <w:rFonts w:ascii="Century Gothic" w:hAnsi="Century Gothic"/>
          <w:b/>
          <w:lang w:val="en-US"/>
        </w:rPr>
      </w:pPr>
      <w:r>
        <w:rPr>
          <w:rFonts w:ascii="Century Gothic" w:hAnsi="Century Gothic"/>
          <w:b/>
          <w:lang w:val="en-US"/>
        </w:rPr>
        <w:t>ELEPHANT TUNNELLERS</w:t>
      </w:r>
      <w:r w:rsidRPr="001E1AA9">
        <w:rPr>
          <w:rFonts w:ascii="Century Gothic" w:hAnsi="Century Gothic"/>
          <w:b/>
          <w:lang w:val="en-US"/>
        </w:rPr>
        <w:t>:</w:t>
      </w:r>
      <w:r w:rsidRPr="001E1AA9">
        <w:rPr>
          <w:rFonts w:ascii="Century Gothic" w:hAnsi="Century Gothic"/>
          <w:b/>
          <w:lang w:val="en-US"/>
        </w:rPr>
        <w:tab/>
      </w:r>
      <w:r w:rsidRPr="001E1AA9">
        <w:rPr>
          <w:rFonts w:ascii="Century Gothic" w:hAnsi="Century Gothic"/>
          <w:b/>
          <w:lang w:val="en-US"/>
        </w:rPr>
        <w:tab/>
      </w:r>
      <w:r w:rsidRPr="001E1AA9">
        <w:rPr>
          <w:rFonts w:ascii="Century Gothic" w:hAnsi="Century Gothic"/>
          <w:b/>
          <w:lang w:val="en-US"/>
        </w:rPr>
        <w:tab/>
      </w:r>
      <w:r w:rsidRPr="001E1AA9">
        <w:rPr>
          <w:rFonts w:ascii="Century Gothic" w:hAnsi="Century Gothic"/>
          <w:b/>
          <w:lang w:val="en-US"/>
        </w:rPr>
        <w:tab/>
      </w:r>
      <w:r w:rsidRPr="001E1AA9">
        <w:rPr>
          <w:rFonts w:ascii="Century Gothic" w:hAnsi="Century Gothic"/>
          <w:b/>
          <w:lang w:val="en-US"/>
        </w:rPr>
        <w:tab/>
        <w:t>1</w:t>
      </w:r>
      <w:r w:rsidRPr="001E1AA9">
        <w:rPr>
          <w:rFonts w:ascii="Century Gothic" w:hAnsi="Century Gothic"/>
          <w:b/>
          <w:vertAlign w:val="superscript"/>
          <w:lang w:val="en-US"/>
        </w:rPr>
        <w:t>ST</w:t>
      </w:r>
      <w:r w:rsidRPr="001E1AA9">
        <w:rPr>
          <w:rFonts w:ascii="Century Gothic" w:hAnsi="Century Gothic"/>
          <w:b/>
          <w:lang w:val="en-US"/>
        </w:rPr>
        <w:t xml:space="preserve"> APPELLANT</w:t>
      </w:r>
    </w:p>
    <w:p w14:paraId="6429544D" w14:textId="77777777" w:rsidR="001E1AA9" w:rsidRPr="001E1AA9" w:rsidRDefault="001E1AA9" w:rsidP="001E1AA9">
      <w:pPr>
        <w:ind w:left="-284"/>
        <w:rPr>
          <w:rFonts w:ascii="Century Gothic" w:hAnsi="Century Gothic"/>
          <w:b/>
          <w:lang w:val="en-US"/>
        </w:rPr>
      </w:pPr>
      <w:r w:rsidRPr="001E1AA9">
        <w:rPr>
          <w:rFonts w:ascii="Century Gothic" w:hAnsi="Century Gothic"/>
          <w:b/>
          <w:lang w:val="en-US"/>
        </w:rPr>
        <w:t>And</w:t>
      </w:r>
    </w:p>
    <w:p w14:paraId="2093E903" w14:textId="546DC4F8" w:rsidR="001E1AA9" w:rsidRPr="001E1AA9" w:rsidRDefault="001E1AA9" w:rsidP="001E1AA9">
      <w:pPr>
        <w:ind w:left="-284"/>
        <w:rPr>
          <w:rFonts w:ascii="Century Gothic" w:hAnsi="Century Gothic"/>
          <w:b/>
          <w:lang w:val="en-US"/>
        </w:rPr>
      </w:pPr>
      <w:r>
        <w:rPr>
          <w:rFonts w:ascii="Century Gothic" w:hAnsi="Century Gothic"/>
          <w:b/>
          <w:lang w:val="en-US"/>
        </w:rPr>
        <w:t>MANATSA VUSHE</w:t>
      </w:r>
      <w:r w:rsidRPr="001E1AA9">
        <w:rPr>
          <w:rFonts w:ascii="Century Gothic" w:hAnsi="Century Gothic"/>
          <w:b/>
          <w:lang w:val="en-US"/>
        </w:rPr>
        <w:t>:</w:t>
      </w:r>
      <w:r w:rsidRPr="001E1AA9">
        <w:rPr>
          <w:rFonts w:ascii="Century Gothic" w:hAnsi="Century Gothic"/>
          <w:b/>
          <w:lang w:val="en-US"/>
        </w:rPr>
        <w:tab/>
      </w:r>
      <w:r w:rsidRPr="001E1AA9">
        <w:rPr>
          <w:rFonts w:ascii="Century Gothic" w:hAnsi="Century Gothic"/>
          <w:b/>
          <w:lang w:val="en-US"/>
        </w:rPr>
        <w:tab/>
      </w:r>
      <w:r w:rsidRPr="001E1AA9">
        <w:rPr>
          <w:rFonts w:ascii="Century Gothic" w:hAnsi="Century Gothic"/>
          <w:b/>
          <w:lang w:val="en-US"/>
        </w:rPr>
        <w:tab/>
      </w:r>
      <w:r>
        <w:rPr>
          <w:rFonts w:ascii="Century Gothic" w:hAnsi="Century Gothic"/>
          <w:b/>
          <w:lang w:val="en-US"/>
        </w:rPr>
        <w:tab/>
      </w:r>
      <w:r>
        <w:rPr>
          <w:rFonts w:ascii="Century Gothic" w:hAnsi="Century Gothic"/>
          <w:b/>
          <w:lang w:val="en-US"/>
        </w:rPr>
        <w:tab/>
      </w:r>
      <w:r>
        <w:rPr>
          <w:rFonts w:ascii="Century Gothic" w:hAnsi="Century Gothic"/>
          <w:b/>
          <w:lang w:val="en-US"/>
        </w:rPr>
        <w:tab/>
      </w:r>
      <w:r w:rsidRPr="001E1AA9">
        <w:rPr>
          <w:rFonts w:ascii="Century Gothic" w:hAnsi="Century Gothic"/>
          <w:b/>
          <w:lang w:val="en-US"/>
        </w:rPr>
        <w:t>RESPONDENT</w:t>
      </w:r>
    </w:p>
    <w:p w14:paraId="655EE62A" w14:textId="77777777" w:rsidR="001E1AA9" w:rsidRPr="001E1AA9" w:rsidRDefault="001E1AA9" w:rsidP="001E1AA9">
      <w:pPr>
        <w:ind w:left="-284"/>
        <w:rPr>
          <w:rFonts w:ascii="Century Gothic" w:hAnsi="Century Gothic"/>
          <w:b/>
          <w:lang w:val="en-US"/>
        </w:rPr>
      </w:pPr>
    </w:p>
    <w:p w14:paraId="04B0BD71" w14:textId="77777777" w:rsidR="001E1AA9" w:rsidRPr="001E1AA9" w:rsidRDefault="001E1AA9" w:rsidP="001E1AA9">
      <w:pPr>
        <w:ind w:left="-284"/>
        <w:rPr>
          <w:rFonts w:ascii="Century Gothic" w:hAnsi="Century Gothic"/>
          <w:lang w:val="en-US"/>
        </w:rPr>
      </w:pPr>
    </w:p>
    <w:p w14:paraId="0B6045E9" w14:textId="4A75765C" w:rsidR="001E1AA9" w:rsidRPr="001E1AA9" w:rsidRDefault="001E1AA9" w:rsidP="001E1AA9">
      <w:pPr>
        <w:ind w:left="-284"/>
        <w:rPr>
          <w:rFonts w:ascii="Century Gothic" w:hAnsi="Century Gothic"/>
          <w:lang w:val="en-US"/>
        </w:rPr>
      </w:pPr>
      <w:r w:rsidRPr="001E1AA9">
        <w:rPr>
          <w:rFonts w:ascii="Century Gothic" w:hAnsi="Century Gothic"/>
          <w:lang w:val="en-US"/>
        </w:rPr>
        <w:t>BEFORE THE HONOURABLE KACHAMBWA J</w:t>
      </w:r>
      <w:r w:rsidR="00744DE6">
        <w:rPr>
          <w:rFonts w:ascii="Century Gothic" w:hAnsi="Century Gothic"/>
          <w:lang w:val="en-US"/>
        </w:rPr>
        <w:t>,</w:t>
      </w:r>
    </w:p>
    <w:p w14:paraId="0766B56B" w14:textId="77777777" w:rsidR="001E1AA9" w:rsidRPr="001E1AA9" w:rsidRDefault="001E1AA9" w:rsidP="001E1AA9">
      <w:pPr>
        <w:ind w:left="-284"/>
        <w:rPr>
          <w:rFonts w:ascii="Century Gothic" w:hAnsi="Century Gothic"/>
          <w:lang w:val="en-US"/>
        </w:rPr>
      </w:pPr>
    </w:p>
    <w:p w14:paraId="0A4A7F13" w14:textId="22B412FD" w:rsidR="001E1AA9" w:rsidRPr="001E1AA9" w:rsidRDefault="001E1AA9" w:rsidP="001E1AA9">
      <w:pPr>
        <w:ind w:left="-284"/>
        <w:rPr>
          <w:rFonts w:ascii="Century Gothic" w:hAnsi="Century Gothic"/>
          <w:b/>
          <w:lang w:val="en-US"/>
        </w:rPr>
      </w:pPr>
      <w:r w:rsidRPr="001E1AA9">
        <w:rPr>
          <w:rFonts w:ascii="Century Gothic" w:hAnsi="Century Gothic"/>
          <w:b/>
          <w:lang w:val="en-US"/>
        </w:rPr>
        <w:t xml:space="preserve">For the Appellant:                                    </w:t>
      </w:r>
      <w:r>
        <w:rPr>
          <w:rFonts w:ascii="Century Gothic" w:hAnsi="Century Gothic"/>
          <w:b/>
          <w:i/>
          <w:iCs/>
          <w:lang w:val="en-US"/>
        </w:rPr>
        <w:t>M Mandevere</w:t>
      </w:r>
      <w:r w:rsidRPr="001E1AA9">
        <w:rPr>
          <w:rFonts w:ascii="Century Gothic" w:hAnsi="Century Gothic"/>
          <w:b/>
          <w:i/>
          <w:lang w:val="en-US"/>
        </w:rPr>
        <w:t>,</w:t>
      </w:r>
      <w:r w:rsidRPr="001E1AA9">
        <w:rPr>
          <w:rFonts w:ascii="Century Gothic" w:hAnsi="Century Gothic"/>
          <w:b/>
          <w:lang w:val="en-US"/>
        </w:rPr>
        <w:t xml:space="preserve"> Legal Practitioner</w:t>
      </w:r>
    </w:p>
    <w:p w14:paraId="66F9AE07" w14:textId="66B2AF87" w:rsidR="001E1AA9" w:rsidRPr="001E1AA9" w:rsidRDefault="001E1AA9" w:rsidP="001E1AA9">
      <w:pPr>
        <w:ind w:left="-284"/>
        <w:rPr>
          <w:rFonts w:ascii="Century Gothic" w:hAnsi="Century Gothic"/>
          <w:b/>
          <w:lang w:val="en-US"/>
        </w:rPr>
      </w:pPr>
      <w:r w:rsidRPr="001E1AA9">
        <w:rPr>
          <w:rFonts w:ascii="Century Gothic" w:hAnsi="Century Gothic"/>
          <w:b/>
          <w:lang w:val="en-US"/>
        </w:rPr>
        <w:t xml:space="preserve">For the Respondent:                                </w:t>
      </w:r>
      <w:r>
        <w:rPr>
          <w:rFonts w:ascii="Century Gothic" w:hAnsi="Century Gothic"/>
          <w:b/>
          <w:i/>
          <w:lang w:val="en-US"/>
        </w:rPr>
        <w:t>S Katsuwa</w:t>
      </w:r>
      <w:r w:rsidRPr="001E1AA9">
        <w:rPr>
          <w:rFonts w:ascii="Century Gothic" w:hAnsi="Century Gothic"/>
          <w:b/>
          <w:lang w:val="en-US"/>
        </w:rPr>
        <w:t>, Legal Practitioner</w:t>
      </w:r>
    </w:p>
    <w:p w14:paraId="1396303E" w14:textId="7004B272" w:rsidR="001E1AA9" w:rsidRPr="001E1AA9" w:rsidRDefault="001E1AA9" w:rsidP="001E1AA9">
      <w:pPr>
        <w:ind w:left="-284"/>
        <w:rPr>
          <w:rFonts w:ascii="Century Gothic" w:hAnsi="Century Gothic"/>
          <w:b/>
          <w:i/>
          <w:lang w:val="en-US"/>
        </w:rPr>
      </w:pPr>
      <w:r w:rsidRPr="001E1AA9">
        <w:rPr>
          <w:rFonts w:ascii="Century Gothic" w:hAnsi="Century Gothic"/>
          <w:b/>
          <w:lang w:val="en-US"/>
        </w:rPr>
        <w:t xml:space="preserve">                                                               </w:t>
      </w:r>
    </w:p>
    <w:p w14:paraId="03C56B02" w14:textId="77777777" w:rsidR="001E1AA9" w:rsidRPr="001E1AA9" w:rsidRDefault="001E1AA9" w:rsidP="001E1AA9">
      <w:pPr>
        <w:ind w:left="-284"/>
        <w:rPr>
          <w:rFonts w:ascii="Century Gothic" w:hAnsi="Century Gothic"/>
          <w:lang w:val="en-US"/>
        </w:rPr>
      </w:pPr>
    </w:p>
    <w:p w14:paraId="47A6CCD8" w14:textId="77777777" w:rsidR="001E1AA9" w:rsidRPr="001E1AA9" w:rsidRDefault="001E1AA9" w:rsidP="001E1AA9">
      <w:pPr>
        <w:ind w:left="-284"/>
        <w:rPr>
          <w:rFonts w:ascii="Century Gothic" w:hAnsi="Century Gothic"/>
          <w:b/>
          <w:lang w:val="en-US"/>
        </w:rPr>
      </w:pPr>
      <w:r w:rsidRPr="001E1AA9">
        <w:rPr>
          <w:rFonts w:ascii="Century Gothic" w:hAnsi="Century Gothic"/>
          <w:b/>
          <w:lang w:val="en-US"/>
        </w:rPr>
        <w:t>KACHAMBWA, J:</w:t>
      </w:r>
    </w:p>
    <w:p w14:paraId="650D5F3F" w14:textId="77777777" w:rsidR="001E1AA9" w:rsidRPr="001E1AA9" w:rsidRDefault="001E1AA9" w:rsidP="001E1AA9">
      <w:pPr>
        <w:ind w:left="-284"/>
        <w:rPr>
          <w:rFonts w:ascii="Century Gothic" w:hAnsi="Century Gothic"/>
          <w:lang w:val="en-US"/>
        </w:rPr>
      </w:pPr>
    </w:p>
    <w:p w14:paraId="4D0BD97D" w14:textId="77777777" w:rsidR="001E1AA9" w:rsidRPr="001E1AA9" w:rsidRDefault="001E1AA9" w:rsidP="001E1AA9">
      <w:pPr>
        <w:ind w:left="-284"/>
        <w:rPr>
          <w:rFonts w:ascii="Century Gothic" w:hAnsi="Century Gothic"/>
          <w:b/>
          <w:lang w:val="en-US"/>
        </w:rPr>
      </w:pPr>
    </w:p>
    <w:p w14:paraId="5AA375F0" w14:textId="77777777" w:rsidR="001E1AA9" w:rsidRPr="001E1AA9" w:rsidRDefault="001E1AA9" w:rsidP="001E1AA9">
      <w:pPr>
        <w:ind w:left="-284"/>
        <w:rPr>
          <w:rFonts w:ascii="Century Gothic" w:hAnsi="Century Gothic"/>
          <w:b/>
          <w:lang w:val="en-US"/>
        </w:rPr>
      </w:pPr>
      <w:r w:rsidRPr="001E1AA9">
        <w:rPr>
          <w:rFonts w:ascii="Century Gothic" w:hAnsi="Century Gothic"/>
          <w:b/>
          <w:lang w:val="en-US"/>
        </w:rPr>
        <w:t>THE APPEAL</w:t>
      </w:r>
    </w:p>
    <w:p w14:paraId="4BF056BF" w14:textId="309800B3" w:rsidR="001E1AA9" w:rsidRPr="001E1AA9" w:rsidRDefault="001E1AA9" w:rsidP="00C84AA8">
      <w:pPr>
        <w:numPr>
          <w:ilvl w:val="0"/>
          <w:numId w:val="3"/>
        </w:numPr>
        <w:spacing w:line="480" w:lineRule="auto"/>
        <w:jc w:val="both"/>
        <w:rPr>
          <w:rFonts w:ascii="Century Gothic" w:hAnsi="Century Gothic"/>
          <w:bCs/>
          <w:lang w:val="en-US"/>
        </w:rPr>
      </w:pPr>
      <w:r w:rsidRPr="001E1AA9">
        <w:rPr>
          <w:rFonts w:ascii="Century Gothic" w:hAnsi="Century Gothic"/>
          <w:bCs/>
          <w:lang w:val="en-US"/>
        </w:rPr>
        <w:t xml:space="preserve">This is an appeal against the whole Arbitral Award handed down by Honorable Arbitrator, </w:t>
      </w:r>
      <w:r w:rsidR="00286CD0">
        <w:rPr>
          <w:rFonts w:ascii="Century Gothic" w:hAnsi="Century Gothic"/>
          <w:bCs/>
          <w:lang w:val="en-US"/>
        </w:rPr>
        <w:t>N.</w:t>
      </w:r>
      <w:r w:rsidRPr="001E1AA9">
        <w:rPr>
          <w:rFonts w:ascii="Century Gothic" w:hAnsi="Century Gothic"/>
          <w:bCs/>
          <w:lang w:val="en-US"/>
        </w:rPr>
        <w:t xml:space="preserve"> </w:t>
      </w:r>
      <w:r w:rsidR="00AD7642">
        <w:rPr>
          <w:rFonts w:ascii="Century Gothic" w:hAnsi="Century Gothic"/>
          <w:bCs/>
          <w:lang w:val="en-US"/>
        </w:rPr>
        <w:t>Shumba</w:t>
      </w:r>
      <w:r w:rsidRPr="001E1AA9">
        <w:rPr>
          <w:rFonts w:ascii="Century Gothic" w:hAnsi="Century Gothic"/>
          <w:bCs/>
          <w:lang w:val="en-US"/>
        </w:rPr>
        <w:t xml:space="preserve"> on the </w:t>
      </w:r>
      <w:r w:rsidR="00AD7642">
        <w:rPr>
          <w:rFonts w:ascii="Century Gothic" w:hAnsi="Century Gothic"/>
          <w:bCs/>
          <w:lang w:val="en-US"/>
        </w:rPr>
        <w:t>14</w:t>
      </w:r>
      <w:r w:rsidRPr="001E1AA9">
        <w:rPr>
          <w:rFonts w:ascii="Century Gothic" w:hAnsi="Century Gothic"/>
          <w:bCs/>
          <w:vertAlign w:val="superscript"/>
          <w:lang w:val="en-US"/>
        </w:rPr>
        <w:t>th</w:t>
      </w:r>
      <w:r w:rsidRPr="001E1AA9">
        <w:rPr>
          <w:rFonts w:ascii="Century Gothic" w:hAnsi="Century Gothic"/>
          <w:bCs/>
          <w:lang w:val="en-US"/>
        </w:rPr>
        <w:t xml:space="preserve"> of </w:t>
      </w:r>
      <w:r w:rsidR="00AD7642">
        <w:rPr>
          <w:rFonts w:ascii="Century Gothic" w:hAnsi="Century Gothic"/>
          <w:bCs/>
          <w:lang w:val="en-US"/>
        </w:rPr>
        <w:t>November</w:t>
      </w:r>
      <w:r w:rsidRPr="001E1AA9">
        <w:rPr>
          <w:rFonts w:ascii="Century Gothic" w:hAnsi="Century Gothic"/>
          <w:bCs/>
          <w:lang w:val="en-US"/>
        </w:rPr>
        <w:t xml:space="preserve"> 2024. Appellant raised </w:t>
      </w:r>
      <w:r w:rsidR="00AD7642">
        <w:rPr>
          <w:rFonts w:ascii="Century Gothic" w:hAnsi="Century Gothic"/>
          <w:bCs/>
          <w:lang w:val="en-US"/>
        </w:rPr>
        <w:t>Five</w:t>
      </w:r>
      <w:r w:rsidRPr="001E1AA9">
        <w:rPr>
          <w:rFonts w:ascii="Century Gothic" w:hAnsi="Century Gothic"/>
          <w:bCs/>
          <w:lang w:val="en-US"/>
        </w:rPr>
        <w:t xml:space="preserve"> grounds of appeal as follows:</w:t>
      </w:r>
    </w:p>
    <w:p w14:paraId="5E3CC011" w14:textId="5A69B5AB" w:rsidR="001E1AA9" w:rsidRPr="003F2C62" w:rsidRDefault="001E1AA9" w:rsidP="00C84AA8">
      <w:pPr>
        <w:numPr>
          <w:ilvl w:val="1"/>
          <w:numId w:val="2"/>
        </w:numPr>
        <w:spacing w:line="480" w:lineRule="auto"/>
        <w:jc w:val="both"/>
        <w:rPr>
          <w:rFonts w:ascii="Century Gothic" w:hAnsi="Century Gothic"/>
          <w:lang w:val="en-US"/>
        </w:rPr>
      </w:pPr>
      <w:bookmarkStart w:id="1" w:name="_Hlk177139660"/>
      <w:r w:rsidRPr="003F2C62">
        <w:rPr>
          <w:rFonts w:ascii="Century Gothic" w:hAnsi="Century Gothic"/>
          <w:lang w:val="en-US"/>
        </w:rPr>
        <w:lastRenderedPageBreak/>
        <w:t>“</w:t>
      </w:r>
      <w:r w:rsidR="00AD7642" w:rsidRPr="003F2C62">
        <w:rPr>
          <w:rFonts w:ascii="Century Gothic" w:hAnsi="Century Gothic"/>
          <w:lang w:val="en-US"/>
        </w:rPr>
        <w:t>The Honourable Arbitrator grossly misdirected himself at law in assuming jurisdiction over a matter which had been heard in default of appearance by the Claimant.</w:t>
      </w:r>
    </w:p>
    <w:p w14:paraId="5BA12E7B" w14:textId="4C69F70B" w:rsidR="001E1AA9" w:rsidRPr="003F2C62" w:rsidRDefault="00AD7642" w:rsidP="00C84AA8">
      <w:pPr>
        <w:numPr>
          <w:ilvl w:val="1"/>
          <w:numId w:val="2"/>
        </w:numPr>
        <w:spacing w:line="480" w:lineRule="auto"/>
        <w:jc w:val="both"/>
        <w:rPr>
          <w:rFonts w:ascii="Century Gothic" w:hAnsi="Century Gothic"/>
          <w:lang w:val="en-US"/>
        </w:rPr>
      </w:pPr>
      <w:r w:rsidRPr="003F2C62">
        <w:rPr>
          <w:rFonts w:ascii="Century Gothic" w:hAnsi="Century Gothic"/>
          <w:lang w:val="en-US"/>
        </w:rPr>
        <w:t xml:space="preserve">The Honourable Arbitrator grossly misdirected himself at law in his finding that S.I 15 </w:t>
      </w:r>
      <w:r w:rsidR="00432218">
        <w:rPr>
          <w:rFonts w:ascii="Century Gothic" w:hAnsi="Century Gothic"/>
          <w:lang w:val="en-US"/>
        </w:rPr>
        <w:t xml:space="preserve">2006 </w:t>
      </w:r>
      <w:r w:rsidR="00B057EC">
        <w:rPr>
          <w:rFonts w:ascii="Century Gothic" w:hAnsi="Century Gothic"/>
          <w:lang w:val="en-US"/>
        </w:rPr>
        <w:t xml:space="preserve"> </w:t>
      </w:r>
      <w:r w:rsidRPr="003F2C62">
        <w:rPr>
          <w:rFonts w:ascii="Century Gothic" w:hAnsi="Century Gothic"/>
          <w:lang w:val="en-US"/>
        </w:rPr>
        <w:t>was not applicable to the case when the Respondent and Claimant were not members of the NEC for Mining Industry when the Respondent and Claimant were not members of the NEC for the Mining Industry</w:t>
      </w:r>
      <w:r w:rsidR="001E1AA9" w:rsidRPr="003F2C62">
        <w:rPr>
          <w:rFonts w:ascii="Century Gothic" w:hAnsi="Century Gothic"/>
          <w:lang w:val="en-US"/>
        </w:rPr>
        <w:t>.</w:t>
      </w:r>
    </w:p>
    <w:p w14:paraId="51810A83" w14:textId="772EEC50" w:rsidR="001E1AA9" w:rsidRPr="003F2C62" w:rsidRDefault="00AD7642" w:rsidP="00C84AA8">
      <w:pPr>
        <w:numPr>
          <w:ilvl w:val="1"/>
          <w:numId w:val="2"/>
        </w:numPr>
        <w:spacing w:line="480" w:lineRule="auto"/>
        <w:jc w:val="both"/>
        <w:rPr>
          <w:rFonts w:ascii="Century Gothic" w:hAnsi="Century Gothic"/>
          <w:lang w:val="en-US"/>
        </w:rPr>
      </w:pPr>
      <w:r w:rsidRPr="003F2C62">
        <w:rPr>
          <w:rFonts w:ascii="Century Gothic" w:hAnsi="Century Gothic"/>
          <w:lang w:val="en-US"/>
        </w:rPr>
        <w:t>The Honourable Arbitrator grossly misdirected himself at law in his finding that, the Claimant was employed by the Appellant in the Mining Industry and</w:t>
      </w:r>
      <w:r w:rsidR="00C84AA8" w:rsidRPr="003F2C62">
        <w:rPr>
          <w:rFonts w:ascii="Century Gothic" w:hAnsi="Century Gothic"/>
          <w:lang w:val="en-US"/>
        </w:rPr>
        <w:t xml:space="preserve"> that the Appellant belonged to the NEC for the Mining Industry at the same time ruling that the Claimant was not employed by Laryscope Healthcare (Pvt) Ltd when the mining claims Claimant was not employed by Laryscope Healthcare (Pvt) Ltd and not the Appellant</w:t>
      </w:r>
      <w:r w:rsidR="001E1AA9" w:rsidRPr="003F2C62">
        <w:rPr>
          <w:rFonts w:ascii="Century Gothic" w:hAnsi="Century Gothic"/>
          <w:lang w:val="en-US"/>
        </w:rPr>
        <w:t>.</w:t>
      </w:r>
    </w:p>
    <w:p w14:paraId="327ED956" w14:textId="4583AEF8" w:rsidR="00C84AA8" w:rsidRPr="003F2C62" w:rsidRDefault="00C84AA8" w:rsidP="00C84AA8">
      <w:pPr>
        <w:numPr>
          <w:ilvl w:val="1"/>
          <w:numId w:val="2"/>
        </w:numPr>
        <w:spacing w:line="480" w:lineRule="auto"/>
        <w:jc w:val="both"/>
        <w:rPr>
          <w:rFonts w:ascii="Century Gothic" w:hAnsi="Century Gothic"/>
          <w:lang w:val="en-US"/>
        </w:rPr>
      </w:pPr>
      <w:r w:rsidRPr="003F2C62">
        <w:rPr>
          <w:rFonts w:ascii="Century Gothic" w:hAnsi="Century Gothic"/>
          <w:lang w:val="en-US"/>
        </w:rPr>
        <w:t xml:space="preserve">The Tribunal grossly misdirected itself in its finding that the Claimant was </w:t>
      </w:r>
      <w:r w:rsidR="00286CD0" w:rsidRPr="003F2C62">
        <w:rPr>
          <w:rFonts w:ascii="Century Gothic" w:hAnsi="Century Gothic"/>
          <w:lang w:val="en-US"/>
        </w:rPr>
        <w:t>underpaid</w:t>
      </w:r>
      <w:r w:rsidRPr="003F2C62">
        <w:rPr>
          <w:rFonts w:ascii="Century Gothic" w:hAnsi="Century Gothic"/>
          <w:lang w:val="en-US"/>
        </w:rPr>
        <w:t xml:space="preserve"> in the amount of US$993.66 and in leave days in the sum of US$182.50 on the basis of the CBA for Mining Industry when the Appellant is not part of the CBA for Mining Industry</w:t>
      </w:r>
      <w:r w:rsidR="001E1AA9" w:rsidRPr="003F2C62">
        <w:rPr>
          <w:rFonts w:ascii="Century Gothic" w:hAnsi="Century Gothic"/>
          <w:lang w:val="en-US"/>
        </w:rPr>
        <w:t>.</w:t>
      </w:r>
    </w:p>
    <w:p w14:paraId="5E7D17A8" w14:textId="4A02907D" w:rsidR="001E1AA9" w:rsidRPr="003F2C62" w:rsidRDefault="00C84AA8" w:rsidP="00C84AA8">
      <w:pPr>
        <w:numPr>
          <w:ilvl w:val="1"/>
          <w:numId w:val="2"/>
        </w:numPr>
        <w:spacing w:line="480" w:lineRule="auto"/>
        <w:jc w:val="both"/>
        <w:rPr>
          <w:rFonts w:ascii="Century Gothic" w:hAnsi="Century Gothic"/>
          <w:lang w:val="en-US"/>
        </w:rPr>
      </w:pPr>
      <w:r w:rsidRPr="003F2C62">
        <w:rPr>
          <w:rFonts w:ascii="Century Gothic" w:hAnsi="Century Gothic"/>
          <w:lang w:val="en-US"/>
        </w:rPr>
        <w:t xml:space="preserve">Further, the Honourable Tribunal grossly misdirected itself in its finding that the said </w:t>
      </w:r>
      <w:r w:rsidR="00286CD0" w:rsidRPr="003F2C62">
        <w:rPr>
          <w:rFonts w:ascii="Century Gothic" w:hAnsi="Century Gothic"/>
          <w:lang w:val="en-US"/>
        </w:rPr>
        <w:t>underpayments</w:t>
      </w:r>
      <w:r w:rsidRPr="003F2C62">
        <w:rPr>
          <w:rFonts w:ascii="Century Gothic" w:hAnsi="Century Gothic"/>
          <w:lang w:val="en-US"/>
        </w:rPr>
        <w:t xml:space="preserve"> should be paid 65% in United States </w:t>
      </w:r>
      <w:r w:rsidRPr="003F2C62">
        <w:rPr>
          <w:rFonts w:ascii="Century Gothic" w:hAnsi="Century Gothic"/>
          <w:lang w:val="en-US"/>
        </w:rPr>
        <w:lastRenderedPageBreak/>
        <w:t>dollars and 25% in the Zimbabwean Currency at the prevailing interbank rate at the date of payment.</w:t>
      </w:r>
      <w:r w:rsidR="001E1AA9" w:rsidRPr="003F2C62">
        <w:rPr>
          <w:rFonts w:ascii="Century Gothic" w:hAnsi="Century Gothic"/>
          <w:lang w:val="en-US"/>
        </w:rPr>
        <w:t xml:space="preserve">” </w:t>
      </w:r>
    </w:p>
    <w:p w14:paraId="242D9F05" w14:textId="02DC936E" w:rsidR="000E2AEE" w:rsidRPr="003F2C62" w:rsidRDefault="000E2AEE" w:rsidP="003F2C62">
      <w:pPr>
        <w:pStyle w:val="ListParagraph"/>
        <w:numPr>
          <w:ilvl w:val="0"/>
          <w:numId w:val="3"/>
        </w:numPr>
        <w:spacing w:line="480" w:lineRule="auto"/>
        <w:jc w:val="both"/>
        <w:rPr>
          <w:rFonts w:ascii="Century Gothic" w:hAnsi="Century Gothic"/>
          <w:lang w:val="en-US"/>
        </w:rPr>
      </w:pPr>
      <w:r w:rsidRPr="000E2AEE">
        <w:rPr>
          <w:rFonts w:ascii="Century Gothic" w:hAnsi="Century Gothic"/>
          <w:lang w:val="en-US"/>
        </w:rPr>
        <w:t>The Court having heard the parties, upheld the appeal and now provides reasons for its decision as follows.</w:t>
      </w:r>
      <w:bookmarkEnd w:id="1"/>
    </w:p>
    <w:p w14:paraId="00018098" w14:textId="14127C0C" w:rsidR="001E1AA9" w:rsidRDefault="001E1AA9" w:rsidP="001E1AA9">
      <w:pPr>
        <w:ind w:left="-284"/>
        <w:rPr>
          <w:rFonts w:ascii="Century Gothic" w:hAnsi="Century Gothic"/>
          <w:b/>
          <w:lang w:val="en-US"/>
        </w:rPr>
      </w:pPr>
      <w:r w:rsidRPr="001E1AA9">
        <w:rPr>
          <w:rFonts w:ascii="Century Gothic" w:hAnsi="Century Gothic"/>
          <w:b/>
          <w:lang w:val="en-US"/>
        </w:rPr>
        <w:t>BACKGROUND OF APPEAL</w:t>
      </w:r>
    </w:p>
    <w:p w14:paraId="27D8AF87" w14:textId="34887847" w:rsidR="00DF24D8" w:rsidRPr="00A40FC8" w:rsidRDefault="00DF24D8" w:rsidP="00A40FC8">
      <w:pPr>
        <w:pStyle w:val="ListParagraph"/>
        <w:numPr>
          <w:ilvl w:val="0"/>
          <w:numId w:val="3"/>
        </w:numPr>
        <w:spacing w:line="480" w:lineRule="auto"/>
        <w:jc w:val="both"/>
        <w:rPr>
          <w:rFonts w:ascii="Century Gothic" w:hAnsi="Century Gothic"/>
          <w:bCs/>
          <w:lang w:val="en-US"/>
        </w:rPr>
      </w:pPr>
      <w:r w:rsidRPr="004F4609">
        <w:rPr>
          <w:rFonts w:ascii="Century Gothic" w:hAnsi="Century Gothic"/>
          <w:bCs/>
          <w:lang w:val="en-US"/>
        </w:rPr>
        <w:t xml:space="preserve">The </w:t>
      </w:r>
      <w:r>
        <w:rPr>
          <w:rFonts w:ascii="Century Gothic" w:hAnsi="Century Gothic"/>
          <w:bCs/>
          <w:lang w:val="en-US"/>
        </w:rPr>
        <w:t>Respondent was employed</w:t>
      </w:r>
      <w:r w:rsidRPr="004F4609">
        <w:rPr>
          <w:rFonts w:ascii="Century Gothic" w:hAnsi="Century Gothic"/>
          <w:bCs/>
          <w:lang w:val="en-US"/>
        </w:rPr>
        <w:t xml:space="preserve"> </w:t>
      </w:r>
      <w:r>
        <w:rPr>
          <w:rFonts w:ascii="Century Gothic" w:hAnsi="Century Gothic"/>
          <w:bCs/>
          <w:lang w:val="en-US"/>
        </w:rPr>
        <w:t xml:space="preserve">by </w:t>
      </w:r>
      <w:r w:rsidRPr="004F4609">
        <w:rPr>
          <w:rFonts w:ascii="Century Gothic" w:hAnsi="Century Gothic"/>
          <w:bCs/>
          <w:lang w:val="en-US"/>
        </w:rPr>
        <w:t xml:space="preserve">the </w:t>
      </w:r>
      <w:r>
        <w:rPr>
          <w:rFonts w:ascii="Century Gothic" w:hAnsi="Century Gothic"/>
          <w:bCs/>
          <w:lang w:val="en-US"/>
        </w:rPr>
        <w:t>Appellant</w:t>
      </w:r>
      <w:r w:rsidRPr="004F4609">
        <w:rPr>
          <w:rFonts w:ascii="Century Gothic" w:hAnsi="Century Gothic"/>
          <w:bCs/>
          <w:lang w:val="en-US"/>
        </w:rPr>
        <w:t xml:space="preserve"> as a </w:t>
      </w:r>
      <w:r>
        <w:rPr>
          <w:rFonts w:ascii="Century Gothic" w:hAnsi="Century Gothic"/>
          <w:bCs/>
          <w:lang w:val="en-US"/>
        </w:rPr>
        <w:t>S</w:t>
      </w:r>
      <w:r w:rsidRPr="004F4609">
        <w:rPr>
          <w:rFonts w:ascii="Century Gothic" w:hAnsi="Century Gothic"/>
          <w:bCs/>
          <w:lang w:val="en-US"/>
        </w:rPr>
        <w:t xml:space="preserve">ecurity </w:t>
      </w:r>
      <w:r>
        <w:rPr>
          <w:rFonts w:ascii="Century Gothic" w:hAnsi="Century Gothic"/>
          <w:bCs/>
          <w:lang w:val="en-US"/>
        </w:rPr>
        <w:t>G</w:t>
      </w:r>
      <w:r w:rsidRPr="004F4609">
        <w:rPr>
          <w:rFonts w:ascii="Century Gothic" w:hAnsi="Century Gothic"/>
          <w:bCs/>
          <w:lang w:val="en-US"/>
        </w:rPr>
        <w:t xml:space="preserve">uard, </w:t>
      </w:r>
      <w:r>
        <w:rPr>
          <w:rFonts w:ascii="Century Gothic" w:hAnsi="Century Gothic"/>
          <w:bCs/>
          <w:lang w:val="en-US"/>
        </w:rPr>
        <w:t>earning</w:t>
      </w:r>
      <w:r w:rsidRPr="004F4609">
        <w:rPr>
          <w:rFonts w:ascii="Century Gothic" w:hAnsi="Century Gothic"/>
          <w:bCs/>
          <w:lang w:val="en-US"/>
        </w:rPr>
        <w:t xml:space="preserve"> a salary of </w:t>
      </w:r>
      <w:r>
        <w:rPr>
          <w:rFonts w:ascii="Century Gothic" w:hAnsi="Century Gothic"/>
          <w:bCs/>
          <w:lang w:val="en-US"/>
        </w:rPr>
        <w:t xml:space="preserve">two hundred United States dollars </w:t>
      </w:r>
      <w:r w:rsidRPr="004F4609">
        <w:rPr>
          <w:rFonts w:ascii="Century Gothic" w:hAnsi="Century Gothic"/>
          <w:bCs/>
          <w:lang w:val="en-US"/>
        </w:rPr>
        <w:t xml:space="preserve">(USD 200). </w:t>
      </w:r>
      <w:r w:rsidR="006C24A6">
        <w:rPr>
          <w:rFonts w:ascii="Century Gothic" w:hAnsi="Century Gothic"/>
          <w:bCs/>
          <w:lang w:val="en-US"/>
        </w:rPr>
        <w:t xml:space="preserve">He </w:t>
      </w:r>
      <w:r w:rsidRPr="004F4609">
        <w:rPr>
          <w:rFonts w:ascii="Century Gothic" w:hAnsi="Century Gothic"/>
          <w:bCs/>
          <w:lang w:val="en-US"/>
        </w:rPr>
        <w:t>was employed under an indefinite verbal contract. On</w:t>
      </w:r>
      <w:r>
        <w:rPr>
          <w:rFonts w:ascii="Century Gothic" w:hAnsi="Century Gothic"/>
          <w:bCs/>
          <w:lang w:val="en-US"/>
        </w:rPr>
        <w:t xml:space="preserve"> the 27</w:t>
      </w:r>
      <w:r w:rsidRPr="004F4609">
        <w:rPr>
          <w:rFonts w:ascii="Century Gothic" w:hAnsi="Century Gothic"/>
          <w:bCs/>
          <w:vertAlign w:val="superscript"/>
          <w:lang w:val="en-US"/>
        </w:rPr>
        <w:t>th</w:t>
      </w:r>
      <w:r>
        <w:rPr>
          <w:rFonts w:ascii="Century Gothic" w:hAnsi="Century Gothic"/>
          <w:bCs/>
          <w:lang w:val="en-US"/>
        </w:rPr>
        <w:t xml:space="preserve"> of </w:t>
      </w:r>
      <w:r w:rsidRPr="004F4609">
        <w:rPr>
          <w:rFonts w:ascii="Century Gothic" w:hAnsi="Century Gothic"/>
          <w:bCs/>
          <w:lang w:val="en-US"/>
        </w:rPr>
        <w:t xml:space="preserve">November 2023, the </w:t>
      </w:r>
      <w:r>
        <w:rPr>
          <w:rFonts w:ascii="Century Gothic" w:hAnsi="Century Gothic"/>
          <w:bCs/>
          <w:lang w:val="en-US"/>
        </w:rPr>
        <w:t>R</w:t>
      </w:r>
      <w:r w:rsidRPr="004F4609">
        <w:rPr>
          <w:rFonts w:ascii="Century Gothic" w:hAnsi="Century Gothic"/>
          <w:bCs/>
          <w:lang w:val="en-US"/>
        </w:rPr>
        <w:t>espondent was suspended in accordance</w:t>
      </w:r>
      <w:r>
        <w:rPr>
          <w:rFonts w:ascii="Century Gothic" w:hAnsi="Century Gothic"/>
          <w:bCs/>
          <w:lang w:val="en-US"/>
        </w:rPr>
        <w:t xml:space="preserve"> with</w:t>
      </w:r>
      <w:r w:rsidRPr="004F4609">
        <w:rPr>
          <w:rFonts w:ascii="Century Gothic" w:hAnsi="Century Gothic"/>
          <w:bCs/>
          <w:lang w:val="en-US"/>
        </w:rPr>
        <w:t xml:space="preserve"> </w:t>
      </w:r>
      <w:r w:rsidRPr="000E2AEE">
        <w:rPr>
          <w:rFonts w:ascii="Century Gothic" w:hAnsi="Century Gothic"/>
          <w:bCs/>
          <w:lang w:val="en-US"/>
        </w:rPr>
        <w:t>Labour National Employment Code of Conduct Reg</w:t>
      </w:r>
      <w:r>
        <w:rPr>
          <w:rFonts w:ascii="Century Gothic" w:hAnsi="Century Gothic"/>
          <w:bCs/>
          <w:lang w:val="en-US"/>
        </w:rPr>
        <w:t>ulation</w:t>
      </w:r>
      <w:r w:rsidRPr="000E2AEE">
        <w:rPr>
          <w:rFonts w:ascii="Century Gothic" w:hAnsi="Century Gothic"/>
          <w:bCs/>
          <w:lang w:val="en-US"/>
        </w:rPr>
        <w:t>s 2006</w:t>
      </w:r>
      <w:r>
        <w:rPr>
          <w:rFonts w:ascii="Century Gothic" w:hAnsi="Century Gothic"/>
          <w:bCs/>
          <w:lang w:val="en-US"/>
        </w:rPr>
        <w:t xml:space="preserve"> (</w:t>
      </w:r>
      <w:r w:rsidRPr="004F4609">
        <w:rPr>
          <w:rFonts w:ascii="Century Gothic" w:hAnsi="Century Gothic"/>
          <w:bCs/>
          <w:lang w:val="en-US"/>
        </w:rPr>
        <w:t>SI 15 of 2006</w:t>
      </w:r>
      <w:r>
        <w:rPr>
          <w:rFonts w:ascii="Century Gothic" w:hAnsi="Century Gothic"/>
          <w:bCs/>
          <w:lang w:val="en-US"/>
        </w:rPr>
        <w:t>)</w:t>
      </w:r>
      <w:r w:rsidRPr="004F4609">
        <w:rPr>
          <w:rFonts w:ascii="Century Gothic" w:hAnsi="Century Gothic"/>
          <w:bCs/>
          <w:lang w:val="en-US"/>
        </w:rPr>
        <w:t>. The Respondent was dismissed after undergoing disciplinary proceedings based on the same Code of Conduct. The respondent then referred the issue to the NEC Mining Industry for conciliation</w:t>
      </w:r>
      <w:r w:rsidR="006C24A6" w:rsidRPr="004F4609">
        <w:rPr>
          <w:rFonts w:ascii="Century Gothic" w:hAnsi="Century Gothic"/>
          <w:bCs/>
          <w:lang w:val="en-US"/>
        </w:rPr>
        <w:t>.</w:t>
      </w:r>
      <w:r>
        <w:rPr>
          <w:rFonts w:ascii="Century Gothic" w:hAnsi="Century Gothic"/>
          <w:bCs/>
          <w:lang w:val="en-US"/>
        </w:rPr>
        <w:t xml:space="preserve"> </w:t>
      </w:r>
      <w:r w:rsidR="006C24A6">
        <w:rPr>
          <w:rFonts w:ascii="Century Gothic" w:hAnsi="Century Gothic"/>
          <w:bCs/>
          <w:lang w:val="en-US"/>
        </w:rPr>
        <w:t>T</w:t>
      </w:r>
      <w:r>
        <w:rPr>
          <w:rFonts w:ascii="Century Gothic" w:hAnsi="Century Gothic"/>
          <w:bCs/>
          <w:lang w:val="en-US"/>
        </w:rPr>
        <w:t xml:space="preserve">he parties did not </w:t>
      </w:r>
      <w:r w:rsidR="006C24A6">
        <w:rPr>
          <w:rFonts w:ascii="Century Gothic" w:hAnsi="Century Gothic"/>
          <w:bCs/>
          <w:lang w:val="en-US"/>
        </w:rPr>
        <w:t>settle</w:t>
      </w:r>
      <w:r w:rsidRPr="004F4609">
        <w:rPr>
          <w:rFonts w:ascii="Century Gothic" w:hAnsi="Century Gothic"/>
          <w:bCs/>
          <w:lang w:val="en-US"/>
        </w:rPr>
        <w:t xml:space="preserve"> and the matter was subsequently </w:t>
      </w:r>
      <w:r>
        <w:rPr>
          <w:rFonts w:ascii="Century Gothic" w:hAnsi="Century Gothic"/>
          <w:bCs/>
          <w:lang w:val="en-US"/>
        </w:rPr>
        <w:t>referred</w:t>
      </w:r>
      <w:r w:rsidRPr="004F4609">
        <w:rPr>
          <w:rFonts w:ascii="Century Gothic" w:hAnsi="Century Gothic"/>
          <w:bCs/>
          <w:lang w:val="en-US"/>
        </w:rPr>
        <w:t xml:space="preserve"> for arbitration.</w:t>
      </w:r>
      <w:r>
        <w:rPr>
          <w:rFonts w:ascii="Century Gothic" w:hAnsi="Century Gothic"/>
          <w:bCs/>
          <w:lang w:val="en-US"/>
        </w:rPr>
        <w:t xml:space="preserve"> The Appellant </w:t>
      </w:r>
      <w:r w:rsidR="006C24A6">
        <w:rPr>
          <w:rFonts w:ascii="Century Gothic" w:hAnsi="Century Gothic"/>
          <w:bCs/>
          <w:lang w:val="en-US"/>
        </w:rPr>
        <w:t xml:space="preserve">was </w:t>
      </w:r>
      <w:r>
        <w:rPr>
          <w:rFonts w:ascii="Century Gothic" w:hAnsi="Century Gothic"/>
          <w:bCs/>
          <w:lang w:val="en-US"/>
        </w:rPr>
        <w:t xml:space="preserve">not satisfied </w:t>
      </w:r>
      <w:r w:rsidR="006C24A6">
        <w:rPr>
          <w:rFonts w:ascii="Century Gothic" w:hAnsi="Century Gothic"/>
          <w:bCs/>
          <w:lang w:val="en-US"/>
        </w:rPr>
        <w:t>with</w:t>
      </w:r>
      <w:r>
        <w:rPr>
          <w:rFonts w:ascii="Century Gothic" w:hAnsi="Century Gothic"/>
          <w:bCs/>
          <w:lang w:val="en-US"/>
        </w:rPr>
        <w:t xml:space="preserve"> the decision of the Arbitrator </w:t>
      </w:r>
      <w:r w:rsidR="006C24A6">
        <w:rPr>
          <w:rFonts w:ascii="Century Gothic" w:hAnsi="Century Gothic"/>
          <w:bCs/>
          <w:lang w:val="en-US"/>
        </w:rPr>
        <w:t xml:space="preserve">and </w:t>
      </w:r>
      <w:r>
        <w:rPr>
          <w:rFonts w:ascii="Century Gothic" w:hAnsi="Century Gothic"/>
          <w:bCs/>
          <w:lang w:val="en-US"/>
        </w:rPr>
        <w:t>the</w:t>
      </w:r>
      <w:r w:rsidR="006C24A6">
        <w:rPr>
          <w:rFonts w:ascii="Century Gothic" w:hAnsi="Century Gothic"/>
          <w:bCs/>
          <w:lang w:val="en-US"/>
        </w:rPr>
        <w:t>refore</w:t>
      </w:r>
      <w:r>
        <w:rPr>
          <w:rFonts w:ascii="Century Gothic" w:hAnsi="Century Gothic"/>
          <w:bCs/>
          <w:lang w:val="en-US"/>
        </w:rPr>
        <w:t xml:space="preserve"> appealed to this Court.  </w:t>
      </w:r>
    </w:p>
    <w:p w14:paraId="6080D8D6" w14:textId="77777777" w:rsidR="0051638C" w:rsidRDefault="0051638C" w:rsidP="001E1AA9">
      <w:pPr>
        <w:ind w:left="-284"/>
        <w:rPr>
          <w:rFonts w:ascii="Century Gothic" w:hAnsi="Century Gothic"/>
          <w:b/>
          <w:bCs/>
          <w:lang w:val="en-US"/>
        </w:rPr>
      </w:pPr>
      <w:r>
        <w:rPr>
          <w:rFonts w:ascii="Century Gothic" w:hAnsi="Century Gothic"/>
          <w:b/>
          <w:bCs/>
          <w:lang w:val="en-US"/>
        </w:rPr>
        <w:t>PRELIMINARY POINTS</w:t>
      </w:r>
    </w:p>
    <w:p w14:paraId="35EBEF47" w14:textId="302A0DA0" w:rsidR="0051638C" w:rsidRDefault="00DE346A" w:rsidP="008C115E">
      <w:pPr>
        <w:pStyle w:val="ListParagraph"/>
        <w:numPr>
          <w:ilvl w:val="0"/>
          <w:numId w:val="3"/>
        </w:numPr>
        <w:spacing w:line="480" w:lineRule="auto"/>
        <w:jc w:val="both"/>
        <w:rPr>
          <w:rFonts w:ascii="Century Gothic" w:hAnsi="Century Gothic"/>
          <w:lang w:val="en-US"/>
        </w:rPr>
      </w:pPr>
      <w:r w:rsidRPr="00DE346A">
        <w:rPr>
          <w:rFonts w:ascii="Century Gothic" w:hAnsi="Century Gothic"/>
          <w:lang w:val="en-US"/>
        </w:rPr>
        <w:t>During the court proceedings, the Respondent raised two preliminary issues regarding grounds 1 and 2. The Respondent explained that the Appellant initially presented five grounds of appeal, but withdrew ground 1, leaving four grounds. The Respondent pointed out that grounds 2 and 3 argued that SI 15 of 2006 did not apply to the case, as neither the Appellant nor the Respondent were members of the NEC for the Mining Industry. The Respondent submitted that, in ground 2, the Appellant was suggesting that the NEC for the Mining Industry did not have jurisdiction over the matter. Regarding ground 3, the Respondent highlighted that the Appellant also emphasized the point that the Respondent was not under the jurisdiction of the NEC for the Mining Industry, making these grounds not appeal</w:t>
      </w:r>
      <w:r w:rsidR="004774FC">
        <w:rPr>
          <w:rFonts w:ascii="Century Gothic" w:hAnsi="Century Gothic"/>
          <w:lang w:val="en-US"/>
        </w:rPr>
        <w:t>able</w:t>
      </w:r>
      <w:r w:rsidRPr="00DE346A">
        <w:rPr>
          <w:rFonts w:ascii="Century Gothic" w:hAnsi="Century Gothic"/>
          <w:lang w:val="en-US"/>
        </w:rPr>
        <w:t>, but rather grounds for review</w:t>
      </w:r>
      <w:r w:rsidR="006070E3">
        <w:rPr>
          <w:rFonts w:ascii="Century Gothic" w:hAnsi="Century Gothic"/>
          <w:lang w:val="en-US"/>
        </w:rPr>
        <w:t>.</w:t>
      </w:r>
    </w:p>
    <w:p w14:paraId="06D33E38" w14:textId="7FE0F003" w:rsidR="009F6562" w:rsidRPr="009F6562" w:rsidRDefault="006070E3" w:rsidP="008C115E">
      <w:pPr>
        <w:pStyle w:val="ListParagraph"/>
        <w:numPr>
          <w:ilvl w:val="0"/>
          <w:numId w:val="3"/>
        </w:numPr>
        <w:spacing w:line="480" w:lineRule="auto"/>
        <w:jc w:val="both"/>
        <w:rPr>
          <w:rFonts w:ascii="Century Gothic" w:hAnsi="Century Gothic"/>
          <w:lang w:val="en-US"/>
        </w:rPr>
      </w:pPr>
      <w:r>
        <w:rPr>
          <w:rFonts w:ascii="Century Gothic" w:hAnsi="Century Gothic"/>
          <w:lang w:val="en-US"/>
        </w:rPr>
        <w:t xml:space="preserve">Respondent made reference to </w:t>
      </w:r>
      <w:r w:rsidR="009F6562">
        <w:rPr>
          <w:rFonts w:ascii="Century Gothic" w:hAnsi="Century Gothic"/>
          <w:lang w:val="en-US"/>
        </w:rPr>
        <w:t xml:space="preserve">Section </w:t>
      </w:r>
      <w:r w:rsidR="009F6562" w:rsidRPr="009F6562">
        <w:rPr>
          <w:rFonts w:ascii="Century Gothic" w:hAnsi="Century Gothic"/>
        </w:rPr>
        <w:t>92EE</w:t>
      </w:r>
      <w:r w:rsidR="009F6562">
        <w:rPr>
          <w:rFonts w:ascii="Century Gothic" w:hAnsi="Century Gothic"/>
        </w:rPr>
        <w:t xml:space="preserve"> of the Labour Act 28:01</w:t>
      </w:r>
      <w:r w:rsidR="009F6562" w:rsidRPr="009F6562">
        <w:rPr>
          <w:rFonts w:ascii="Century Gothic" w:hAnsi="Century Gothic"/>
        </w:rPr>
        <w:t xml:space="preserve"> </w:t>
      </w:r>
      <w:r w:rsidR="009F6562">
        <w:rPr>
          <w:rFonts w:ascii="Century Gothic" w:hAnsi="Century Gothic"/>
        </w:rPr>
        <w:t>which deals with g</w:t>
      </w:r>
      <w:r w:rsidR="009F6562" w:rsidRPr="009F6562">
        <w:rPr>
          <w:rFonts w:ascii="Century Gothic" w:hAnsi="Century Gothic"/>
        </w:rPr>
        <w:t xml:space="preserve">rounds of review by Labour Court </w:t>
      </w:r>
      <w:r w:rsidR="009F6562">
        <w:rPr>
          <w:rFonts w:ascii="Century Gothic" w:hAnsi="Century Gothic"/>
        </w:rPr>
        <w:t xml:space="preserve">and it states that </w:t>
      </w:r>
    </w:p>
    <w:p w14:paraId="26E6E732" w14:textId="57949530" w:rsidR="009F6562" w:rsidRPr="009F6562" w:rsidRDefault="006C24A6" w:rsidP="009F6562">
      <w:pPr>
        <w:pStyle w:val="ListParagraph"/>
        <w:spacing w:line="360" w:lineRule="auto"/>
        <w:ind w:left="1440"/>
        <w:jc w:val="both"/>
        <w:rPr>
          <w:rFonts w:ascii="Century Gothic" w:hAnsi="Century Gothic"/>
          <w:sz w:val="22"/>
          <w:szCs w:val="22"/>
        </w:rPr>
      </w:pPr>
      <w:r>
        <w:rPr>
          <w:rFonts w:ascii="Century Gothic" w:hAnsi="Century Gothic"/>
          <w:sz w:val="22"/>
          <w:szCs w:val="22"/>
        </w:rPr>
        <w:t>“</w:t>
      </w:r>
      <w:r w:rsidR="009F6562" w:rsidRPr="009F6562">
        <w:rPr>
          <w:rFonts w:ascii="Century Gothic" w:hAnsi="Century Gothic"/>
          <w:sz w:val="22"/>
          <w:szCs w:val="22"/>
        </w:rPr>
        <w:t xml:space="preserve">(1) Subject to this Act and any other law, the grounds on which any proceedings or decision conducted or made in connection with </w:t>
      </w:r>
      <w:r w:rsidR="00FF64B4">
        <w:rPr>
          <w:rFonts w:ascii="Century Gothic" w:hAnsi="Century Gothic"/>
          <w:sz w:val="22"/>
          <w:szCs w:val="22"/>
        </w:rPr>
        <w:t>th</w:t>
      </w:r>
      <w:r w:rsidR="009F6562" w:rsidRPr="009F6562">
        <w:rPr>
          <w:rFonts w:ascii="Century Gothic" w:hAnsi="Century Gothic"/>
          <w:sz w:val="22"/>
          <w:szCs w:val="22"/>
        </w:rPr>
        <w:t xml:space="preserve">is Act may be brought on review before the Labour Court shall be— </w:t>
      </w:r>
    </w:p>
    <w:p w14:paraId="0F476CB8" w14:textId="2A90762A" w:rsidR="006070E3" w:rsidRDefault="009F6562" w:rsidP="009F6562">
      <w:pPr>
        <w:pStyle w:val="ListParagraph"/>
        <w:spacing w:line="360" w:lineRule="auto"/>
        <w:ind w:left="1440"/>
        <w:jc w:val="both"/>
        <w:rPr>
          <w:rFonts w:ascii="Century Gothic" w:hAnsi="Century Gothic"/>
          <w:sz w:val="22"/>
          <w:szCs w:val="22"/>
        </w:rPr>
      </w:pPr>
      <w:r w:rsidRPr="009F6562">
        <w:rPr>
          <w:rFonts w:ascii="Century Gothic" w:hAnsi="Century Gothic"/>
          <w:sz w:val="22"/>
          <w:szCs w:val="22"/>
        </w:rPr>
        <w:t>(a) absence of jurisdiction on the part of the arbitrator or adjudicating authority concerne</w:t>
      </w:r>
      <w:r>
        <w:rPr>
          <w:rFonts w:ascii="Century Gothic" w:hAnsi="Century Gothic"/>
          <w:sz w:val="22"/>
          <w:szCs w:val="22"/>
        </w:rPr>
        <w:t>d.</w:t>
      </w:r>
      <w:r w:rsidR="006C24A6">
        <w:rPr>
          <w:rFonts w:ascii="Century Gothic" w:hAnsi="Century Gothic"/>
          <w:sz w:val="22"/>
          <w:szCs w:val="22"/>
        </w:rPr>
        <w:t>”</w:t>
      </w:r>
    </w:p>
    <w:p w14:paraId="7FC08521" w14:textId="0DC834BA" w:rsidR="009F6562" w:rsidRPr="00F56919" w:rsidRDefault="00FF64B4" w:rsidP="008C115E">
      <w:pPr>
        <w:spacing w:line="480" w:lineRule="auto"/>
        <w:ind w:left="720"/>
        <w:jc w:val="both"/>
        <w:rPr>
          <w:rFonts w:ascii="Century Gothic" w:hAnsi="Century Gothic"/>
          <w:lang w:val="en-US"/>
        </w:rPr>
      </w:pPr>
      <w:r>
        <w:rPr>
          <w:rFonts w:ascii="Century Gothic" w:hAnsi="Century Gothic"/>
          <w:lang w:val="en-US"/>
        </w:rPr>
        <w:t>T</w:t>
      </w:r>
      <w:r w:rsidR="009F6562" w:rsidRPr="00F56919">
        <w:rPr>
          <w:rFonts w:ascii="Century Gothic" w:hAnsi="Century Gothic"/>
          <w:lang w:val="en-US"/>
        </w:rPr>
        <w:t>he Respondent sta</w:t>
      </w:r>
      <w:r>
        <w:rPr>
          <w:rFonts w:ascii="Century Gothic" w:hAnsi="Century Gothic"/>
          <w:lang w:val="en-US"/>
        </w:rPr>
        <w:t>ted</w:t>
      </w:r>
      <w:r w:rsidR="009F6562" w:rsidRPr="00F56919">
        <w:rPr>
          <w:rFonts w:ascii="Century Gothic" w:hAnsi="Century Gothic"/>
          <w:lang w:val="en-US"/>
        </w:rPr>
        <w:t xml:space="preserve"> that the Appellant ought to have proceeded by way of review </w:t>
      </w:r>
      <w:r>
        <w:rPr>
          <w:rFonts w:ascii="Century Gothic" w:hAnsi="Century Gothic"/>
          <w:lang w:val="en-US"/>
        </w:rPr>
        <w:t xml:space="preserve">and </w:t>
      </w:r>
      <w:r w:rsidR="009F6562" w:rsidRPr="00F56919">
        <w:rPr>
          <w:rFonts w:ascii="Century Gothic" w:hAnsi="Century Gothic"/>
          <w:lang w:val="en-US"/>
        </w:rPr>
        <w:t>not appeal.</w:t>
      </w:r>
    </w:p>
    <w:p w14:paraId="22AF914C" w14:textId="7B2267B7" w:rsidR="00963344" w:rsidRPr="00AF3D2A" w:rsidRDefault="0032451F" w:rsidP="00AF3D2A">
      <w:pPr>
        <w:pStyle w:val="ListParagraph"/>
        <w:numPr>
          <w:ilvl w:val="0"/>
          <w:numId w:val="3"/>
        </w:numPr>
        <w:spacing w:line="480" w:lineRule="auto"/>
        <w:jc w:val="both"/>
        <w:rPr>
          <w:rFonts w:ascii="Century Gothic" w:hAnsi="Century Gothic"/>
          <w:lang w:val="en-US"/>
        </w:rPr>
      </w:pPr>
      <w:r>
        <w:rPr>
          <w:rFonts w:ascii="Century Gothic" w:hAnsi="Century Gothic"/>
          <w:lang w:val="en-US"/>
        </w:rPr>
        <w:t>Furthermore,</w:t>
      </w:r>
      <w:r w:rsidR="00963344">
        <w:rPr>
          <w:rFonts w:ascii="Century Gothic" w:hAnsi="Century Gothic"/>
          <w:lang w:val="en-US"/>
        </w:rPr>
        <w:t xml:space="preserve"> </w:t>
      </w:r>
      <w:r w:rsidR="00963344" w:rsidRPr="00F56919">
        <w:rPr>
          <w:rFonts w:ascii="Century Gothic" w:hAnsi="Century Gothic"/>
          <w:lang w:val="en-US"/>
        </w:rPr>
        <w:t xml:space="preserve">Respondent referred to page 8 of the Arbitration award on the terms of reference. </w:t>
      </w:r>
      <w:r w:rsidR="00963344">
        <w:rPr>
          <w:rFonts w:ascii="Century Gothic" w:hAnsi="Century Gothic"/>
          <w:lang w:val="en-US"/>
        </w:rPr>
        <w:t>He referred to t</w:t>
      </w:r>
      <w:r w:rsidR="00963344" w:rsidRPr="00F56919">
        <w:rPr>
          <w:rFonts w:ascii="Century Gothic" w:hAnsi="Century Gothic"/>
          <w:lang w:val="en-US"/>
        </w:rPr>
        <w:t>he first term</w:t>
      </w:r>
      <w:r w:rsidR="00963344">
        <w:rPr>
          <w:rFonts w:ascii="Century Gothic" w:hAnsi="Century Gothic"/>
          <w:lang w:val="en-US"/>
        </w:rPr>
        <w:t xml:space="preserve"> of reference</w:t>
      </w:r>
      <w:r w:rsidR="006C24A6">
        <w:rPr>
          <w:rFonts w:ascii="Century Gothic" w:hAnsi="Century Gothic"/>
          <w:lang w:val="en-US"/>
        </w:rPr>
        <w:t>, which was</w:t>
      </w:r>
      <w:r w:rsidR="00963344">
        <w:rPr>
          <w:rFonts w:ascii="Century Gothic" w:hAnsi="Century Gothic"/>
          <w:lang w:val="en-US"/>
        </w:rPr>
        <w:t xml:space="preserve"> whether or not the matter fell within the jurisdiction of the Mining Council for the Mining Industry. Respondent submitted that it therefore follows that such a finding was not made that the Appellant fell under the jurisdiction of the NEC for the Mining Industry and if ever the Appellant felt that the NEC for Mining Industry lacked jurisdiction at that particular time he ought to have proceeded by way of review.   </w:t>
      </w:r>
    </w:p>
    <w:p w14:paraId="205AB60E" w14:textId="1EB5C96B" w:rsidR="00AF3578" w:rsidRPr="00A159B8" w:rsidRDefault="00AF3578" w:rsidP="00A159B8">
      <w:pPr>
        <w:pStyle w:val="ListParagraph"/>
        <w:numPr>
          <w:ilvl w:val="0"/>
          <w:numId w:val="3"/>
        </w:numPr>
        <w:spacing w:line="480" w:lineRule="auto"/>
        <w:jc w:val="both"/>
        <w:rPr>
          <w:rFonts w:ascii="Century Gothic" w:hAnsi="Century Gothic"/>
          <w:lang w:val="en-US"/>
        </w:rPr>
      </w:pPr>
      <w:r>
        <w:rPr>
          <w:rFonts w:ascii="Century Gothic" w:hAnsi="Century Gothic"/>
          <w:lang w:val="en-US"/>
        </w:rPr>
        <w:t>In response Appellant s</w:t>
      </w:r>
      <w:r w:rsidR="006C24A6">
        <w:rPr>
          <w:rFonts w:ascii="Century Gothic" w:hAnsi="Century Gothic"/>
          <w:lang w:val="en-US"/>
        </w:rPr>
        <w:t>aid</w:t>
      </w:r>
      <w:r>
        <w:rPr>
          <w:rFonts w:ascii="Century Gothic" w:hAnsi="Century Gothic"/>
          <w:lang w:val="en-US"/>
        </w:rPr>
        <w:t xml:space="preserve"> that t</w:t>
      </w:r>
      <w:r w:rsidRPr="00D5505A">
        <w:rPr>
          <w:rFonts w:ascii="Century Gothic" w:hAnsi="Century Gothic"/>
          <w:lang w:val="en-US"/>
        </w:rPr>
        <w:t>he Respondent argued as a preliminary matter that the Appellant's grounds of appeal did not present legal questions. In response, the Appellant contended that the grounds raised were indeed</w:t>
      </w:r>
      <w:r>
        <w:rPr>
          <w:rFonts w:ascii="Century Gothic" w:hAnsi="Century Gothic"/>
          <w:lang w:val="en-US"/>
        </w:rPr>
        <w:t xml:space="preserve"> points</w:t>
      </w:r>
      <w:r w:rsidRPr="00D5505A">
        <w:rPr>
          <w:rFonts w:ascii="Century Gothic" w:hAnsi="Century Gothic"/>
          <w:lang w:val="en-US"/>
        </w:rPr>
        <w:t xml:space="preserve"> of law. He further asserted that for a ground of appeal to be valid, it must challenge the lower court's findings on a legal point or claim misdirection or irrationality in its factual conclusions.</w:t>
      </w:r>
      <w:r>
        <w:rPr>
          <w:rFonts w:ascii="Century Gothic" w:hAnsi="Century Gothic"/>
          <w:lang w:val="en-US"/>
        </w:rPr>
        <w:t xml:space="preserve"> The appellant referred to the case of </w:t>
      </w:r>
      <w:r w:rsidRPr="00D5505A">
        <w:rPr>
          <w:rFonts w:ascii="Century Gothic" w:hAnsi="Century Gothic"/>
          <w:i/>
          <w:iCs/>
          <w:lang w:val="en-US"/>
        </w:rPr>
        <w:t xml:space="preserve">Chenga vs Chikadayo and others </w:t>
      </w:r>
      <w:r>
        <w:rPr>
          <w:rFonts w:ascii="Century Gothic" w:hAnsi="Century Gothic"/>
          <w:lang w:val="en-US"/>
        </w:rPr>
        <w:t>SC 07/23 where it was stated that:</w:t>
      </w:r>
    </w:p>
    <w:p w14:paraId="5658073C" w14:textId="1840384B" w:rsidR="00D5505A" w:rsidRDefault="006C24A6" w:rsidP="00D5505A">
      <w:pPr>
        <w:pStyle w:val="ListParagraph"/>
        <w:spacing w:line="480" w:lineRule="auto"/>
        <w:ind w:left="1440"/>
        <w:jc w:val="both"/>
        <w:rPr>
          <w:rFonts w:ascii="Century Gothic" w:hAnsi="Century Gothic"/>
          <w:sz w:val="22"/>
          <w:szCs w:val="22"/>
          <w:lang w:val="en-US"/>
        </w:rPr>
      </w:pPr>
      <w:r>
        <w:rPr>
          <w:rFonts w:ascii="Century Gothic" w:hAnsi="Century Gothic"/>
          <w:sz w:val="22"/>
          <w:szCs w:val="22"/>
          <w:lang w:val="en-US"/>
        </w:rPr>
        <w:t>“</w:t>
      </w:r>
      <w:r w:rsidR="00D5505A" w:rsidRPr="00D5505A">
        <w:rPr>
          <w:rFonts w:ascii="Century Gothic" w:hAnsi="Century Gothic"/>
          <w:sz w:val="22"/>
          <w:szCs w:val="22"/>
          <w:lang w:val="en-US"/>
        </w:rPr>
        <w:t>It is trite that an appellate court will not interfere with a decision of a trial court based on findings of fact unless there is a clear misdirection or the decision reached is irrational.</w:t>
      </w:r>
      <w:r>
        <w:rPr>
          <w:rFonts w:ascii="Century Gothic" w:hAnsi="Century Gothic"/>
          <w:sz w:val="22"/>
          <w:szCs w:val="22"/>
          <w:lang w:val="en-US"/>
        </w:rPr>
        <w:t>”</w:t>
      </w:r>
    </w:p>
    <w:p w14:paraId="254D2585" w14:textId="33AC9078" w:rsidR="00AF3578" w:rsidRPr="00AF3578" w:rsidRDefault="00AF3578" w:rsidP="00AF3578">
      <w:pPr>
        <w:pStyle w:val="ListParagraph"/>
        <w:numPr>
          <w:ilvl w:val="0"/>
          <w:numId w:val="3"/>
        </w:numPr>
        <w:spacing w:line="480" w:lineRule="auto"/>
        <w:jc w:val="both"/>
        <w:rPr>
          <w:rFonts w:ascii="Century Gothic" w:hAnsi="Century Gothic"/>
          <w:lang w:val="en-US"/>
        </w:rPr>
      </w:pPr>
      <w:r w:rsidRPr="00AF3578">
        <w:rPr>
          <w:rFonts w:ascii="Century Gothic" w:hAnsi="Century Gothic"/>
          <w:lang w:val="en-US"/>
        </w:rPr>
        <w:t>The Appellant argued that he had raised a case of gross misdirection, making it a valid ground of appeal on a point of law. He pointed out that, despite the facts being clear, the Honourable Arbitrator concluded that the Respondent was employed by the Appellant in the mining industry while simultaneously determining that the Respondent was not employed by Laryscope Healthcare (Pvt) Ltd. However, the mine the Respondent was guarding belonged to Laryscope (Pvt) Ltd, not the Appellant.</w:t>
      </w:r>
    </w:p>
    <w:p w14:paraId="2D7CDE3D" w14:textId="5310AF36" w:rsidR="000F4562" w:rsidRDefault="000F4562" w:rsidP="008C115E">
      <w:pPr>
        <w:pStyle w:val="ListParagraph"/>
        <w:numPr>
          <w:ilvl w:val="0"/>
          <w:numId w:val="3"/>
        </w:numPr>
        <w:spacing w:line="480" w:lineRule="auto"/>
        <w:jc w:val="both"/>
        <w:rPr>
          <w:rFonts w:ascii="Century Gothic" w:hAnsi="Century Gothic"/>
          <w:lang w:val="en-US"/>
        </w:rPr>
      </w:pPr>
      <w:r>
        <w:rPr>
          <w:rFonts w:ascii="Century Gothic" w:hAnsi="Century Gothic"/>
          <w:lang w:val="en-US"/>
        </w:rPr>
        <w:t xml:space="preserve">The Court dismissed the points </w:t>
      </w:r>
      <w:r w:rsidRPr="000F4562">
        <w:rPr>
          <w:rFonts w:ascii="Century Gothic" w:hAnsi="Century Gothic"/>
          <w:i/>
          <w:iCs/>
          <w:lang w:val="en-US"/>
        </w:rPr>
        <w:t>in limine</w:t>
      </w:r>
      <w:r>
        <w:rPr>
          <w:rFonts w:ascii="Century Gothic" w:hAnsi="Century Gothic"/>
          <w:lang w:val="en-US"/>
        </w:rPr>
        <w:t xml:space="preserve"> as the decision was made on the merits</w:t>
      </w:r>
      <w:r w:rsidR="006C24A6">
        <w:rPr>
          <w:rFonts w:ascii="Century Gothic" w:hAnsi="Century Gothic"/>
          <w:lang w:val="en-US"/>
        </w:rPr>
        <w:t>,</w:t>
      </w:r>
      <w:r>
        <w:rPr>
          <w:rFonts w:ascii="Century Gothic" w:hAnsi="Century Gothic"/>
          <w:lang w:val="en-US"/>
        </w:rPr>
        <w:t xml:space="preserve"> and the decision is to be appealed. The matter proceeded to be heard on the merits.</w:t>
      </w:r>
    </w:p>
    <w:p w14:paraId="51AFDDF3" w14:textId="0FAE5C91" w:rsidR="001E1AA9" w:rsidRPr="006D2D0C" w:rsidRDefault="00CB6EA2" w:rsidP="001E1AA9">
      <w:pPr>
        <w:ind w:left="-284"/>
        <w:rPr>
          <w:rFonts w:ascii="Century Gothic" w:hAnsi="Century Gothic"/>
          <w:b/>
          <w:bCs/>
        </w:rPr>
      </w:pPr>
      <w:r>
        <w:rPr>
          <w:rFonts w:ascii="Century Gothic" w:hAnsi="Century Gothic"/>
          <w:b/>
          <w:bCs/>
          <w:lang w:val="en-US"/>
        </w:rPr>
        <w:t>COMMON CAUSE</w:t>
      </w:r>
    </w:p>
    <w:p w14:paraId="115194EC" w14:textId="58B67268" w:rsidR="00AF2390" w:rsidRPr="00951711" w:rsidRDefault="00951711" w:rsidP="00951711">
      <w:pPr>
        <w:numPr>
          <w:ilvl w:val="0"/>
          <w:numId w:val="3"/>
        </w:numPr>
        <w:spacing w:line="480" w:lineRule="auto"/>
        <w:jc w:val="both"/>
        <w:rPr>
          <w:rFonts w:ascii="Century Gothic" w:hAnsi="Century Gothic"/>
        </w:rPr>
      </w:pPr>
      <w:r w:rsidRPr="00951711">
        <w:rPr>
          <w:rFonts w:ascii="Century Gothic" w:hAnsi="Century Gothic"/>
        </w:rPr>
        <w:t xml:space="preserve">It was undisputed that the Appellant was a sister company to Laryscope Health Pvt Ltd and engaged in mining operations, making it subject to the NEC for the Mining Industry. It was also agreed that the Appellant operated within the mining sector and that the Respondent performed security duties at the Appellant's mine. Furthermore, it was </w:t>
      </w:r>
      <w:r w:rsidR="006C24A6">
        <w:rPr>
          <w:rFonts w:ascii="Century Gothic" w:hAnsi="Century Gothic"/>
        </w:rPr>
        <w:t>agreed</w:t>
      </w:r>
      <w:r w:rsidRPr="00951711">
        <w:rPr>
          <w:rFonts w:ascii="Century Gothic" w:hAnsi="Century Gothic"/>
        </w:rPr>
        <w:t xml:space="preserve"> that the Arbitrator </w:t>
      </w:r>
      <w:r w:rsidR="006C24A6">
        <w:rPr>
          <w:rFonts w:ascii="Century Gothic" w:hAnsi="Century Gothic"/>
        </w:rPr>
        <w:t xml:space="preserve">had </w:t>
      </w:r>
      <w:r w:rsidRPr="00951711">
        <w:rPr>
          <w:rFonts w:ascii="Century Gothic" w:hAnsi="Century Gothic"/>
        </w:rPr>
        <w:t xml:space="preserve">determined </w:t>
      </w:r>
      <w:r w:rsidR="006C24A6">
        <w:rPr>
          <w:rFonts w:ascii="Century Gothic" w:hAnsi="Century Gothic"/>
        </w:rPr>
        <w:t>that an</w:t>
      </w:r>
      <w:r w:rsidRPr="00951711">
        <w:rPr>
          <w:rFonts w:ascii="Century Gothic" w:hAnsi="Century Gothic"/>
        </w:rPr>
        <w:t xml:space="preserve"> incorrect code of conduct had been applied and that the Respondent should have been charged under the NEC for the Mining Industry. Since the Appellant </w:t>
      </w:r>
      <w:r w:rsidR="006C24A6">
        <w:rPr>
          <w:rFonts w:ascii="Century Gothic" w:hAnsi="Century Gothic"/>
        </w:rPr>
        <w:t>had applied a</w:t>
      </w:r>
      <w:r w:rsidRPr="00951711">
        <w:rPr>
          <w:rFonts w:ascii="Century Gothic" w:hAnsi="Century Gothic"/>
        </w:rPr>
        <w:t xml:space="preserve"> wrong code of conduct, </w:t>
      </w:r>
      <w:r w:rsidR="006C24A6">
        <w:rPr>
          <w:rFonts w:ascii="Century Gothic" w:hAnsi="Century Gothic"/>
        </w:rPr>
        <w:t xml:space="preserve">it was also agreed that that </w:t>
      </w:r>
      <w:r w:rsidR="006C24A6" w:rsidRPr="00951711">
        <w:rPr>
          <w:rFonts w:ascii="Century Gothic" w:hAnsi="Century Gothic"/>
        </w:rPr>
        <w:t>rendered</w:t>
      </w:r>
      <w:r w:rsidRPr="00951711">
        <w:rPr>
          <w:rFonts w:ascii="Century Gothic" w:hAnsi="Century Gothic"/>
        </w:rPr>
        <w:t xml:space="preserve"> the proceedings null and void. Therefore, the Arbitrator should not have proceeded beyond that point.</w:t>
      </w:r>
    </w:p>
    <w:p w14:paraId="314A73AB" w14:textId="77777777" w:rsidR="001E1AA9" w:rsidRPr="001E1AA9" w:rsidRDefault="001E1AA9" w:rsidP="001E1AA9">
      <w:pPr>
        <w:ind w:left="-284"/>
        <w:rPr>
          <w:rFonts w:ascii="Century Gothic" w:hAnsi="Century Gothic"/>
          <w:b/>
          <w:lang w:val="en-US"/>
        </w:rPr>
      </w:pPr>
      <w:r w:rsidRPr="001E1AA9">
        <w:rPr>
          <w:rFonts w:ascii="Century Gothic" w:hAnsi="Century Gothic"/>
          <w:b/>
          <w:lang w:val="en-US"/>
        </w:rPr>
        <w:t>ANALYSIS</w:t>
      </w:r>
    </w:p>
    <w:p w14:paraId="5F196D22" w14:textId="05C3A58A" w:rsidR="002A587D" w:rsidRPr="00AD3E12" w:rsidRDefault="00CD2B10" w:rsidP="00CD2B10">
      <w:pPr>
        <w:pStyle w:val="ListParagraph"/>
        <w:numPr>
          <w:ilvl w:val="0"/>
          <w:numId w:val="3"/>
        </w:numPr>
        <w:spacing w:line="480" w:lineRule="auto"/>
        <w:jc w:val="both"/>
        <w:rPr>
          <w:rFonts w:ascii="Century Gothic" w:hAnsi="Century Gothic"/>
        </w:rPr>
      </w:pPr>
      <w:r w:rsidRPr="00CD2B10">
        <w:rPr>
          <w:rFonts w:ascii="Century Gothic" w:hAnsi="Century Gothic"/>
          <w:lang w:val="en-US"/>
        </w:rPr>
        <w:t>After considering the arguments from both parties, the Court held that since the Arbitrator had determined that the wrong code of conduct was applied, he should have stopped at that point. Proceeding further would render the matter void and legally null.</w:t>
      </w:r>
      <w:r w:rsidR="00835501">
        <w:rPr>
          <w:rFonts w:ascii="Century Gothic" w:hAnsi="Century Gothic"/>
          <w:lang w:val="en-US"/>
        </w:rPr>
        <w:t xml:space="preserve"> </w:t>
      </w:r>
      <w:r w:rsidR="002A587D">
        <w:rPr>
          <w:rFonts w:ascii="Century Gothic" w:hAnsi="Century Gothic"/>
          <w:lang w:val="en-US"/>
        </w:rPr>
        <w:t xml:space="preserve">In the case of </w:t>
      </w:r>
      <w:r w:rsidR="002A587D" w:rsidRPr="002A587D">
        <w:rPr>
          <w:rFonts w:ascii="Century Gothic" w:hAnsi="Century Gothic"/>
          <w:i/>
          <w:iCs/>
          <w:lang w:val="en-US"/>
        </w:rPr>
        <w:t>The Garrat Trust vs Creative Credit (Private) Limited</w:t>
      </w:r>
      <w:r w:rsidR="002A587D">
        <w:rPr>
          <w:rFonts w:ascii="Century Gothic" w:hAnsi="Century Gothic"/>
          <w:lang w:val="en-US"/>
        </w:rPr>
        <w:t xml:space="preserve"> </w:t>
      </w:r>
      <w:r w:rsidR="002A587D" w:rsidRPr="002A587D">
        <w:rPr>
          <w:rFonts w:ascii="Century Gothic" w:hAnsi="Century Gothic"/>
          <w:lang w:val="en-US"/>
        </w:rPr>
        <w:t xml:space="preserve">SC 146/21 </w:t>
      </w:r>
      <w:r w:rsidR="002A587D">
        <w:rPr>
          <w:rFonts w:ascii="Century Gothic" w:hAnsi="Century Gothic"/>
          <w:lang w:val="en-US"/>
        </w:rPr>
        <w:t xml:space="preserve">Bhunu JA as he then was </w:t>
      </w:r>
      <w:r w:rsidR="0032451F">
        <w:rPr>
          <w:rFonts w:ascii="Century Gothic" w:hAnsi="Century Gothic"/>
          <w:lang w:val="en-US"/>
        </w:rPr>
        <w:t>referred</w:t>
      </w:r>
      <w:r w:rsidR="002A587D">
        <w:rPr>
          <w:rFonts w:ascii="Century Gothic" w:hAnsi="Century Gothic"/>
          <w:lang w:val="en-US"/>
        </w:rPr>
        <w:t xml:space="preserve"> the case of  </w:t>
      </w:r>
      <w:r w:rsidR="002A587D" w:rsidRPr="000400F5">
        <w:rPr>
          <w:rFonts w:ascii="Century Gothic" w:hAnsi="Century Gothic"/>
          <w:i/>
          <w:iCs/>
          <w:lang w:val="en-US"/>
        </w:rPr>
        <w:t>Macfoy vs United Africa Co Ltd</w:t>
      </w:r>
      <w:r w:rsidR="002A587D">
        <w:rPr>
          <w:rFonts w:ascii="Century Gothic" w:hAnsi="Century Gothic"/>
          <w:lang w:val="en-US"/>
        </w:rPr>
        <w:t xml:space="preserve">, </w:t>
      </w:r>
      <w:r w:rsidR="002A587D">
        <w:rPr>
          <w:rFonts w:ascii="Century Gothic" w:hAnsi="Century Gothic"/>
        </w:rPr>
        <w:t>1961 3 ALL ER 119 on page 1172 as</w:t>
      </w:r>
      <w:r w:rsidR="002A587D" w:rsidRPr="000400F5">
        <w:rPr>
          <w:rFonts w:ascii="Century Gothic" w:hAnsi="Century Gothic"/>
        </w:rPr>
        <w:t xml:space="preserve"> Lord DENNING observed that:  </w:t>
      </w:r>
    </w:p>
    <w:p w14:paraId="47BA8C6C" w14:textId="77777777" w:rsidR="00CD2B10" w:rsidRDefault="000400F5" w:rsidP="00CD2B10">
      <w:pPr>
        <w:spacing w:line="480" w:lineRule="auto"/>
        <w:ind w:left="1440"/>
        <w:jc w:val="both"/>
        <w:rPr>
          <w:rFonts w:ascii="Century Gothic" w:hAnsi="Century Gothic"/>
          <w:sz w:val="22"/>
          <w:szCs w:val="22"/>
        </w:rPr>
      </w:pPr>
      <w:r w:rsidRPr="002A587D">
        <w:rPr>
          <w:rFonts w:ascii="Century Gothic" w:hAnsi="Century Gothic"/>
          <w:sz w:val="22"/>
          <w:szCs w:val="22"/>
        </w:rPr>
        <w:t xml:space="preserve">“If an act is void, then, it is in law a nullity. It is not only bad but incurably bad. There is no need for an order of court for it to be set aside. It is automatically null and void without more ado, although it is sometimes more convenient to have the court declare it to be so. </w:t>
      </w:r>
    </w:p>
    <w:p w14:paraId="2618280F" w14:textId="6392F6B2" w:rsidR="001E1AA9" w:rsidRPr="00CD2B10" w:rsidRDefault="00CD2B10" w:rsidP="00CD2B10">
      <w:pPr>
        <w:pStyle w:val="ListParagraph"/>
        <w:numPr>
          <w:ilvl w:val="0"/>
          <w:numId w:val="3"/>
        </w:numPr>
        <w:spacing w:line="480" w:lineRule="auto"/>
        <w:jc w:val="both"/>
        <w:rPr>
          <w:rFonts w:ascii="Century Gothic" w:hAnsi="Century Gothic"/>
          <w:bCs/>
          <w:lang w:val="en-US"/>
        </w:rPr>
      </w:pPr>
      <w:r w:rsidRPr="00CD2B10">
        <w:rPr>
          <w:rFonts w:ascii="Century Gothic" w:hAnsi="Century Gothic"/>
          <w:bCs/>
        </w:rPr>
        <w:t xml:space="preserve">Bhunu </w:t>
      </w:r>
      <w:r w:rsidR="00835501" w:rsidRPr="00CD2B10">
        <w:rPr>
          <w:rFonts w:ascii="Century Gothic" w:hAnsi="Century Gothic"/>
          <w:bCs/>
        </w:rPr>
        <w:t>JA as</w:t>
      </w:r>
      <w:r w:rsidRPr="00CD2B10">
        <w:rPr>
          <w:rFonts w:ascii="Century Gothic" w:hAnsi="Century Gothic"/>
          <w:bCs/>
        </w:rPr>
        <w:t xml:space="preserve"> he then was had this to emphasise “</w:t>
      </w:r>
      <w:r w:rsidR="00835501">
        <w:rPr>
          <w:rFonts w:ascii="Century Gothic" w:hAnsi="Century Gothic"/>
          <w:bCs/>
        </w:rPr>
        <w:t>….</w:t>
      </w:r>
      <w:r w:rsidR="000400F5" w:rsidRPr="00CD2B10">
        <w:rPr>
          <w:rFonts w:ascii="Century Gothic" w:hAnsi="Century Gothic"/>
          <w:bCs/>
        </w:rPr>
        <w:t xml:space="preserve"> </w:t>
      </w:r>
      <w:r w:rsidR="000400F5" w:rsidRPr="00835501">
        <w:rPr>
          <w:rFonts w:ascii="Century Gothic" w:hAnsi="Century Gothic"/>
          <w:bCs/>
          <w:i/>
          <w:iCs/>
        </w:rPr>
        <w:t>every proceeding which is founded on it is also bad. You cannot put something on nothing and expect it to stay there. It will collapse</w:t>
      </w:r>
      <w:r w:rsidR="000400F5" w:rsidRPr="00CD2B10">
        <w:rPr>
          <w:rFonts w:ascii="Century Gothic" w:hAnsi="Century Gothic"/>
          <w:bCs/>
        </w:rPr>
        <w:t>.</w:t>
      </w:r>
      <w:r w:rsidRPr="00CD2B10">
        <w:rPr>
          <w:rFonts w:ascii="Century Gothic" w:hAnsi="Century Gothic"/>
          <w:bCs/>
        </w:rPr>
        <w:t>”</w:t>
      </w:r>
      <w:r w:rsidR="00835501">
        <w:rPr>
          <w:rFonts w:ascii="Century Gothic" w:hAnsi="Century Gothic"/>
          <w:bCs/>
        </w:rPr>
        <w:t xml:space="preserve"> </w:t>
      </w:r>
      <w:r w:rsidR="0032451F">
        <w:rPr>
          <w:rFonts w:ascii="Century Gothic" w:hAnsi="Century Gothic"/>
          <w:bCs/>
        </w:rPr>
        <w:t>Therefore,</w:t>
      </w:r>
      <w:r w:rsidR="00835501">
        <w:rPr>
          <w:rFonts w:ascii="Century Gothic" w:hAnsi="Century Gothic"/>
          <w:bCs/>
        </w:rPr>
        <w:t xml:space="preserve"> when the</w:t>
      </w:r>
      <w:r w:rsidR="0032451F">
        <w:rPr>
          <w:rFonts w:ascii="Century Gothic" w:hAnsi="Century Gothic"/>
          <w:bCs/>
        </w:rPr>
        <w:t xml:space="preserve"> Arbitrator established that the proceedings in terms of the Code other than Mining was a nullity, he ought to have dismissed the appeal as it was a legal nullity.</w:t>
      </w:r>
      <w:r w:rsidR="009B6A4F">
        <w:rPr>
          <w:rFonts w:ascii="Century Gothic" w:hAnsi="Century Gothic"/>
          <w:bCs/>
        </w:rPr>
        <w:t xml:space="preserve"> He should not have proceeded to determine the matter further as he did.</w:t>
      </w:r>
    </w:p>
    <w:p w14:paraId="6ABB9AA2" w14:textId="77777777" w:rsidR="00835501" w:rsidRPr="0031766E" w:rsidRDefault="00835501" w:rsidP="0031766E">
      <w:pPr>
        <w:pStyle w:val="ListParagraph"/>
        <w:numPr>
          <w:ilvl w:val="0"/>
          <w:numId w:val="3"/>
        </w:numPr>
        <w:spacing w:line="480" w:lineRule="auto"/>
        <w:jc w:val="both"/>
        <w:rPr>
          <w:rFonts w:ascii="Century Gothic" w:hAnsi="Century Gothic"/>
          <w:bCs/>
          <w:lang w:val="en-US"/>
        </w:rPr>
      </w:pPr>
      <w:r>
        <w:rPr>
          <w:rFonts w:ascii="Century Gothic" w:hAnsi="Century Gothic"/>
          <w:bCs/>
        </w:rPr>
        <w:t>Based on the above assertion, the Court upheld the appeal</w:t>
      </w:r>
    </w:p>
    <w:p w14:paraId="287EC0C6" w14:textId="77777777" w:rsidR="00C2035B" w:rsidRDefault="00C2035B" w:rsidP="001E1AA9">
      <w:pPr>
        <w:ind w:left="-284"/>
        <w:rPr>
          <w:rFonts w:ascii="Century Gothic" w:hAnsi="Century Gothic"/>
          <w:b/>
          <w:lang w:val="en-US"/>
        </w:rPr>
      </w:pPr>
    </w:p>
    <w:p w14:paraId="07C5821F" w14:textId="3DEF82EE" w:rsidR="001E1AA9" w:rsidRPr="001E1AA9" w:rsidRDefault="001E1AA9" w:rsidP="001E1AA9">
      <w:pPr>
        <w:ind w:left="-284"/>
        <w:rPr>
          <w:rFonts w:ascii="Century Gothic" w:hAnsi="Century Gothic"/>
          <w:b/>
          <w:lang w:val="en-US"/>
        </w:rPr>
      </w:pPr>
      <w:r w:rsidRPr="001E1AA9">
        <w:rPr>
          <w:rFonts w:ascii="Century Gothic" w:hAnsi="Century Gothic"/>
          <w:b/>
          <w:lang w:val="en-US"/>
        </w:rPr>
        <w:t>DISPOSITION</w:t>
      </w:r>
    </w:p>
    <w:p w14:paraId="7573C89B" w14:textId="3595454D" w:rsidR="001E1AA9" w:rsidRDefault="00A7484F" w:rsidP="00656715">
      <w:pPr>
        <w:ind w:left="720"/>
        <w:rPr>
          <w:rFonts w:ascii="Century Gothic" w:hAnsi="Century Gothic"/>
          <w:lang w:val="en-US"/>
        </w:rPr>
      </w:pPr>
      <w:r>
        <w:rPr>
          <w:rFonts w:ascii="Century Gothic" w:hAnsi="Century Gothic"/>
          <w:lang w:val="en-US"/>
        </w:rPr>
        <w:t xml:space="preserve"> </w:t>
      </w:r>
      <w:r w:rsidR="001E1AA9" w:rsidRPr="001E1AA9">
        <w:rPr>
          <w:rFonts w:ascii="Century Gothic" w:hAnsi="Century Gothic"/>
          <w:lang w:val="en-US"/>
        </w:rPr>
        <w:t xml:space="preserve">After having looked at both parties’ arguments before this court, it is </w:t>
      </w:r>
      <w:r w:rsidR="00780D73">
        <w:rPr>
          <w:rFonts w:ascii="Century Gothic" w:hAnsi="Century Gothic"/>
          <w:lang w:val="en-US"/>
        </w:rPr>
        <w:t>orde</w:t>
      </w:r>
      <w:r w:rsidR="001E1AA9" w:rsidRPr="001E1AA9">
        <w:rPr>
          <w:rFonts w:ascii="Century Gothic" w:hAnsi="Century Gothic"/>
          <w:lang w:val="en-US"/>
        </w:rPr>
        <w:t>red that</w:t>
      </w:r>
      <w:r w:rsidR="00780D73">
        <w:rPr>
          <w:rFonts w:ascii="Century Gothic" w:hAnsi="Century Gothic"/>
          <w:lang w:val="en-US"/>
        </w:rPr>
        <w:t>:</w:t>
      </w:r>
    </w:p>
    <w:p w14:paraId="0A60341E" w14:textId="64231097" w:rsidR="00780D73" w:rsidRPr="00780D73" w:rsidRDefault="00780D73" w:rsidP="00656715">
      <w:pPr>
        <w:pStyle w:val="ListParagraph"/>
        <w:numPr>
          <w:ilvl w:val="0"/>
          <w:numId w:val="4"/>
        </w:numPr>
        <w:spacing w:line="480" w:lineRule="auto"/>
        <w:jc w:val="both"/>
        <w:rPr>
          <w:rFonts w:ascii="Century Gothic" w:hAnsi="Century Gothic"/>
          <w:lang w:val="en-US"/>
        </w:rPr>
      </w:pPr>
      <w:r w:rsidRPr="00780D73">
        <w:rPr>
          <w:rFonts w:ascii="Century Gothic" w:hAnsi="Century Gothic"/>
          <w:lang w:val="en-US"/>
        </w:rPr>
        <w:t>The appeal be and is hereby upheld.</w:t>
      </w:r>
    </w:p>
    <w:p w14:paraId="27BC2AFB" w14:textId="3757C5FF" w:rsidR="00780D73" w:rsidRPr="00780D73" w:rsidRDefault="00780D73" w:rsidP="00780D73">
      <w:pPr>
        <w:pStyle w:val="ListParagraph"/>
        <w:numPr>
          <w:ilvl w:val="0"/>
          <w:numId w:val="4"/>
        </w:numPr>
        <w:spacing w:line="480" w:lineRule="auto"/>
        <w:jc w:val="both"/>
        <w:rPr>
          <w:rFonts w:ascii="Century Gothic" w:hAnsi="Century Gothic"/>
          <w:lang w:val="en-US"/>
        </w:rPr>
      </w:pPr>
      <w:r w:rsidRPr="00780D73">
        <w:rPr>
          <w:rFonts w:ascii="Century Gothic" w:hAnsi="Century Gothic"/>
          <w:lang w:val="en-US"/>
        </w:rPr>
        <w:t>The arbitrator's ruling be and is hereby set aside and replaced as below.</w:t>
      </w:r>
    </w:p>
    <w:p w14:paraId="37307301" w14:textId="77777777" w:rsidR="00656715" w:rsidRDefault="00780D73" w:rsidP="00656715">
      <w:pPr>
        <w:pStyle w:val="ListParagraph"/>
        <w:numPr>
          <w:ilvl w:val="1"/>
          <w:numId w:val="4"/>
        </w:numPr>
        <w:spacing w:line="480" w:lineRule="auto"/>
        <w:jc w:val="both"/>
        <w:rPr>
          <w:rFonts w:ascii="Century Gothic" w:hAnsi="Century Gothic"/>
          <w:lang w:val="en-US"/>
        </w:rPr>
      </w:pPr>
      <w:r w:rsidRPr="00780D73">
        <w:rPr>
          <w:rFonts w:ascii="Century Gothic" w:hAnsi="Century Gothic"/>
          <w:lang w:val="en-US"/>
        </w:rPr>
        <w:t>The employee was unfairly dismissed.</w:t>
      </w:r>
    </w:p>
    <w:p w14:paraId="21019940" w14:textId="77777777" w:rsid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The employee's conviction be and is hereby aside.</w:t>
      </w:r>
    </w:p>
    <w:p w14:paraId="5FD3F8E2" w14:textId="77777777" w:rsid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The employee be and is hereby reinstated to the point of suspension.</w:t>
      </w:r>
    </w:p>
    <w:p w14:paraId="67F4E98B" w14:textId="5DCA7390" w:rsid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The employer may proceed, if it so wishes, with disciplinary proceedings and shall complete the same within thirty days of this order or such further time as may</w:t>
      </w:r>
      <w:r w:rsidR="00656715">
        <w:rPr>
          <w:rFonts w:ascii="Century Gothic" w:hAnsi="Century Gothic"/>
          <w:lang w:val="en-US"/>
        </w:rPr>
        <w:t>,</w:t>
      </w:r>
      <w:r w:rsidRPr="00656715">
        <w:rPr>
          <w:rFonts w:ascii="Century Gothic" w:hAnsi="Century Gothic"/>
          <w:lang w:val="en-US"/>
        </w:rPr>
        <w:t xml:space="preserve"> on good cause shown</w:t>
      </w:r>
      <w:r w:rsidR="00656715">
        <w:rPr>
          <w:rFonts w:ascii="Century Gothic" w:hAnsi="Century Gothic"/>
          <w:lang w:val="en-US"/>
        </w:rPr>
        <w:t>,</w:t>
      </w:r>
      <w:r w:rsidRPr="00656715">
        <w:rPr>
          <w:rFonts w:ascii="Century Gothic" w:hAnsi="Century Gothic"/>
          <w:lang w:val="en-US"/>
        </w:rPr>
        <w:t xml:space="preserve"> be granted.</w:t>
      </w:r>
    </w:p>
    <w:p w14:paraId="3415F752" w14:textId="42C919F0" w:rsid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If the employer does not proceed with the disciplinary proceedings as prescribed</w:t>
      </w:r>
      <w:r w:rsidR="00656715">
        <w:rPr>
          <w:rFonts w:ascii="Century Gothic" w:hAnsi="Century Gothic"/>
          <w:lang w:val="en-US"/>
        </w:rPr>
        <w:t>,</w:t>
      </w:r>
      <w:r w:rsidRPr="00656715">
        <w:rPr>
          <w:rFonts w:ascii="Century Gothic" w:hAnsi="Century Gothic"/>
          <w:lang w:val="en-US"/>
        </w:rPr>
        <w:t xml:space="preserve"> it shall reinstate the employee without loss of salary and benefits from the date of suspension.</w:t>
      </w:r>
    </w:p>
    <w:p w14:paraId="5CAD91FA" w14:textId="29CA922F" w:rsid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If reinstatement as above is no longer possible</w:t>
      </w:r>
      <w:r w:rsidR="00656715">
        <w:rPr>
          <w:rFonts w:ascii="Century Gothic" w:hAnsi="Century Gothic"/>
          <w:lang w:val="en-US"/>
        </w:rPr>
        <w:t>,</w:t>
      </w:r>
      <w:r w:rsidRPr="00656715">
        <w:rPr>
          <w:rFonts w:ascii="Century Gothic" w:hAnsi="Century Gothic"/>
          <w:lang w:val="en-US"/>
        </w:rPr>
        <w:t xml:space="preserve"> the employer shall pay damages in lieu thereof</w:t>
      </w:r>
      <w:r w:rsidR="00656715">
        <w:rPr>
          <w:rFonts w:ascii="Century Gothic" w:hAnsi="Century Gothic"/>
          <w:lang w:val="en-US"/>
        </w:rPr>
        <w:t>,</w:t>
      </w:r>
      <w:r w:rsidRPr="00656715">
        <w:rPr>
          <w:rFonts w:ascii="Century Gothic" w:hAnsi="Century Gothic"/>
          <w:lang w:val="en-US"/>
        </w:rPr>
        <w:t xml:space="preserve"> the quantum of which may be agreed between the parties</w:t>
      </w:r>
      <w:r w:rsidR="00656715">
        <w:rPr>
          <w:rFonts w:ascii="Century Gothic" w:hAnsi="Century Gothic"/>
          <w:lang w:val="en-US"/>
        </w:rPr>
        <w:t>,</w:t>
      </w:r>
      <w:r w:rsidRPr="00656715">
        <w:rPr>
          <w:rFonts w:ascii="Century Gothic" w:hAnsi="Century Gothic"/>
          <w:lang w:val="en-US"/>
        </w:rPr>
        <w:t xml:space="preserve"> failing which agreement</w:t>
      </w:r>
      <w:r w:rsidR="00656715">
        <w:rPr>
          <w:rFonts w:ascii="Century Gothic" w:hAnsi="Century Gothic"/>
          <w:lang w:val="en-US"/>
        </w:rPr>
        <w:t>,</w:t>
      </w:r>
      <w:r w:rsidRPr="00656715">
        <w:rPr>
          <w:rFonts w:ascii="Century Gothic" w:hAnsi="Century Gothic"/>
          <w:lang w:val="en-US"/>
        </w:rPr>
        <w:t xml:space="preserve"> either party may approach this court for quantification thereof.</w:t>
      </w:r>
    </w:p>
    <w:p w14:paraId="2287941F" w14:textId="59604114" w:rsidR="00780D73" w:rsidRPr="00656715" w:rsidRDefault="00780D73" w:rsidP="00656715">
      <w:pPr>
        <w:pStyle w:val="ListParagraph"/>
        <w:numPr>
          <w:ilvl w:val="1"/>
          <w:numId w:val="4"/>
        </w:numPr>
        <w:spacing w:line="480" w:lineRule="auto"/>
        <w:jc w:val="both"/>
        <w:rPr>
          <w:rFonts w:ascii="Century Gothic" w:hAnsi="Century Gothic"/>
          <w:lang w:val="en-US"/>
        </w:rPr>
      </w:pPr>
      <w:r w:rsidRPr="00656715">
        <w:rPr>
          <w:rFonts w:ascii="Century Gothic" w:hAnsi="Century Gothic"/>
          <w:lang w:val="en-US"/>
        </w:rPr>
        <w:t>Each party shall bear its costs</w:t>
      </w:r>
      <w:r w:rsidR="00C2035B" w:rsidRPr="00656715">
        <w:rPr>
          <w:rFonts w:ascii="Century Gothic" w:hAnsi="Century Gothic"/>
          <w:lang w:val="en-US"/>
        </w:rPr>
        <w:t>.</w:t>
      </w:r>
    </w:p>
    <w:p w14:paraId="3969C011" w14:textId="77777777" w:rsidR="001E1AA9" w:rsidRPr="001E1AA9" w:rsidRDefault="001E1AA9" w:rsidP="001E1AA9">
      <w:pPr>
        <w:ind w:left="-284"/>
        <w:rPr>
          <w:rFonts w:ascii="Century Gothic" w:hAnsi="Century Gothic"/>
        </w:rPr>
      </w:pPr>
    </w:p>
    <w:sectPr w:rsidR="001E1AA9" w:rsidRPr="001E1AA9" w:rsidSect="001E1A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DAB89" w14:textId="77777777" w:rsidR="001E298E" w:rsidRDefault="001E298E">
      <w:pPr>
        <w:spacing w:after="0" w:line="240" w:lineRule="auto"/>
      </w:pPr>
      <w:r>
        <w:separator/>
      </w:r>
    </w:p>
  </w:endnote>
  <w:endnote w:type="continuationSeparator" w:id="0">
    <w:p w14:paraId="168C3C58" w14:textId="77777777" w:rsidR="001E298E" w:rsidRDefault="001E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85956"/>
      <w:docPartObj>
        <w:docPartGallery w:val="Page Numbers (Bottom of Page)"/>
        <w:docPartUnique/>
      </w:docPartObj>
    </w:sdtPr>
    <w:sdtEndPr>
      <w:rPr>
        <w:noProof/>
      </w:rPr>
    </w:sdtEndPr>
    <w:sdtContent>
      <w:p w14:paraId="6DBC884D" w14:textId="77777777" w:rsidR="00EF24D9" w:rsidRDefault="0024289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4C5D207" w14:textId="77777777" w:rsidR="00EF24D9" w:rsidRDefault="00EF2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94E67" w14:textId="77777777" w:rsidR="001E298E" w:rsidRDefault="001E298E">
      <w:pPr>
        <w:spacing w:after="0" w:line="240" w:lineRule="auto"/>
      </w:pPr>
      <w:r>
        <w:separator/>
      </w:r>
    </w:p>
  </w:footnote>
  <w:footnote w:type="continuationSeparator" w:id="0">
    <w:p w14:paraId="779477AB" w14:textId="77777777" w:rsidR="001E298E" w:rsidRDefault="001E2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3E581" w14:textId="77777777" w:rsidR="00EF24D9" w:rsidRDefault="0024289D">
    <w:pPr>
      <w:pStyle w:val="Header"/>
    </w:pPr>
    <w: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4A7F"/>
    <w:multiLevelType w:val="hybridMultilevel"/>
    <w:tmpl w:val="9D7C49C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B714E"/>
    <w:multiLevelType w:val="hybridMultilevel"/>
    <w:tmpl w:val="8C4CDFB4"/>
    <w:lvl w:ilvl="0" w:tplc="DF0678E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D467724"/>
    <w:multiLevelType w:val="multilevel"/>
    <w:tmpl w:val="AC9C4CAC"/>
    <w:lvl w:ilvl="0">
      <w:start w:val="1"/>
      <w:numFmt w:val="decimal"/>
      <w:lvlText w:val="%1."/>
      <w:lvlJc w:val="right"/>
      <w:pPr>
        <w:ind w:left="1440" w:hanging="360"/>
      </w:pPr>
      <w:rPr>
        <w:rFonts w:ascii="Century Gothic" w:eastAsiaTheme="minorHAnsi" w:hAnsi="Century Gothic"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120" w:hanging="2160"/>
      </w:pPr>
      <w:rPr>
        <w:rFonts w:hint="default"/>
      </w:rPr>
    </w:lvl>
  </w:abstractNum>
  <w:abstractNum w:abstractNumId="3" w15:restartNumberingAfterBreak="0">
    <w:nsid w:val="58BA2702"/>
    <w:multiLevelType w:val="multilevel"/>
    <w:tmpl w:val="7A5A653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6C030E12"/>
    <w:multiLevelType w:val="hybridMultilevel"/>
    <w:tmpl w:val="9D7C49CE"/>
    <w:lvl w:ilvl="0" w:tplc="D298C1F8">
      <w:start w:val="1"/>
      <w:numFmt w:val="decimal"/>
      <w:lvlText w:val="%1."/>
      <w:lvlJc w:val="left"/>
      <w:pPr>
        <w:ind w:left="720" w:hanging="360"/>
      </w:pPr>
      <w:rPr>
        <w:rFonts w:hint="default"/>
        <w:b w:val="0"/>
        <w:b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A9"/>
    <w:rsid w:val="00022353"/>
    <w:rsid w:val="000400F5"/>
    <w:rsid w:val="000E2AEE"/>
    <w:rsid w:val="000F4562"/>
    <w:rsid w:val="00165379"/>
    <w:rsid w:val="001E1AA9"/>
    <w:rsid w:val="001E298E"/>
    <w:rsid w:val="0024289D"/>
    <w:rsid w:val="00286CD0"/>
    <w:rsid w:val="002A587D"/>
    <w:rsid w:val="002B7100"/>
    <w:rsid w:val="0032451F"/>
    <w:rsid w:val="003602B5"/>
    <w:rsid w:val="00361419"/>
    <w:rsid w:val="003F2C62"/>
    <w:rsid w:val="004302E2"/>
    <w:rsid w:val="00432218"/>
    <w:rsid w:val="004774FC"/>
    <w:rsid w:val="004D3D0A"/>
    <w:rsid w:val="004F1F73"/>
    <w:rsid w:val="004F4609"/>
    <w:rsid w:val="0051638C"/>
    <w:rsid w:val="0054360A"/>
    <w:rsid w:val="005F31C5"/>
    <w:rsid w:val="006070E3"/>
    <w:rsid w:val="00656715"/>
    <w:rsid w:val="00674312"/>
    <w:rsid w:val="006C24A6"/>
    <w:rsid w:val="006D2D0C"/>
    <w:rsid w:val="006E5BF1"/>
    <w:rsid w:val="006F6D63"/>
    <w:rsid w:val="00744DE6"/>
    <w:rsid w:val="00780D73"/>
    <w:rsid w:val="007B4635"/>
    <w:rsid w:val="0081172F"/>
    <w:rsid w:val="00835501"/>
    <w:rsid w:val="0088341D"/>
    <w:rsid w:val="008C115E"/>
    <w:rsid w:val="008F6CFB"/>
    <w:rsid w:val="00905AD4"/>
    <w:rsid w:val="00951711"/>
    <w:rsid w:val="00963344"/>
    <w:rsid w:val="009B6A4F"/>
    <w:rsid w:val="009F6562"/>
    <w:rsid w:val="00A62868"/>
    <w:rsid w:val="00A7484F"/>
    <w:rsid w:val="00A86218"/>
    <w:rsid w:val="00A91EA0"/>
    <w:rsid w:val="00AA636E"/>
    <w:rsid w:val="00AB442A"/>
    <w:rsid w:val="00AD7642"/>
    <w:rsid w:val="00AF2390"/>
    <w:rsid w:val="00AF3578"/>
    <w:rsid w:val="00B057EC"/>
    <w:rsid w:val="00B0788B"/>
    <w:rsid w:val="00B476BB"/>
    <w:rsid w:val="00BD7B2F"/>
    <w:rsid w:val="00C2035B"/>
    <w:rsid w:val="00C666D7"/>
    <w:rsid w:val="00C773B1"/>
    <w:rsid w:val="00C80F06"/>
    <w:rsid w:val="00C84AA8"/>
    <w:rsid w:val="00CB1F44"/>
    <w:rsid w:val="00CB6EA2"/>
    <w:rsid w:val="00CB6FD0"/>
    <w:rsid w:val="00CC468F"/>
    <w:rsid w:val="00CD2B10"/>
    <w:rsid w:val="00CE6FD4"/>
    <w:rsid w:val="00D01F13"/>
    <w:rsid w:val="00D357B4"/>
    <w:rsid w:val="00D5505A"/>
    <w:rsid w:val="00D940B1"/>
    <w:rsid w:val="00DE346A"/>
    <w:rsid w:val="00DF24D8"/>
    <w:rsid w:val="00E84E47"/>
    <w:rsid w:val="00EF24D9"/>
    <w:rsid w:val="00F144FC"/>
    <w:rsid w:val="00F56919"/>
    <w:rsid w:val="00F82BA6"/>
    <w:rsid w:val="00FF64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D727E"/>
  <w15:chartTrackingRefBased/>
  <w15:docId w15:val="{64C60252-FC85-4D4F-9F3A-99977783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1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A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AA9"/>
    <w:rPr>
      <w:rFonts w:eastAsiaTheme="majorEastAsia" w:cstheme="majorBidi"/>
      <w:color w:val="272727" w:themeColor="text1" w:themeTint="D8"/>
    </w:rPr>
  </w:style>
  <w:style w:type="paragraph" w:styleId="Title">
    <w:name w:val="Title"/>
    <w:basedOn w:val="Normal"/>
    <w:next w:val="Normal"/>
    <w:link w:val="TitleChar"/>
    <w:uiPriority w:val="10"/>
    <w:qFormat/>
    <w:rsid w:val="001E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AA9"/>
    <w:pPr>
      <w:spacing w:before="160"/>
      <w:jc w:val="center"/>
    </w:pPr>
    <w:rPr>
      <w:i/>
      <w:iCs/>
      <w:color w:val="404040" w:themeColor="text1" w:themeTint="BF"/>
    </w:rPr>
  </w:style>
  <w:style w:type="character" w:customStyle="1" w:styleId="QuoteChar">
    <w:name w:val="Quote Char"/>
    <w:basedOn w:val="DefaultParagraphFont"/>
    <w:link w:val="Quote"/>
    <w:uiPriority w:val="29"/>
    <w:rsid w:val="001E1AA9"/>
    <w:rPr>
      <w:i/>
      <w:iCs/>
      <w:color w:val="404040" w:themeColor="text1" w:themeTint="BF"/>
    </w:rPr>
  </w:style>
  <w:style w:type="paragraph" w:styleId="ListParagraph">
    <w:name w:val="List Paragraph"/>
    <w:basedOn w:val="Normal"/>
    <w:uiPriority w:val="34"/>
    <w:qFormat/>
    <w:rsid w:val="001E1AA9"/>
    <w:pPr>
      <w:ind w:left="720"/>
      <w:contextualSpacing/>
    </w:pPr>
  </w:style>
  <w:style w:type="character" w:styleId="IntenseEmphasis">
    <w:name w:val="Intense Emphasis"/>
    <w:basedOn w:val="DefaultParagraphFont"/>
    <w:uiPriority w:val="21"/>
    <w:qFormat/>
    <w:rsid w:val="001E1AA9"/>
    <w:rPr>
      <w:i/>
      <w:iCs/>
      <w:color w:val="2F5496" w:themeColor="accent1" w:themeShade="BF"/>
    </w:rPr>
  </w:style>
  <w:style w:type="paragraph" w:styleId="IntenseQuote">
    <w:name w:val="Intense Quote"/>
    <w:basedOn w:val="Normal"/>
    <w:next w:val="Normal"/>
    <w:link w:val="IntenseQuoteChar"/>
    <w:uiPriority w:val="30"/>
    <w:qFormat/>
    <w:rsid w:val="001E1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AA9"/>
    <w:rPr>
      <w:i/>
      <w:iCs/>
      <w:color w:val="2F5496" w:themeColor="accent1" w:themeShade="BF"/>
    </w:rPr>
  </w:style>
  <w:style w:type="character" w:styleId="IntenseReference">
    <w:name w:val="Intense Reference"/>
    <w:basedOn w:val="DefaultParagraphFont"/>
    <w:uiPriority w:val="32"/>
    <w:qFormat/>
    <w:rsid w:val="001E1AA9"/>
    <w:rPr>
      <w:b/>
      <w:bCs/>
      <w:smallCaps/>
      <w:color w:val="2F5496" w:themeColor="accent1" w:themeShade="BF"/>
      <w:spacing w:val="5"/>
    </w:rPr>
  </w:style>
  <w:style w:type="paragraph" w:styleId="Header">
    <w:name w:val="header"/>
    <w:basedOn w:val="Normal"/>
    <w:link w:val="HeaderChar"/>
    <w:uiPriority w:val="99"/>
    <w:semiHidden/>
    <w:unhideWhenUsed/>
    <w:rsid w:val="001E1A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1AA9"/>
  </w:style>
  <w:style w:type="paragraph" w:styleId="Footer">
    <w:name w:val="footer"/>
    <w:basedOn w:val="Normal"/>
    <w:link w:val="FooterChar"/>
    <w:uiPriority w:val="99"/>
    <w:semiHidden/>
    <w:unhideWhenUsed/>
    <w:rsid w:val="001E1A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62746">
      <w:bodyDiv w:val="1"/>
      <w:marLeft w:val="0"/>
      <w:marRight w:val="0"/>
      <w:marTop w:val="0"/>
      <w:marBottom w:val="0"/>
      <w:divBdr>
        <w:top w:val="none" w:sz="0" w:space="0" w:color="auto"/>
        <w:left w:val="none" w:sz="0" w:space="0" w:color="auto"/>
        <w:bottom w:val="none" w:sz="0" w:space="0" w:color="auto"/>
        <w:right w:val="none" w:sz="0" w:space="0" w:color="auto"/>
      </w:divBdr>
    </w:div>
    <w:div w:id="864636525">
      <w:bodyDiv w:val="1"/>
      <w:marLeft w:val="0"/>
      <w:marRight w:val="0"/>
      <w:marTop w:val="0"/>
      <w:marBottom w:val="0"/>
      <w:divBdr>
        <w:top w:val="none" w:sz="0" w:space="0" w:color="auto"/>
        <w:left w:val="none" w:sz="0" w:space="0" w:color="auto"/>
        <w:bottom w:val="none" w:sz="0" w:space="0" w:color="auto"/>
        <w:right w:val="none" w:sz="0" w:space="0" w:color="auto"/>
      </w:divBdr>
    </w:div>
    <w:div w:id="11692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1551</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JudgesAssistantt</dc:creator>
  <cp:keywords/>
  <dc:description/>
  <cp:lastModifiedBy>Microsoft account</cp:lastModifiedBy>
  <cp:revision>2</cp:revision>
  <cp:lastPrinted>2025-03-06T09:55:00Z</cp:lastPrinted>
  <dcterms:created xsi:type="dcterms:W3CDTF">2025-03-10T11:03:00Z</dcterms:created>
  <dcterms:modified xsi:type="dcterms:W3CDTF">2025-03-10T11:03:00Z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ff874c20-f4ac-48ca-9184-38bf5235bc67</vt:lpwstr>
  </property>
</Properties>
</file>