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EDLEEN MATONHODZE</w:t>
      </w:r>
    </w:p>
    <w:p w:rsidR="00160DEE" w:rsidRPr="0056455C" w:rsidRDefault="00135207"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versus</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MINISTER OF JUSTICE N.O</w:t>
      </w:r>
    </w:p>
    <w:p w:rsidR="00160DEE" w:rsidRPr="0056455C" w:rsidRDefault="00135207"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and</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FLORENCE MAPUVIRE N.O</w:t>
      </w:r>
    </w:p>
    <w:p w:rsidR="00160DEE" w:rsidRPr="0056455C" w:rsidRDefault="00135207"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and</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FLORENCE MAPUVIRE</w:t>
      </w:r>
    </w:p>
    <w:p w:rsidR="00160DEE" w:rsidRPr="0056455C" w:rsidRDefault="00135207"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and</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MASTER OF THE HIGH COURT</w:t>
      </w:r>
    </w:p>
    <w:p w:rsidR="00160DEE" w:rsidRDefault="00160DEE" w:rsidP="00135207">
      <w:pPr>
        <w:spacing w:after="0" w:line="240" w:lineRule="auto"/>
        <w:rPr>
          <w:rFonts w:ascii="Times New Roman" w:hAnsi="Times New Roman" w:cs="Times New Roman"/>
          <w:sz w:val="24"/>
          <w:szCs w:val="24"/>
        </w:rPr>
      </w:pPr>
    </w:p>
    <w:p w:rsidR="00C618D8" w:rsidRPr="0056455C" w:rsidRDefault="00C618D8" w:rsidP="00135207">
      <w:pPr>
        <w:spacing w:after="0" w:line="240" w:lineRule="auto"/>
        <w:rPr>
          <w:rFonts w:ascii="Times New Roman" w:hAnsi="Times New Roman" w:cs="Times New Roman"/>
          <w:sz w:val="24"/>
          <w:szCs w:val="24"/>
        </w:rPr>
      </w:pP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HICH COURT OF ZIMBABWE</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MUCHAWA J</w:t>
      </w:r>
    </w:p>
    <w:p w:rsidR="00160DEE" w:rsidRPr="0056455C" w:rsidRDefault="00C84F48" w:rsidP="001352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15 June </w:t>
      </w:r>
      <w:r w:rsidR="00135207">
        <w:rPr>
          <w:rFonts w:ascii="Times New Roman" w:hAnsi="Times New Roman" w:cs="Times New Roman"/>
          <w:sz w:val="24"/>
          <w:szCs w:val="24"/>
        </w:rPr>
        <w:t xml:space="preserve">&amp; </w:t>
      </w:r>
      <w:r w:rsidR="00560AE6">
        <w:rPr>
          <w:rFonts w:ascii="Times New Roman" w:hAnsi="Times New Roman" w:cs="Times New Roman"/>
          <w:sz w:val="24"/>
          <w:szCs w:val="24"/>
        </w:rPr>
        <w:t>29</w:t>
      </w:r>
      <w:r w:rsidR="00160DEE" w:rsidRPr="0056455C">
        <w:rPr>
          <w:rFonts w:ascii="Times New Roman" w:hAnsi="Times New Roman" w:cs="Times New Roman"/>
          <w:sz w:val="24"/>
          <w:szCs w:val="24"/>
        </w:rPr>
        <w:t xml:space="preserve"> July 2022</w:t>
      </w:r>
    </w:p>
    <w:p w:rsidR="00160DEE" w:rsidRDefault="00160DEE" w:rsidP="00135207">
      <w:pPr>
        <w:spacing w:after="0" w:line="240" w:lineRule="auto"/>
        <w:rPr>
          <w:rFonts w:ascii="Times New Roman" w:hAnsi="Times New Roman" w:cs="Times New Roman"/>
          <w:sz w:val="24"/>
          <w:szCs w:val="24"/>
        </w:rPr>
      </w:pPr>
    </w:p>
    <w:p w:rsidR="00C618D8" w:rsidRPr="0056455C" w:rsidRDefault="00C618D8" w:rsidP="00135207">
      <w:pPr>
        <w:spacing w:after="0" w:line="240" w:lineRule="auto"/>
        <w:rPr>
          <w:rFonts w:ascii="Times New Roman" w:hAnsi="Times New Roman" w:cs="Times New Roman"/>
          <w:sz w:val="24"/>
          <w:szCs w:val="24"/>
        </w:rPr>
      </w:pPr>
      <w:bookmarkStart w:id="0" w:name="_GoBack"/>
      <w:bookmarkEnd w:id="0"/>
    </w:p>
    <w:p w:rsidR="00160DEE" w:rsidRPr="0056455C" w:rsidRDefault="00160DEE" w:rsidP="00135207">
      <w:pPr>
        <w:spacing w:after="0" w:line="240" w:lineRule="auto"/>
        <w:rPr>
          <w:rFonts w:ascii="Times New Roman" w:hAnsi="Times New Roman" w:cs="Times New Roman"/>
          <w:b/>
          <w:sz w:val="24"/>
          <w:szCs w:val="24"/>
        </w:rPr>
      </w:pPr>
      <w:r w:rsidRPr="0056455C">
        <w:rPr>
          <w:rFonts w:ascii="Times New Roman" w:hAnsi="Times New Roman" w:cs="Times New Roman"/>
          <w:b/>
          <w:sz w:val="24"/>
          <w:szCs w:val="24"/>
        </w:rPr>
        <w:t>Opposed Matter</w:t>
      </w:r>
    </w:p>
    <w:p w:rsidR="00160DEE" w:rsidRPr="0056455C" w:rsidRDefault="00160DEE" w:rsidP="00135207">
      <w:pPr>
        <w:spacing w:after="0" w:line="240" w:lineRule="auto"/>
        <w:rPr>
          <w:rFonts w:ascii="Times New Roman" w:hAnsi="Times New Roman" w:cs="Times New Roman"/>
          <w:b/>
          <w:sz w:val="24"/>
          <w:szCs w:val="24"/>
        </w:rPr>
      </w:pP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Mr</w:t>
      </w:r>
      <w:r w:rsidRPr="0056455C">
        <w:rPr>
          <w:rFonts w:ascii="Times New Roman" w:hAnsi="Times New Roman" w:cs="Times New Roman"/>
          <w:i/>
          <w:sz w:val="24"/>
          <w:szCs w:val="24"/>
        </w:rPr>
        <w:t xml:space="preserve"> M Chipetiwa, </w:t>
      </w:r>
      <w:r w:rsidRPr="0056455C">
        <w:rPr>
          <w:rFonts w:ascii="Times New Roman" w:hAnsi="Times New Roman" w:cs="Times New Roman"/>
          <w:sz w:val="24"/>
          <w:szCs w:val="24"/>
        </w:rPr>
        <w:t xml:space="preserve">for </w:t>
      </w:r>
      <w:r w:rsidR="00135207">
        <w:rPr>
          <w:rFonts w:ascii="Times New Roman" w:hAnsi="Times New Roman" w:cs="Times New Roman"/>
          <w:sz w:val="24"/>
          <w:szCs w:val="24"/>
        </w:rPr>
        <w:t xml:space="preserve">the </w:t>
      </w:r>
      <w:r w:rsidRPr="0056455C">
        <w:rPr>
          <w:rFonts w:ascii="Times New Roman" w:hAnsi="Times New Roman" w:cs="Times New Roman"/>
          <w:sz w:val="24"/>
          <w:szCs w:val="24"/>
        </w:rPr>
        <w:t>applicant</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 xml:space="preserve">Mr </w:t>
      </w:r>
      <w:r w:rsidRPr="0056455C">
        <w:rPr>
          <w:rFonts w:ascii="Times New Roman" w:hAnsi="Times New Roman" w:cs="Times New Roman"/>
          <w:i/>
          <w:sz w:val="24"/>
          <w:szCs w:val="24"/>
        </w:rPr>
        <w:t>M Mavhiringidze</w:t>
      </w:r>
      <w:r w:rsidRPr="0056455C">
        <w:rPr>
          <w:rFonts w:ascii="Times New Roman" w:hAnsi="Times New Roman" w:cs="Times New Roman"/>
          <w:sz w:val="24"/>
          <w:szCs w:val="24"/>
        </w:rPr>
        <w:t xml:space="preserve">, for </w:t>
      </w:r>
      <w:r w:rsidR="00135207">
        <w:rPr>
          <w:rFonts w:ascii="Times New Roman" w:hAnsi="Times New Roman" w:cs="Times New Roman"/>
          <w:sz w:val="24"/>
          <w:szCs w:val="24"/>
        </w:rPr>
        <w:t>2</w:t>
      </w:r>
      <w:r w:rsidR="00135207" w:rsidRPr="00135207">
        <w:rPr>
          <w:rFonts w:ascii="Times New Roman" w:hAnsi="Times New Roman" w:cs="Times New Roman"/>
          <w:sz w:val="24"/>
          <w:szCs w:val="24"/>
          <w:vertAlign w:val="superscript"/>
        </w:rPr>
        <w:t>nd</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 xml:space="preserve">and </w:t>
      </w:r>
      <w:r w:rsidR="00135207">
        <w:rPr>
          <w:rFonts w:ascii="Times New Roman" w:hAnsi="Times New Roman" w:cs="Times New Roman"/>
          <w:sz w:val="24"/>
          <w:szCs w:val="24"/>
        </w:rPr>
        <w:t>3</w:t>
      </w:r>
      <w:r w:rsidR="00135207" w:rsidRPr="00135207">
        <w:rPr>
          <w:rFonts w:ascii="Times New Roman" w:hAnsi="Times New Roman" w:cs="Times New Roman"/>
          <w:sz w:val="24"/>
          <w:szCs w:val="24"/>
          <w:vertAlign w:val="superscript"/>
        </w:rPr>
        <w:t>rd</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respondents</w:t>
      </w:r>
    </w:p>
    <w:p w:rsidR="00160DEE" w:rsidRPr="0056455C" w:rsidRDefault="00160DEE" w:rsidP="00135207">
      <w:pPr>
        <w:spacing w:after="0" w:line="240" w:lineRule="auto"/>
        <w:rPr>
          <w:rFonts w:ascii="Times New Roman" w:hAnsi="Times New Roman" w:cs="Times New Roman"/>
          <w:sz w:val="24"/>
          <w:szCs w:val="24"/>
        </w:rPr>
      </w:pPr>
      <w:r w:rsidRPr="0056455C">
        <w:rPr>
          <w:rFonts w:ascii="Times New Roman" w:hAnsi="Times New Roman" w:cs="Times New Roman"/>
          <w:sz w:val="24"/>
          <w:szCs w:val="24"/>
        </w:rPr>
        <w:t xml:space="preserve">No appearance for </w:t>
      </w:r>
      <w:r w:rsidR="00560AE6">
        <w:rPr>
          <w:rFonts w:ascii="Times New Roman" w:hAnsi="Times New Roman" w:cs="Times New Roman"/>
          <w:sz w:val="24"/>
          <w:szCs w:val="24"/>
        </w:rPr>
        <w:t>1</w:t>
      </w:r>
      <w:r w:rsidR="00560AE6" w:rsidRPr="00135207">
        <w:rPr>
          <w:rFonts w:ascii="Times New Roman" w:hAnsi="Times New Roman" w:cs="Times New Roman"/>
          <w:sz w:val="24"/>
          <w:szCs w:val="24"/>
          <w:vertAlign w:val="superscript"/>
        </w:rPr>
        <w:t>st</w:t>
      </w:r>
      <w:r w:rsidR="00560AE6">
        <w:rPr>
          <w:rFonts w:ascii="Times New Roman" w:hAnsi="Times New Roman" w:cs="Times New Roman"/>
          <w:sz w:val="24"/>
          <w:szCs w:val="24"/>
        </w:rPr>
        <w:t xml:space="preserve"> </w:t>
      </w:r>
      <w:r w:rsidR="00560AE6" w:rsidRPr="0056455C">
        <w:rPr>
          <w:rFonts w:ascii="Times New Roman" w:hAnsi="Times New Roman" w:cs="Times New Roman"/>
          <w:sz w:val="24"/>
          <w:szCs w:val="24"/>
        </w:rPr>
        <w:t>and</w:t>
      </w:r>
      <w:r w:rsidRPr="0056455C">
        <w:rPr>
          <w:rFonts w:ascii="Times New Roman" w:hAnsi="Times New Roman" w:cs="Times New Roman"/>
          <w:sz w:val="24"/>
          <w:szCs w:val="24"/>
        </w:rPr>
        <w:t xml:space="preserve"> </w:t>
      </w:r>
      <w:r w:rsidR="00560AE6">
        <w:rPr>
          <w:rFonts w:ascii="Times New Roman" w:hAnsi="Times New Roman" w:cs="Times New Roman"/>
          <w:sz w:val="24"/>
          <w:szCs w:val="24"/>
        </w:rPr>
        <w:t>4</w:t>
      </w:r>
      <w:r w:rsidR="00560AE6" w:rsidRPr="00135207">
        <w:rPr>
          <w:rFonts w:ascii="Times New Roman" w:hAnsi="Times New Roman" w:cs="Times New Roman"/>
          <w:sz w:val="24"/>
          <w:szCs w:val="24"/>
          <w:vertAlign w:val="superscript"/>
        </w:rPr>
        <w:t>th</w:t>
      </w:r>
      <w:r w:rsidR="00560AE6">
        <w:rPr>
          <w:rFonts w:ascii="Times New Roman" w:hAnsi="Times New Roman" w:cs="Times New Roman"/>
          <w:sz w:val="24"/>
          <w:szCs w:val="24"/>
        </w:rPr>
        <w:t xml:space="preserve"> </w:t>
      </w:r>
      <w:r w:rsidR="00560AE6" w:rsidRPr="0056455C">
        <w:rPr>
          <w:rFonts w:ascii="Times New Roman" w:hAnsi="Times New Roman" w:cs="Times New Roman"/>
          <w:sz w:val="24"/>
          <w:szCs w:val="24"/>
        </w:rPr>
        <w:t>respondents</w:t>
      </w:r>
    </w:p>
    <w:p w:rsidR="00160DEE" w:rsidRPr="0056455C" w:rsidRDefault="00160DEE" w:rsidP="0056455C">
      <w:pPr>
        <w:spacing w:line="360" w:lineRule="auto"/>
        <w:rPr>
          <w:rFonts w:ascii="Times New Roman" w:hAnsi="Times New Roman" w:cs="Times New Roman"/>
          <w:sz w:val="24"/>
          <w:szCs w:val="24"/>
        </w:rPr>
      </w:pPr>
    </w:p>
    <w:p w:rsidR="00135207" w:rsidRDefault="00160DEE" w:rsidP="00774013">
      <w:pPr>
        <w:spacing w:line="360" w:lineRule="auto"/>
        <w:ind w:firstLine="720"/>
        <w:jc w:val="both"/>
        <w:rPr>
          <w:rFonts w:ascii="Times New Roman" w:hAnsi="Times New Roman" w:cs="Times New Roman"/>
          <w:sz w:val="24"/>
          <w:szCs w:val="24"/>
        </w:rPr>
      </w:pPr>
      <w:r w:rsidRPr="00135207">
        <w:rPr>
          <w:rFonts w:ascii="Times New Roman" w:hAnsi="Times New Roman" w:cs="Times New Roman"/>
          <w:b/>
          <w:bCs/>
          <w:sz w:val="24"/>
          <w:szCs w:val="24"/>
        </w:rPr>
        <w:t>MUCHAWA J</w:t>
      </w:r>
      <w:r w:rsidRPr="0056455C">
        <w:rPr>
          <w:rFonts w:ascii="Times New Roman" w:hAnsi="Times New Roman" w:cs="Times New Roman"/>
          <w:sz w:val="24"/>
          <w:szCs w:val="24"/>
        </w:rPr>
        <w:t>:</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 xml:space="preserve">This is a court application for a </w:t>
      </w:r>
      <w:r w:rsidRPr="00C84F48">
        <w:rPr>
          <w:rFonts w:ascii="Times New Roman" w:hAnsi="Times New Roman" w:cs="Times New Roman"/>
          <w:i/>
          <w:sz w:val="24"/>
          <w:szCs w:val="24"/>
        </w:rPr>
        <w:t>declaratur</w:t>
      </w:r>
      <w:r w:rsidRPr="0056455C">
        <w:rPr>
          <w:rFonts w:ascii="Times New Roman" w:hAnsi="Times New Roman" w:cs="Times New Roman"/>
          <w:sz w:val="24"/>
          <w:szCs w:val="24"/>
        </w:rPr>
        <w:t xml:space="preserve"> in which the following order is sought;</w:t>
      </w:r>
    </w:p>
    <w:p w:rsidR="00B408A1" w:rsidRPr="00135207" w:rsidRDefault="00B408A1" w:rsidP="00774013">
      <w:pPr>
        <w:spacing w:line="360" w:lineRule="auto"/>
        <w:ind w:firstLine="720"/>
        <w:jc w:val="both"/>
        <w:rPr>
          <w:rFonts w:ascii="Times New Roman" w:hAnsi="Times New Roman" w:cs="Times New Roman"/>
          <w:sz w:val="24"/>
          <w:szCs w:val="24"/>
        </w:rPr>
      </w:pPr>
      <w:r w:rsidRPr="00135207">
        <w:rPr>
          <w:rFonts w:ascii="Times New Roman" w:hAnsi="Times New Roman" w:cs="Times New Roman"/>
        </w:rPr>
        <w:t>“IT IS ORDERED THAT:</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application for a declaratory be and is hereby granted.</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certificate of heir issued in favour of  Frank Mapuvire on the 1</w:t>
      </w:r>
      <w:r w:rsidRPr="00135207">
        <w:rPr>
          <w:rFonts w:ascii="Times New Roman" w:hAnsi="Times New Roman" w:cs="Times New Roman"/>
          <w:vertAlign w:val="superscript"/>
        </w:rPr>
        <w:t>st</w:t>
      </w:r>
      <w:r w:rsidRPr="00135207">
        <w:rPr>
          <w:rFonts w:ascii="Times New Roman" w:hAnsi="Times New Roman" w:cs="Times New Roman"/>
        </w:rPr>
        <w:t xml:space="preserve"> day of October 1990 by the Chibi Community Court be and is hereby declare null and void. (sic) </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transfer of property from the Estate of Frank Mapuvire to Florence Mapuvire be and is hereby declared null and void,</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shop commonly known as Chamahota Store, the house commonly known as stand No. 110 Chivi Township and the rural homestead situate at Chivi be declared the matrimonial property of the late Edward Gwainda Mapuvire and Nellie Mapuvire.</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applicant be declared the heir to the estate of Edward Mapuvire and Nellie Mapuvire.</w:t>
      </w:r>
    </w:p>
    <w:p w:rsidR="00B408A1" w:rsidRPr="00135207" w:rsidRDefault="00B408A1" w:rsidP="00774013">
      <w:pPr>
        <w:pStyle w:val="ListParagraph"/>
        <w:numPr>
          <w:ilvl w:val="0"/>
          <w:numId w:val="1"/>
        </w:numPr>
        <w:spacing w:line="240" w:lineRule="auto"/>
        <w:jc w:val="both"/>
        <w:rPr>
          <w:rFonts w:ascii="Times New Roman" w:hAnsi="Times New Roman" w:cs="Times New Roman"/>
        </w:rPr>
      </w:pPr>
      <w:r w:rsidRPr="00135207">
        <w:rPr>
          <w:rFonts w:ascii="Times New Roman" w:hAnsi="Times New Roman" w:cs="Times New Roman"/>
        </w:rPr>
        <w:t>The 2</w:t>
      </w:r>
      <w:r w:rsidRPr="00135207">
        <w:rPr>
          <w:rFonts w:ascii="Times New Roman" w:hAnsi="Times New Roman" w:cs="Times New Roman"/>
          <w:vertAlign w:val="superscript"/>
        </w:rPr>
        <w:t>nd</w:t>
      </w:r>
      <w:r w:rsidRPr="00135207">
        <w:rPr>
          <w:rFonts w:ascii="Times New Roman" w:hAnsi="Times New Roman" w:cs="Times New Roman"/>
        </w:rPr>
        <w:t xml:space="preserve"> and 3</w:t>
      </w:r>
      <w:r w:rsidRPr="00135207">
        <w:rPr>
          <w:rFonts w:ascii="Times New Roman" w:hAnsi="Times New Roman" w:cs="Times New Roman"/>
          <w:vertAlign w:val="superscript"/>
        </w:rPr>
        <w:t>rd</w:t>
      </w:r>
      <w:r w:rsidRPr="00135207">
        <w:rPr>
          <w:rFonts w:ascii="Times New Roman" w:hAnsi="Times New Roman" w:cs="Times New Roman"/>
        </w:rPr>
        <w:t xml:space="preserve"> respondents be and are hereby ordered to pay costs of suit.”</w:t>
      </w:r>
    </w:p>
    <w:p w:rsidR="00CB7F95" w:rsidRPr="0056455C" w:rsidRDefault="00B408A1" w:rsidP="00774013">
      <w:pPr>
        <w:spacing w:line="360" w:lineRule="auto"/>
        <w:ind w:firstLine="360"/>
        <w:jc w:val="both"/>
        <w:rPr>
          <w:rFonts w:ascii="Times New Roman" w:hAnsi="Times New Roman" w:cs="Times New Roman"/>
          <w:sz w:val="24"/>
          <w:szCs w:val="24"/>
        </w:rPr>
      </w:pPr>
      <w:r w:rsidRPr="0056455C">
        <w:rPr>
          <w:rFonts w:ascii="Times New Roman" w:hAnsi="Times New Roman" w:cs="Times New Roman"/>
          <w:sz w:val="24"/>
          <w:szCs w:val="24"/>
        </w:rPr>
        <w:t>The brief background facts of this matter are that the late Edward Gwainda Mapuvire</w:t>
      </w:r>
      <w:r w:rsidR="00576503" w:rsidRPr="0056455C">
        <w:rPr>
          <w:rFonts w:ascii="Times New Roman" w:hAnsi="Times New Roman" w:cs="Times New Roman"/>
          <w:sz w:val="24"/>
          <w:szCs w:val="24"/>
        </w:rPr>
        <w:t xml:space="preserve"> customarily married Nellie Mapuvire in 1960.</w:t>
      </w:r>
      <w:r w:rsidR="00135207">
        <w:rPr>
          <w:rFonts w:ascii="Times New Roman" w:hAnsi="Times New Roman" w:cs="Times New Roman"/>
          <w:sz w:val="24"/>
          <w:szCs w:val="24"/>
        </w:rPr>
        <w:t xml:space="preserve"> </w:t>
      </w:r>
      <w:r w:rsidR="00576503" w:rsidRPr="0056455C">
        <w:rPr>
          <w:rFonts w:ascii="Times New Roman" w:hAnsi="Times New Roman" w:cs="Times New Roman"/>
          <w:sz w:val="24"/>
          <w:szCs w:val="24"/>
        </w:rPr>
        <w:t xml:space="preserve"> On 21 December 1963, they registered their marriage under general law as per marriage certificate on p 7 of the record. </w:t>
      </w:r>
      <w:r w:rsidR="00135207">
        <w:rPr>
          <w:rFonts w:ascii="Times New Roman" w:hAnsi="Times New Roman" w:cs="Times New Roman"/>
          <w:sz w:val="24"/>
          <w:szCs w:val="24"/>
        </w:rPr>
        <w:t xml:space="preserve"> </w:t>
      </w:r>
      <w:r w:rsidR="00CB7F95" w:rsidRPr="0056455C">
        <w:rPr>
          <w:rFonts w:ascii="Times New Roman" w:hAnsi="Times New Roman" w:cs="Times New Roman"/>
          <w:sz w:val="24"/>
          <w:szCs w:val="24"/>
        </w:rPr>
        <w:t>There were three children born to this marriage, as follows;</w:t>
      </w:r>
    </w:p>
    <w:p w:rsidR="00160DEE" w:rsidRPr="0056455C" w:rsidRDefault="00CB7F95" w:rsidP="00774013">
      <w:pPr>
        <w:pStyle w:val="ListParagraph"/>
        <w:numPr>
          <w:ilvl w:val="0"/>
          <w:numId w:val="2"/>
        </w:numPr>
        <w:spacing w:line="360" w:lineRule="auto"/>
        <w:jc w:val="both"/>
        <w:rPr>
          <w:rFonts w:ascii="Times New Roman" w:hAnsi="Times New Roman" w:cs="Times New Roman"/>
          <w:sz w:val="24"/>
          <w:szCs w:val="24"/>
        </w:rPr>
      </w:pPr>
      <w:r w:rsidRPr="0056455C">
        <w:rPr>
          <w:rFonts w:ascii="Times New Roman" w:hAnsi="Times New Roman" w:cs="Times New Roman"/>
          <w:sz w:val="24"/>
          <w:szCs w:val="24"/>
        </w:rPr>
        <w:lastRenderedPageBreak/>
        <w:t>Frank Mapuvire was born on 31 December 1960 and he died on 25 March 1997;</w:t>
      </w:r>
    </w:p>
    <w:p w:rsidR="00CB7F95" w:rsidRPr="0056455C" w:rsidRDefault="00CB7F95" w:rsidP="00774013">
      <w:pPr>
        <w:pStyle w:val="ListParagraph"/>
        <w:numPr>
          <w:ilvl w:val="0"/>
          <w:numId w:val="2"/>
        </w:numPr>
        <w:spacing w:line="360" w:lineRule="auto"/>
        <w:jc w:val="both"/>
        <w:rPr>
          <w:rFonts w:ascii="Times New Roman" w:hAnsi="Times New Roman" w:cs="Times New Roman"/>
          <w:sz w:val="24"/>
          <w:szCs w:val="24"/>
        </w:rPr>
      </w:pPr>
      <w:r w:rsidRPr="0056455C">
        <w:rPr>
          <w:rFonts w:ascii="Times New Roman" w:hAnsi="Times New Roman" w:cs="Times New Roman"/>
          <w:sz w:val="24"/>
          <w:szCs w:val="24"/>
        </w:rPr>
        <w:t>Florence Mapuvire was born on 17 March 1963 and died on 11 March 1996; and</w:t>
      </w:r>
    </w:p>
    <w:p w:rsidR="00CB7F95" w:rsidRPr="0056455C" w:rsidRDefault="00CB7F95" w:rsidP="00774013">
      <w:pPr>
        <w:pStyle w:val="ListParagraph"/>
        <w:numPr>
          <w:ilvl w:val="0"/>
          <w:numId w:val="2"/>
        </w:numPr>
        <w:spacing w:line="360" w:lineRule="auto"/>
        <w:jc w:val="both"/>
        <w:rPr>
          <w:rFonts w:ascii="Times New Roman" w:hAnsi="Times New Roman" w:cs="Times New Roman"/>
          <w:sz w:val="24"/>
          <w:szCs w:val="24"/>
        </w:rPr>
      </w:pPr>
      <w:r w:rsidRPr="0056455C">
        <w:rPr>
          <w:rFonts w:ascii="Times New Roman" w:hAnsi="Times New Roman" w:cs="Times New Roman"/>
          <w:sz w:val="24"/>
          <w:szCs w:val="24"/>
        </w:rPr>
        <w:t>Edleen Matonhodze who was born on 1 July 1965 and is the only surviving child and applicant in this matter.</w:t>
      </w:r>
    </w:p>
    <w:p w:rsidR="004D1286" w:rsidRPr="0056455C" w:rsidRDefault="00CB7F95" w:rsidP="00774013">
      <w:pPr>
        <w:spacing w:after="0" w:line="360" w:lineRule="auto"/>
        <w:ind w:firstLine="420"/>
        <w:jc w:val="both"/>
        <w:rPr>
          <w:rFonts w:ascii="Times New Roman" w:hAnsi="Times New Roman" w:cs="Times New Roman"/>
          <w:sz w:val="24"/>
          <w:szCs w:val="24"/>
        </w:rPr>
      </w:pPr>
      <w:r w:rsidRPr="0056455C">
        <w:rPr>
          <w:rFonts w:ascii="Times New Roman" w:hAnsi="Times New Roman" w:cs="Times New Roman"/>
          <w:sz w:val="24"/>
          <w:szCs w:val="24"/>
        </w:rPr>
        <w:t>Edward Gwainda Mapuvire</w:t>
      </w:r>
      <w:r w:rsidR="00A11008" w:rsidRPr="0056455C">
        <w:rPr>
          <w:rFonts w:ascii="Times New Roman" w:hAnsi="Times New Roman" w:cs="Times New Roman"/>
          <w:sz w:val="24"/>
          <w:szCs w:val="24"/>
        </w:rPr>
        <w:t xml:space="preserve"> died on 28 September 1989 whilst Nellie Mapuvire died sometime in 2012. </w:t>
      </w:r>
      <w:r w:rsidR="00135207">
        <w:rPr>
          <w:rFonts w:ascii="Times New Roman" w:hAnsi="Times New Roman" w:cs="Times New Roman"/>
          <w:sz w:val="24"/>
          <w:szCs w:val="24"/>
        </w:rPr>
        <w:t xml:space="preserve"> </w:t>
      </w:r>
      <w:r w:rsidR="00A11008" w:rsidRPr="0056455C">
        <w:rPr>
          <w:rFonts w:ascii="Times New Roman" w:hAnsi="Times New Roman" w:cs="Times New Roman"/>
          <w:sz w:val="24"/>
          <w:szCs w:val="24"/>
        </w:rPr>
        <w:t>The late Frank Mapuvire was appointed heir to his father’s estate on 1 October 1990</w:t>
      </w:r>
      <w:r w:rsidR="00163655" w:rsidRPr="0056455C">
        <w:rPr>
          <w:rFonts w:ascii="Times New Roman" w:hAnsi="Times New Roman" w:cs="Times New Roman"/>
          <w:sz w:val="24"/>
          <w:szCs w:val="24"/>
        </w:rPr>
        <w:t>.</w:t>
      </w:r>
      <w:r w:rsidR="004D1286" w:rsidRPr="0056455C">
        <w:rPr>
          <w:rFonts w:ascii="Times New Roman" w:hAnsi="Times New Roman" w:cs="Times New Roman"/>
          <w:sz w:val="24"/>
          <w:szCs w:val="24"/>
        </w:rPr>
        <w:t xml:space="preserve"> </w:t>
      </w:r>
      <w:r w:rsidR="00135207">
        <w:rPr>
          <w:rFonts w:ascii="Times New Roman" w:hAnsi="Times New Roman" w:cs="Times New Roman"/>
          <w:sz w:val="24"/>
          <w:szCs w:val="24"/>
        </w:rPr>
        <w:t xml:space="preserve"> </w:t>
      </w:r>
      <w:r w:rsidR="00163655" w:rsidRPr="0056455C">
        <w:rPr>
          <w:rFonts w:ascii="Times New Roman" w:hAnsi="Times New Roman" w:cs="Times New Roman"/>
          <w:sz w:val="24"/>
          <w:szCs w:val="24"/>
        </w:rPr>
        <w:t>The late Frank Mapuvire is survived by a daughter, the third respondent</w:t>
      </w:r>
      <w:r w:rsidR="004D1286" w:rsidRPr="0056455C">
        <w:rPr>
          <w:rFonts w:ascii="Times New Roman" w:hAnsi="Times New Roman" w:cs="Times New Roman"/>
          <w:sz w:val="24"/>
          <w:szCs w:val="24"/>
        </w:rPr>
        <w:t xml:space="preserve">. </w:t>
      </w:r>
      <w:r w:rsidR="00135207">
        <w:rPr>
          <w:rFonts w:ascii="Times New Roman" w:hAnsi="Times New Roman" w:cs="Times New Roman"/>
          <w:sz w:val="24"/>
          <w:szCs w:val="24"/>
        </w:rPr>
        <w:t xml:space="preserve"> </w:t>
      </w:r>
      <w:r w:rsidR="004D1286" w:rsidRPr="0056455C">
        <w:rPr>
          <w:rFonts w:ascii="Times New Roman" w:hAnsi="Times New Roman" w:cs="Times New Roman"/>
          <w:sz w:val="24"/>
          <w:szCs w:val="24"/>
        </w:rPr>
        <w:t xml:space="preserve">She was appointed executrix dative to the estate of the late Edward Gwainda Mapuvire which was registered with the fourth respondent under DR 2667/15 after having been issued with letters of administration on 10 May 2016. </w:t>
      </w:r>
      <w:r w:rsidR="00135207">
        <w:rPr>
          <w:rFonts w:ascii="Times New Roman" w:hAnsi="Times New Roman" w:cs="Times New Roman"/>
          <w:sz w:val="24"/>
          <w:szCs w:val="24"/>
        </w:rPr>
        <w:t xml:space="preserve"> </w:t>
      </w:r>
      <w:r w:rsidR="004D1286" w:rsidRPr="0056455C">
        <w:rPr>
          <w:rFonts w:ascii="Times New Roman" w:hAnsi="Times New Roman" w:cs="Times New Roman"/>
          <w:sz w:val="24"/>
          <w:szCs w:val="24"/>
        </w:rPr>
        <w:t>Nothing further was done in the winding up of the estate until the applicant made an application for the removal of the third respondent from being executor dative and the cancellation of the letters of administration issued by the fourth respondent in favour of the third respondent and that an independent executor be appointed. This application was granted under case HC 8083/19 on 11</w:t>
      </w:r>
      <w:r w:rsidR="00135207">
        <w:rPr>
          <w:rFonts w:ascii="Times New Roman" w:hAnsi="Times New Roman" w:cs="Times New Roman"/>
          <w:sz w:val="24"/>
          <w:szCs w:val="24"/>
          <w:vertAlign w:val="superscript"/>
        </w:rPr>
        <w:t xml:space="preserve"> </w:t>
      </w:r>
      <w:r w:rsidR="004D1286" w:rsidRPr="0056455C">
        <w:rPr>
          <w:rFonts w:ascii="Times New Roman" w:hAnsi="Times New Roman" w:cs="Times New Roman"/>
          <w:sz w:val="24"/>
          <w:szCs w:val="24"/>
        </w:rPr>
        <w:t xml:space="preserve">May 2021. </w:t>
      </w:r>
      <w:r w:rsidR="00135207">
        <w:rPr>
          <w:rFonts w:ascii="Times New Roman" w:hAnsi="Times New Roman" w:cs="Times New Roman"/>
          <w:sz w:val="24"/>
          <w:szCs w:val="24"/>
        </w:rPr>
        <w:t xml:space="preserve"> </w:t>
      </w:r>
      <w:r w:rsidR="004D1286" w:rsidRPr="0056455C">
        <w:rPr>
          <w:rFonts w:ascii="Times New Roman" w:hAnsi="Times New Roman" w:cs="Times New Roman"/>
          <w:sz w:val="24"/>
          <w:szCs w:val="24"/>
        </w:rPr>
        <w:t>This matter therefore pits the applicant who is the aunt against her niece, the third respondent.</w:t>
      </w:r>
    </w:p>
    <w:p w:rsidR="000A1973" w:rsidRPr="0056455C" w:rsidRDefault="004D1286" w:rsidP="00774013">
      <w:pPr>
        <w:spacing w:after="0" w:line="360" w:lineRule="auto"/>
        <w:ind w:firstLine="420"/>
        <w:jc w:val="both"/>
        <w:rPr>
          <w:rFonts w:ascii="Times New Roman" w:hAnsi="Times New Roman" w:cs="Times New Roman"/>
          <w:sz w:val="24"/>
          <w:szCs w:val="24"/>
        </w:rPr>
      </w:pPr>
      <w:r w:rsidRPr="0056455C">
        <w:rPr>
          <w:rFonts w:ascii="Times New Roman" w:hAnsi="Times New Roman" w:cs="Times New Roman"/>
          <w:sz w:val="24"/>
          <w:szCs w:val="24"/>
        </w:rPr>
        <w:t xml:space="preserve">The second respondent is cited in her official capacity as </w:t>
      </w:r>
      <w:r w:rsidR="00F86613" w:rsidRPr="0056455C">
        <w:rPr>
          <w:rFonts w:ascii="Times New Roman" w:hAnsi="Times New Roman" w:cs="Times New Roman"/>
          <w:sz w:val="24"/>
          <w:szCs w:val="24"/>
        </w:rPr>
        <w:t xml:space="preserve">executor of the estate of the late Frank Mapuvire. Florence Mapuvire is also cited as third respondent, in her personal capacity. The fourth respondent is cited in his official capacity as the one charged with the administration of all deceased estates, including the ones </w:t>
      </w:r>
      <w:r w:rsidR="00F86613" w:rsidRPr="00C84F48">
        <w:rPr>
          <w:rFonts w:ascii="Times New Roman" w:hAnsi="Times New Roman" w:cs="Times New Roman"/>
          <w:i/>
          <w:sz w:val="24"/>
          <w:szCs w:val="24"/>
        </w:rPr>
        <w:t>in casu</w:t>
      </w:r>
      <w:r w:rsidR="00F86613" w:rsidRPr="0056455C">
        <w:rPr>
          <w:rFonts w:ascii="Times New Roman" w:hAnsi="Times New Roman" w:cs="Times New Roman"/>
          <w:sz w:val="24"/>
          <w:szCs w:val="24"/>
        </w:rPr>
        <w:t xml:space="preserve">. </w:t>
      </w:r>
      <w:r w:rsidR="00135207">
        <w:rPr>
          <w:rFonts w:ascii="Times New Roman" w:hAnsi="Times New Roman" w:cs="Times New Roman"/>
          <w:sz w:val="24"/>
          <w:szCs w:val="24"/>
        </w:rPr>
        <w:t xml:space="preserve"> </w:t>
      </w:r>
      <w:r w:rsidR="00F86613" w:rsidRPr="0056455C">
        <w:rPr>
          <w:rFonts w:ascii="Times New Roman" w:hAnsi="Times New Roman" w:cs="Times New Roman"/>
          <w:sz w:val="24"/>
          <w:szCs w:val="24"/>
        </w:rPr>
        <w:t>The first respondent is also cited in his official capacity.</w:t>
      </w:r>
    </w:p>
    <w:p w:rsidR="000A1973" w:rsidRPr="0056455C" w:rsidRDefault="000A1973" w:rsidP="00774013">
      <w:pPr>
        <w:spacing w:after="0" w:line="360" w:lineRule="auto"/>
        <w:ind w:firstLine="420"/>
        <w:jc w:val="both"/>
        <w:rPr>
          <w:rFonts w:ascii="Times New Roman" w:hAnsi="Times New Roman" w:cs="Times New Roman"/>
          <w:sz w:val="24"/>
          <w:szCs w:val="24"/>
        </w:rPr>
      </w:pPr>
      <w:r w:rsidRPr="0056455C">
        <w:rPr>
          <w:rFonts w:ascii="Times New Roman" w:hAnsi="Times New Roman" w:cs="Times New Roman"/>
          <w:sz w:val="24"/>
          <w:szCs w:val="24"/>
        </w:rPr>
        <w:t xml:space="preserve">The application is opposed and the second and third respondents raised points </w:t>
      </w:r>
      <w:r w:rsidRPr="00C84F48">
        <w:rPr>
          <w:rFonts w:ascii="Times New Roman" w:hAnsi="Times New Roman" w:cs="Times New Roman"/>
          <w:i/>
          <w:sz w:val="24"/>
          <w:szCs w:val="24"/>
        </w:rPr>
        <w:t>in limine</w:t>
      </w:r>
      <w:r w:rsidRPr="0056455C">
        <w:rPr>
          <w:rFonts w:ascii="Times New Roman" w:hAnsi="Times New Roman" w:cs="Times New Roman"/>
          <w:sz w:val="24"/>
          <w:szCs w:val="24"/>
        </w:rPr>
        <w:t xml:space="preserve"> which I heard the parties on and reserved my ruling. This is it.</w:t>
      </w:r>
    </w:p>
    <w:p w:rsidR="000A1973" w:rsidRPr="0056455C" w:rsidRDefault="000A1973" w:rsidP="00774013">
      <w:pPr>
        <w:spacing w:after="0" w:line="360" w:lineRule="auto"/>
        <w:jc w:val="both"/>
        <w:rPr>
          <w:rFonts w:ascii="Times New Roman" w:hAnsi="Times New Roman" w:cs="Times New Roman"/>
          <w:b/>
          <w:sz w:val="24"/>
          <w:szCs w:val="24"/>
        </w:rPr>
      </w:pPr>
      <w:r w:rsidRPr="0056455C">
        <w:rPr>
          <w:rFonts w:ascii="Times New Roman" w:hAnsi="Times New Roman" w:cs="Times New Roman"/>
          <w:b/>
          <w:sz w:val="24"/>
          <w:szCs w:val="24"/>
        </w:rPr>
        <w:t>Whether the annexures attached to the applicant’s answering affidavit should be expunged from the record.</w:t>
      </w:r>
    </w:p>
    <w:p w:rsidR="004D1286" w:rsidRPr="0056455C" w:rsidRDefault="000A1973"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The respondents objected to the applicant having annexed certain documents to her answering affidavit and argued that this was contrary to the rules, particularly r 227 of the High Court Rules, 1971, as new facts cannot be introduced by way of the answering affidavit</w:t>
      </w:r>
      <w:r w:rsidRPr="0056455C">
        <w:rPr>
          <w:rFonts w:ascii="Times New Roman" w:hAnsi="Times New Roman" w:cs="Times New Roman"/>
          <w:b/>
          <w:sz w:val="24"/>
          <w:szCs w:val="24"/>
        </w:rPr>
        <w:t xml:space="preserve">. </w:t>
      </w:r>
      <w:r w:rsidRPr="0056455C">
        <w:rPr>
          <w:rFonts w:ascii="Times New Roman" w:hAnsi="Times New Roman" w:cs="Times New Roman"/>
          <w:sz w:val="24"/>
          <w:szCs w:val="24"/>
        </w:rPr>
        <w:t xml:space="preserve">Mr </w:t>
      </w:r>
      <w:r w:rsidRPr="00C84F48">
        <w:rPr>
          <w:rFonts w:ascii="Times New Roman" w:hAnsi="Times New Roman" w:cs="Times New Roman"/>
          <w:i/>
          <w:sz w:val="24"/>
          <w:szCs w:val="24"/>
        </w:rPr>
        <w:t>Chipetiwa</w:t>
      </w:r>
      <w:r w:rsidRPr="0056455C">
        <w:rPr>
          <w:rFonts w:ascii="Times New Roman" w:hAnsi="Times New Roman" w:cs="Times New Roman"/>
          <w:sz w:val="24"/>
          <w:szCs w:val="24"/>
        </w:rPr>
        <w:t xml:space="preserve"> correctly conceded</w:t>
      </w:r>
      <w:r w:rsidRPr="0056455C">
        <w:rPr>
          <w:rFonts w:ascii="Times New Roman" w:hAnsi="Times New Roman" w:cs="Times New Roman"/>
          <w:b/>
          <w:sz w:val="24"/>
          <w:szCs w:val="24"/>
        </w:rPr>
        <w:t xml:space="preserve"> </w:t>
      </w:r>
      <w:r w:rsidRPr="0056455C">
        <w:rPr>
          <w:rFonts w:ascii="Times New Roman" w:hAnsi="Times New Roman" w:cs="Times New Roman"/>
          <w:sz w:val="24"/>
          <w:szCs w:val="24"/>
        </w:rPr>
        <w:t>to this</w:t>
      </w:r>
      <w:r w:rsidR="00C84F48">
        <w:rPr>
          <w:rFonts w:ascii="Times New Roman" w:hAnsi="Times New Roman" w:cs="Times New Roman"/>
          <w:sz w:val="24"/>
          <w:szCs w:val="24"/>
        </w:rPr>
        <w:t xml:space="preserve">. </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I proceeded to expunge the annexures on p</w:t>
      </w:r>
      <w:r w:rsidR="00135207">
        <w:rPr>
          <w:rFonts w:ascii="Times New Roman" w:hAnsi="Times New Roman" w:cs="Times New Roman"/>
          <w:sz w:val="24"/>
          <w:szCs w:val="24"/>
        </w:rPr>
        <w:t>p</w:t>
      </w:r>
      <w:r w:rsidRPr="0056455C">
        <w:rPr>
          <w:rFonts w:ascii="Times New Roman" w:hAnsi="Times New Roman" w:cs="Times New Roman"/>
          <w:sz w:val="24"/>
          <w:szCs w:val="24"/>
        </w:rPr>
        <w:t xml:space="preserve"> 33, 34 and 35 of record.</w:t>
      </w:r>
    </w:p>
    <w:p w:rsidR="003821D8" w:rsidRPr="0056455C" w:rsidRDefault="003821D8" w:rsidP="00774013">
      <w:pPr>
        <w:spacing w:after="0" w:line="360" w:lineRule="auto"/>
        <w:jc w:val="both"/>
        <w:rPr>
          <w:rFonts w:ascii="Times New Roman" w:hAnsi="Times New Roman" w:cs="Times New Roman"/>
          <w:b/>
          <w:sz w:val="24"/>
          <w:szCs w:val="24"/>
        </w:rPr>
      </w:pPr>
      <w:r w:rsidRPr="0056455C">
        <w:rPr>
          <w:rFonts w:ascii="Times New Roman" w:hAnsi="Times New Roman" w:cs="Times New Roman"/>
          <w:b/>
          <w:sz w:val="24"/>
          <w:szCs w:val="24"/>
        </w:rPr>
        <w:t>Whether the matter has prescribed</w:t>
      </w:r>
    </w:p>
    <w:p w:rsidR="008007D9" w:rsidRPr="0056455C" w:rsidRDefault="008007D9"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lastRenderedPageBreak/>
        <w:t xml:space="preserve">Mr </w:t>
      </w:r>
      <w:r w:rsidRPr="00C84F48">
        <w:rPr>
          <w:rFonts w:ascii="Times New Roman" w:hAnsi="Times New Roman" w:cs="Times New Roman"/>
          <w:i/>
          <w:sz w:val="24"/>
          <w:szCs w:val="24"/>
        </w:rPr>
        <w:t>Mavhiringidze</w:t>
      </w:r>
      <w:r w:rsidRPr="0056455C">
        <w:rPr>
          <w:rFonts w:ascii="Times New Roman" w:hAnsi="Times New Roman" w:cs="Times New Roman"/>
          <w:sz w:val="24"/>
          <w:szCs w:val="24"/>
        </w:rPr>
        <w:t xml:space="preserve"> submitted that the claim before me has prescribed in terms of s 15 (d) of the Prescription Act as read with s (2) thereof which defines what a debt is. </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 xml:space="preserve">It was contended that a claim is covered as anything that can be sued for. </w:t>
      </w:r>
      <w:r w:rsidR="00135207">
        <w:rPr>
          <w:rFonts w:ascii="Times New Roman" w:hAnsi="Times New Roman" w:cs="Times New Roman"/>
          <w:sz w:val="24"/>
          <w:szCs w:val="24"/>
        </w:rPr>
        <w:t xml:space="preserve"> </w:t>
      </w:r>
      <w:r w:rsidRPr="0056455C">
        <w:rPr>
          <w:rFonts w:ascii="Times New Roman" w:hAnsi="Times New Roman" w:cs="Times New Roman"/>
          <w:sz w:val="24"/>
          <w:szCs w:val="24"/>
        </w:rPr>
        <w:t xml:space="preserve">This application in which the applicant seeks a </w:t>
      </w:r>
      <w:r w:rsidRPr="00C84F48">
        <w:rPr>
          <w:rFonts w:ascii="Times New Roman" w:hAnsi="Times New Roman" w:cs="Times New Roman"/>
          <w:i/>
          <w:sz w:val="24"/>
          <w:szCs w:val="24"/>
        </w:rPr>
        <w:t>declaretur</w:t>
      </w:r>
      <w:r w:rsidRPr="0056455C">
        <w:rPr>
          <w:rFonts w:ascii="Times New Roman" w:hAnsi="Times New Roman" w:cs="Times New Roman"/>
          <w:sz w:val="24"/>
          <w:szCs w:val="24"/>
        </w:rPr>
        <w:t xml:space="preserve"> was said to be prescribed as the certificate of heir sought to be impugned was issued some thirty years ago</w:t>
      </w:r>
      <w:r w:rsidR="00F622F9" w:rsidRPr="0056455C">
        <w:rPr>
          <w:rFonts w:ascii="Times New Roman" w:hAnsi="Times New Roman" w:cs="Times New Roman"/>
          <w:sz w:val="24"/>
          <w:szCs w:val="24"/>
        </w:rPr>
        <w:t xml:space="preserve">. </w:t>
      </w:r>
      <w:r w:rsidR="00135207">
        <w:rPr>
          <w:rFonts w:ascii="Times New Roman" w:hAnsi="Times New Roman" w:cs="Times New Roman"/>
          <w:sz w:val="24"/>
          <w:szCs w:val="24"/>
        </w:rPr>
        <w:t xml:space="preserve"> </w:t>
      </w:r>
      <w:r w:rsidR="00F622F9" w:rsidRPr="0056455C">
        <w:rPr>
          <w:rFonts w:ascii="Times New Roman" w:hAnsi="Times New Roman" w:cs="Times New Roman"/>
          <w:sz w:val="24"/>
          <w:szCs w:val="24"/>
        </w:rPr>
        <w:t xml:space="preserve">It was argued on the strength of the cases of </w:t>
      </w:r>
      <w:r w:rsidR="00F622F9" w:rsidRPr="00C84F48">
        <w:rPr>
          <w:rFonts w:ascii="Times New Roman" w:hAnsi="Times New Roman" w:cs="Times New Roman"/>
          <w:i/>
          <w:sz w:val="24"/>
          <w:szCs w:val="24"/>
        </w:rPr>
        <w:t xml:space="preserve">John Conradie Trust </w:t>
      </w:r>
      <w:r w:rsidR="00F622F9" w:rsidRPr="00135207">
        <w:rPr>
          <w:rFonts w:ascii="Times New Roman" w:hAnsi="Times New Roman" w:cs="Times New Roman"/>
          <w:iCs/>
          <w:sz w:val="24"/>
          <w:szCs w:val="24"/>
        </w:rPr>
        <w:t>v</w:t>
      </w:r>
      <w:r w:rsidR="00F622F9" w:rsidRPr="00C84F48">
        <w:rPr>
          <w:rFonts w:ascii="Times New Roman" w:hAnsi="Times New Roman" w:cs="Times New Roman"/>
          <w:i/>
          <w:sz w:val="24"/>
          <w:szCs w:val="24"/>
        </w:rPr>
        <w:t xml:space="preserve"> The Federation of Kushanda Pre-Schools Trust &amp; 3 ORS</w:t>
      </w:r>
      <w:r w:rsidR="00F622F9" w:rsidRPr="0056455C">
        <w:rPr>
          <w:rFonts w:ascii="Times New Roman" w:hAnsi="Times New Roman" w:cs="Times New Roman"/>
          <w:sz w:val="24"/>
          <w:szCs w:val="24"/>
        </w:rPr>
        <w:t xml:space="preserve"> SC 12/17 that once prescription has run its course, the owner forfeits rights to his claim and the merits of the case do not arise and are irrelevant. </w:t>
      </w:r>
      <w:r w:rsidR="00135207">
        <w:rPr>
          <w:rFonts w:ascii="Times New Roman" w:hAnsi="Times New Roman" w:cs="Times New Roman"/>
          <w:sz w:val="24"/>
          <w:szCs w:val="24"/>
        </w:rPr>
        <w:t xml:space="preserve"> </w:t>
      </w:r>
      <w:r w:rsidR="00F622F9" w:rsidRPr="0056455C">
        <w:rPr>
          <w:rFonts w:ascii="Times New Roman" w:hAnsi="Times New Roman" w:cs="Times New Roman"/>
          <w:sz w:val="24"/>
          <w:szCs w:val="24"/>
        </w:rPr>
        <w:t xml:space="preserve">Reference was also made to the case of </w:t>
      </w:r>
      <w:r w:rsidR="00F622F9" w:rsidRPr="00C84F48">
        <w:rPr>
          <w:rFonts w:ascii="Times New Roman" w:hAnsi="Times New Roman" w:cs="Times New Roman"/>
          <w:i/>
          <w:sz w:val="24"/>
          <w:szCs w:val="24"/>
        </w:rPr>
        <w:t>James</w:t>
      </w:r>
      <w:r w:rsidR="00F622F9" w:rsidRPr="00135207">
        <w:rPr>
          <w:rFonts w:ascii="Times New Roman" w:hAnsi="Times New Roman" w:cs="Times New Roman"/>
          <w:iCs/>
          <w:sz w:val="24"/>
          <w:szCs w:val="24"/>
        </w:rPr>
        <w:t xml:space="preserve"> v</w:t>
      </w:r>
      <w:r w:rsidR="00F622F9" w:rsidRPr="00C84F48">
        <w:rPr>
          <w:rFonts w:ascii="Times New Roman" w:hAnsi="Times New Roman" w:cs="Times New Roman"/>
          <w:i/>
          <w:sz w:val="24"/>
          <w:szCs w:val="24"/>
        </w:rPr>
        <w:t xml:space="preserve"> Katsiga &amp; 3 ORS</w:t>
      </w:r>
      <w:r w:rsidR="00F622F9" w:rsidRPr="0056455C">
        <w:rPr>
          <w:rFonts w:ascii="Times New Roman" w:hAnsi="Times New Roman" w:cs="Times New Roman"/>
          <w:sz w:val="24"/>
          <w:szCs w:val="24"/>
        </w:rPr>
        <w:t xml:space="preserve"> SC 36/07</w:t>
      </w:r>
      <w:r w:rsidR="00DE10CE" w:rsidRPr="0056455C">
        <w:rPr>
          <w:rFonts w:ascii="Times New Roman" w:hAnsi="Times New Roman" w:cs="Times New Roman"/>
          <w:sz w:val="24"/>
          <w:szCs w:val="24"/>
        </w:rPr>
        <w:t xml:space="preserve"> to demonstrate that a person who had sat on his rights for 16 years without asserting them could not try to set aside the certificate of </w:t>
      </w:r>
      <w:r w:rsidR="00DE10CE" w:rsidRPr="00C84F48">
        <w:rPr>
          <w:rFonts w:ascii="Times New Roman" w:hAnsi="Times New Roman" w:cs="Times New Roman"/>
          <w:i/>
          <w:sz w:val="24"/>
          <w:szCs w:val="24"/>
        </w:rPr>
        <w:t>heirship</w:t>
      </w:r>
      <w:r w:rsidR="00DE10CE" w:rsidRPr="0056455C">
        <w:rPr>
          <w:rFonts w:ascii="Times New Roman" w:hAnsi="Times New Roman" w:cs="Times New Roman"/>
          <w:sz w:val="24"/>
          <w:szCs w:val="24"/>
        </w:rPr>
        <w:t xml:space="preserve"> as his claim had already been thrown out by the courts.</w:t>
      </w:r>
    </w:p>
    <w:p w:rsidR="00062F9F" w:rsidRPr="0056455C" w:rsidRDefault="00DE10CE"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Furthermore, Mr </w:t>
      </w:r>
      <w:r w:rsidRPr="00C84F48">
        <w:rPr>
          <w:rFonts w:ascii="Times New Roman" w:hAnsi="Times New Roman" w:cs="Times New Roman"/>
          <w:i/>
          <w:sz w:val="24"/>
          <w:szCs w:val="24"/>
        </w:rPr>
        <w:t xml:space="preserve">Mavhiringidze </w:t>
      </w:r>
      <w:r w:rsidRPr="0056455C">
        <w:rPr>
          <w:rFonts w:ascii="Times New Roman" w:hAnsi="Times New Roman" w:cs="Times New Roman"/>
          <w:sz w:val="24"/>
          <w:szCs w:val="24"/>
        </w:rPr>
        <w:t xml:space="preserve">sought to rely on s 4 of the Prescription Act, in arguing that acquisitive prescription was applicable as 30 years had run from 1990 to 2021 and the applicant had no legal basis to seek a </w:t>
      </w:r>
      <w:r w:rsidRPr="00C84F48">
        <w:rPr>
          <w:rFonts w:ascii="Times New Roman" w:hAnsi="Times New Roman" w:cs="Times New Roman"/>
          <w:i/>
          <w:sz w:val="24"/>
          <w:szCs w:val="24"/>
        </w:rPr>
        <w:t>declaratur</w:t>
      </w:r>
      <w:r w:rsidRPr="0056455C">
        <w:rPr>
          <w:rFonts w:ascii="Times New Roman" w:hAnsi="Times New Roman" w:cs="Times New Roman"/>
          <w:sz w:val="24"/>
          <w:szCs w:val="24"/>
        </w:rPr>
        <w:t xml:space="preserve">. </w:t>
      </w:r>
      <w:r w:rsidR="006F467A">
        <w:rPr>
          <w:rFonts w:ascii="Times New Roman" w:hAnsi="Times New Roman" w:cs="Times New Roman"/>
          <w:sz w:val="24"/>
          <w:szCs w:val="24"/>
        </w:rPr>
        <w:t xml:space="preserve"> </w:t>
      </w:r>
      <w:r w:rsidRPr="0056455C">
        <w:rPr>
          <w:rFonts w:ascii="Times New Roman" w:hAnsi="Times New Roman" w:cs="Times New Roman"/>
          <w:sz w:val="24"/>
          <w:szCs w:val="24"/>
        </w:rPr>
        <w:t>It was stated that the late Frank Mapuvire and his successors in title had openly possessed the Chamahota store for an uninterrupted period of thirty years. The court was urged to uphold the principle of finality to litigation and avoid the clogging of the court with stale matters.</w:t>
      </w:r>
    </w:p>
    <w:p w:rsidR="00EF59BB" w:rsidRPr="0056455C" w:rsidRDefault="00062F9F"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w:t>
      </w:r>
      <w:r w:rsidRPr="00C84F48">
        <w:rPr>
          <w:rFonts w:ascii="Times New Roman" w:hAnsi="Times New Roman" w:cs="Times New Roman"/>
          <w:i/>
          <w:sz w:val="24"/>
          <w:szCs w:val="24"/>
        </w:rPr>
        <w:t>Chipetiwa</w:t>
      </w:r>
      <w:r w:rsidRPr="0056455C">
        <w:rPr>
          <w:rFonts w:ascii="Times New Roman" w:hAnsi="Times New Roman" w:cs="Times New Roman"/>
          <w:sz w:val="24"/>
          <w:szCs w:val="24"/>
        </w:rPr>
        <w:t xml:space="preserve"> submitted </w:t>
      </w:r>
      <w:r w:rsidR="00EF59BB" w:rsidRPr="0056455C">
        <w:rPr>
          <w:rFonts w:ascii="Times New Roman" w:hAnsi="Times New Roman" w:cs="Times New Roman"/>
          <w:sz w:val="24"/>
          <w:szCs w:val="24"/>
        </w:rPr>
        <w:t>that the law does not say that a nullity can prescribe because a nullity is a nullity and cannot be sanitized. It was averred that Frank Mapuvire was never in possession for thirty years and reliance was placed on s 6(1) (c) of the Prescription Act which provides for when prescription is delayed.</w:t>
      </w:r>
      <w:r w:rsidR="006F467A">
        <w:rPr>
          <w:rFonts w:ascii="Times New Roman" w:hAnsi="Times New Roman" w:cs="Times New Roman"/>
          <w:sz w:val="24"/>
          <w:szCs w:val="24"/>
        </w:rPr>
        <w:t xml:space="preserve"> </w:t>
      </w:r>
      <w:r w:rsidR="00EF59BB" w:rsidRPr="0056455C">
        <w:rPr>
          <w:rFonts w:ascii="Times New Roman" w:hAnsi="Times New Roman" w:cs="Times New Roman"/>
          <w:sz w:val="24"/>
          <w:szCs w:val="24"/>
        </w:rPr>
        <w:t xml:space="preserve"> This was said to include when a person dies and there is no executor. In</w:t>
      </w:r>
      <w:r w:rsidR="00C84F48">
        <w:rPr>
          <w:rFonts w:ascii="Times New Roman" w:hAnsi="Times New Roman" w:cs="Times New Roman"/>
          <w:sz w:val="24"/>
          <w:szCs w:val="24"/>
        </w:rPr>
        <w:t xml:space="preserve"> </w:t>
      </w:r>
      <w:r w:rsidR="00EF59BB" w:rsidRPr="0056455C">
        <w:rPr>
          <w:rFonts w:ascii="Times New Roman" w:hAnsi="Times New Roman" w:cs="Times New Roman"/>
          <w:sz w:val="24"/>
          <w:szCs w:val="24"/>
        </w:rPr>
        <w:t xml:space="preserve">this case Frank Mapuvire died on 25 March 1997 and his estate was only registered in 2018. </w:t>
      </w:r>
      <w:r w:rsidR="006F467A">
        <w:rPr>
          <w:rFonts w:ascii="Times New Roman" w:hAnsi="Times New Roman" w:cs="Times New Roman"/>
          <w:sz w:val="24"/>
          <w:szCs w:val="24"/>
        </w:rPr>
        <w:t xml:space="preserve"> </w:t>
      </w:r>
      <w:r w:rsidR="00EF59BB" w:rsidRPr="0056455C">
        <w:rPr>
          <w:rFonts w:ascii="Times New Roman" w:hAnsi="Times New Roman" w:cs="Times New Roman"/>
          <w:sz w:val="24"/>
          <w:szCs w:val="24"/>
        </w:rPr>
        <w:t>The period from 2018 to 2021 was said to fall far too short of the thirty years required in order to found acquisitive prescription.</w:t>
      </w:r>
    </w:p>
    <w:p w:rsidR="00D15E74" w:rsidRPr="0056455C" w:rsidRDefault="007E720B"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w:t>
      </w:r>
      <w:r w:rsidRPr="00C84F48">
        <w:rPr>
          <w:rFonts w:ascii="Times New Roman" w:hAnsi="Times New Roman" w:cs="Times New Roman"/>
          <w:i/>
          <w:sz w:val="24"/>
          <w:szCs w:val="24"/>
        </w:rPr>
        <w:t>Chipetiwa</w:t>
      </w:r>
      <w:r w:rsidRPr="0056455C">
        <w:rPr>
          <w:rFonts w:ascii="Times New Roman" w:hAnsi="Times New Roman" w:cs="Times New Roman"/>
          <w:sz w:val="24"/>
          <w:szCs w:val="24"/>
        </w:rPr>
        <w:t xml:space="preserve"> objected to Mr </w:t>
      </w:r>
      <w:r w:rsidRPr="00C84F48">
        <w:rPr>
          <w:rFonts w:ascii="Times New Roman" w:hAnsi="Times New Roman" w:cs="Times New Roman"/>
          <w:i/>
          <w:sz w:val="24"/>
          <w:szCs w:val="24"/>
        </w:rPr>
        <w:t xml:space="preserve">Mavhiringidze </w:t>
      </w:r>
      <w:r w:rsidRPr="0056455C">
        <w:rPr>
          <w:rFonts w:ascii="Times New Roman" w:hAnsi="Times New Roman" w:cs="Times New Roman"/>
          <w:sz w:val="24"/>
          <w:szCs w:val="24"/>
        </w:rPr>
        <w:t xml:space="preserve">bringing the question of prescription in terms of s 15 (d) on prescription of debts for the first time in oral submissions. </w:t>
      </w:r>
      <w:r w:rsidR="006F467A">
        <w:rPr>
          <w:rFonts w:ascii="Times New Roman" w:hAnsi="Times New Roman" w:cs="Times New Roman"/>
          <w:sz w:val="24"/>
          <w:szCs w:val="24"/>
        </w:rPr>
        <w:t xml:space="preserve"> </w:t>
      </w:r>
      <w:r w:rsidR="00D15E74">
        <w:rPr>
          <w:rFonts w:ascii="Times New Roman" w:hAnsi="Times New Roman" w:cs="Times New Roman"/>
          <w:sz w:val="24"/>
          <w:szCs w:val="24"/>
        </w:rPr>
        <w:t>I</w:t>
      </w:r>
      <w:r w:rsidR="00D15E74" w:rsidRPr="0056455C">
        <w:rPr>
          <w:rFonts w:ascii="Times New Roman" w:hAnsi="Times New Roman" w:cs="Times New Roman"/>
          <w:sz w:val="24"/>
          <w:szCs w:val="24"/>
        </w:rPr>
        <w:t xml:space="preserve">t was submitted that it is unfair to only raise this for the first time in oral submissions as the point is not backed by the affidavit on record. </w:t>
      </w:r>
      <w:r w:rsidR="006F467A">
        <w:rPr>
          <w:rFonts w:ascii="Times New Roman" w:hAnsi="Times New Roman" w:cs="Times New Roman"/>
          <w:sz w:val="24"/>
          <w:szCs w:val="24"/>
        </w:rPr>
        <w:t xml:space="preserve"> </w:t>
      </w:r>
      <w:r w:rsidR="00D15E74" w:rsidRPr="0056455C">
        <w:rPr>
          <w:rFonts w:ascii="Times New Roman" w:hAnsi="Times New Roman" w:cs="Times New Roman"/>
          <w:sz w:val="24"/>
          <w:szCs w:val="24"/>
        </w:rPr>
        <w:t xml:space="preserve">It was further submitted that as the certificate of heir is a nullity, the court cannot condone what was done and uphold prescription in respect of a nullity.  </w:t>
      </w:r>
    </w:p>
    <w:p w:rsidR="00190222" w:rsidRPr="0056455C" w:rsidRDefault="007E720B"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lastRenderedPageBreak/>
        <w:t xml:space="preserve">Mr </w:t>
      </w:r>
      <w:r w:rsidRPr="00D15E74">
        <w:rPr>
          <w:rFonts w:ascii="Times New Roman" w:hAnsi="Times New Roman" w:cs="Times New Roman"/>
          <w:i/>
          <w:sz w:val="24"/>
          <w:szCs w:val="24"/>
        </w:rPr>
        <w:t>Mavhiringidze</w:t>
      </w:r>
      <w:r w:rsidRPr="0056455C">
        <w:rPr>
          <w:rFonts w:ascii="Times New Roman" w:hAnsi="Times New Roman" w:cs="Times New Roman"/>
          <w:sz w:val="24"/>
          <w:szCs w:val="24"/>
        </w:rPr>
        <w:t xml:space="preserve"> submitted that a point of law can be raised at any time and backed this up with the authority from </w:t>
      </w:r>
      <w:r w:rsidRPr="00D15E74">
        <w:rPr>
          <w:rFonts w:ascii="Times New Roman" w:hAnsi="Times New Roman" w:cs="Times New Roman"/>
          <w:i/>
          <w:sz w:val="24"/>
          <w:szCs w:val="24"/>
        </w:rPr>
        <w:t>Allied Bank Limited</w:t>
      </w:r>
      <w:r w:rsidRPr="006F467A">
        <w:rPr>
          <w:rFonts w:ascii="Times New Roman" w:hAnsi="Times New Roman" w:cs="Times New Roman"/>
          <w:iCs/>
          <w:sz w:val="24"/>
          <w:szCs w:val="24"/>
        </w:rPr>
        <w:t xml:space="preserve"> v</w:t>
      </w:r>
      <w:r w:rsidRPr="00D15E74">
        <w:rPr>
          <w:rFonts w:ascii="Times New Roman" w:hAnsi="Times New Roman" w:cs="Times New Roman"/>
          <w:i/>
          <w:sz w:val="24"/>
          <w:szCs w:val="24"/>
        </w:rPr>
        <w:t xml:space="preserve"> Caleb Dengu &amp; Anor</w:t>
      </w:r>
      <w:r w:rsidRPr="0056455C">
        <w:rPr>
          <w:rFonts w:ascii="Times New Roman" w:hAnsi="Times New Roman" w:cs="Times New Roman"/>
          <w:sz w:val="24"/>
          <w:szCs w:val="24"/>
        </w:rPr>
        <w:t xml:space="preserve"> SC 52/16.</w:t>
      </w:r>
      <w:r w:rsidR="00190222" w:rsidRPr="0056455C">
        <w:rPr>
          <w:rFonts w:ascii="Times New Roman" w:hAnsi="Times New Roman" w:cs="Times New Roman"/>
          <w:sz w:val="24"/>
          <w:szCs w:val="24"/>
        </w:rPr>
        <w:t xml:space="preserve"> </w:t>
      </w:r>
      <w:r w:rsidR="006F467A">
        <w:rPr>
          <w:rFonts w:ascii="Times New Roman" w:hAnsi="Times New Roman" w:cs="Times New Roman"/>
          <w:sz w:val="24"/>
          <w:szCs w:val="24"/>
        </w:rPr>
        <w:t xml:space="preserve"> </w:t>
      </w:r>
      <w:r w:rsidR="00190222" w:rsidRPr="0056455C">
        <w:rPr>
          <w:rFonts w:ascii="Times New Roman" w:hAnsi="Times New Roman" w:cs="Times New Roman"/>
          <w:sz w:val="24"/>
          <w:szCs w:val="24"/>
        </w:rPr>
        <w:t>I am not sure why he pointed the court to this authority as it does not assist his case. See the below quotation;</w:t>
      </w:r>
    </w:p>
    <w:p w:rsidR="00190222" w:rsidRDefault="00190222" w:rsidP="00774013">
      <w:pPr>
        <w:spacing w:after="0" w:line="240" w:lineRule="auto"/>
        <w:ind w:left="720"/>
        <w:jc w:val="both"/>
        <w:rPr>
          <w:rFonts w:ascii="Times New Roman" w:hAnsi="Times New Roman" w:cs="Times New Roman"/>
        </w:rPr>
      </w:pPr>
      <w:r w:rsidRPr="006F467A">
        <w:rPr>
          <w:rFonts w:ascii="Times New Roman" w:hAnsi="Times New Roman" w:cs="Times New Roman"/>
        </w:rPr>
        <w:t>“Although it is trite that a point of law can be raised at any stage during proceedings that does not mean that the point of law can be raised anyhow. In order for one to raise a point of law validly at any stage, notice must be given to the other party of the intention to raise the point. There must be a formal way of raising the point.”</w:t>
      </w:r>
    </w:p>
    <w:p w:rsidR="006F467A" w:rsidRPr="006F467A" w:rsidRDefault="006F467A" w:rsidP="00774013">
      <w:pPr>
        <w:spacing w:after="0" w:line="240" w:lineRule="auto"/>
        <w:ind w:left="720"/>
        <w:jc w:val="both"/>
        <w:rPr>
          <w:rFonts w:ascii="Times New Roman" w:hAnsi="Times New Roman" w:cs="Times New Roman"/>
        </w:rPr>
      </w:pPr>
    </w:p>
    <w:p w:rsidR="0015369F" w:rsidRPr="0056455C" w:rsidRDefault="0015369F" w:rsidP="00774013">
      <w:pPr>
        <w:spacing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In the case of </w:t>
      </w:r>
      <w:r w:rsidRPr="00D15E74">
        <w:rPr>
          <w:rFonts w:ascii="Times New Roman" w:hAnsi="Times New Roman" w:cs="Times New Roman"/>
          <w:i/>
          <w:sz w:val="24"/>
          <w:szCs w:val="24"/>
        </w:rPr>
        <w:t xml:space="preserve">Austerlands (Pvt) Ltd </w:t>
      </w:r>
      <w:r w:rsidRPr="006F467A">
        <w:rPr>
          <w:rFonts w:ascii="Times New Roman" w:hAnsi="Times New Roman" w:cs="Times New Roman"/>
          <w:iCs/>
          <w:sz w:val="24"/>
          <w:szCs w:val="24"/>
        </w:rPr>
        <w:t>v</w:t>
      </w:r>
      <w:r w:rsidRPr="00D15E74">
        <w:rPr>
          <w:rFonts w:ascii="Times New Roman" w:hAnsi="Times New Roman" w:cs="Times New Roman"/>
          <w:i/>
          <w:sz w:val="24"/>
          <w:szCs w:val="24"/>
        </w:rPr>
        <w:t xml:space="preserve"> Trade and Investments Bank &amp; ORS</w:t>
      </w:r>
      <w:r w:rsidRPr="0056455C">
        <w:rPr>
          <w:rFonts w:ascii="Times New Roman" w:hAnsi="Times New Roman" w:cs="Times New Roman"/>
          <w:sz w:val="24"/>
          <w:szCs w:val="24"/>
        </w:rPr>
        <w:t xml:space="preserve"> SC 92/ 05. </w:t>
      </w:r>
      <w:r w:rsidR="006F467A">
        <w:rPr>
          <w:rFonts w:ascii="Times New Roman" w:hAnsi="Times New Roman" w:cs="Times New Roman"/>
          <w:sz w:val="24"/>
          <w:szCs w:val="24"/>
        </w:rPr>
        <w:t xml:space="preserve"> </w:t>
      </w:r>
      <w:r w:rsidRPr="0056455C">
        <w:rPr>
          <w:rFonts w:ascii="Times New Roman" w:hAnsi="Times New Roman" w:cs="Times New Roman"/>
          <w:sz w:val="24"/>
          <w:szCs w:val="24"/>
        </w:rPr>
        <w:t xml:space="preserve">The Honourable </w:t>
      </w:r>
      <w:r w:rsidR="006F467A" w:rsidRPr="006F467A">
        <w:rPr>
          <w:rFonts w:ascii="Times New Roman" w:hAnsi="Times New Roman" w:cs="Times New Roman"/>
          <w:smallCaps/>
          <w:sz w:val="24"/>
          <w:szCs w:val="24"/>
        </w:rPr>
        <w:t>chidyausiku</w:t>
      </w:r>
      <w:r w:rsidR="006F467A" w:rsidRPr="0056455C">
        <w:rPr>
          <w:rFonts w:ascii="Times New Roman" w:hAnsi="Times New Roman" w:cs="Times New Roman"/>
          <w:sz w:val="24"/>
          <w:szCs w:val="24"/>
        </w:rPr>
        <w:t xml:space="preserve"> </w:t>
      </w:r>
      <w:r w:rsidRPr="0056455C">
        <w:rPr>
          <w:rFonts w:ascii="Times New Roman" w:hAnsi="Times New Roman" w:cs="Times New Roman"/>
          <w:sz w:val="24"/>
          <w:szCs w:val="24"/>
        </w:rPr>
        <w:t>CJ stated as follows;</w:t>
      </w:r>
    </w:p>
    <w:p w:rsidR="0015369F" w:rsidRPr="006F467A" w:rsidRDefault="0015369F" w:rsidP="005B5461">
      <w:pPr>
        <w:spacing w:line="240" w:lineRule="auto"/>
        <w:ind w:left="720"/>
        <w:jc w:val="both"/>
        <w:rPr>
          <w:rFonts w:ascii="Times New Roman" w:hAnsi="Times New Roman" w:cs="Times New Roman"/>
        </w:rPr>
      </w:pPr>
      <w:r w:rsidRPr="006F467A">
        <w:rPr>
          <w:rFonts w:ascii="Times New Roman" w:hAnsi="Times New Roman" w:cs="Times New Roman"/>
        </w:rPr>
        <w:t xml:space="preserve">“The principles applicable to the raising of a point of law for the first time on appeal were succinctly set out by KRIEGLER J in the case of </w:t>
      </w:r>
      <w:r w:rsidRPr="006F467A">
        <w:rPr>
          <w:rFonts w:ascii="Times New Roman" w:hAnsi="Times New Roman" w:cs="Times New Roman"/>
          <w:i/>
        </w:rPr>
        <w:t>Donelly v Barclays National Bank Ltd</w:t>
      </w:r>
      <w:r w:rsidRPr="006F467A">
        <w:rPr>
          <w:rFonts w:ascii="Times New Roman" w:hAnsi="Times New Roman" w:cs="Times New Roman"/>
        </w:rPr>
        <w:t xml:space="preserve"> 1990 (1) SA 375 at 380H-381B, where the learned judge had this to say:</w:t>
      </w:r>
    </w:p>
    <w:p w:rsidR="0015369F" w:rsidRPr="006F467A" w:rsidRDefault="0015369F" w:rsidP="00774013">
      <w:pPr>
        <w:spacing w:line="240" w:lineRule="auto"/>
        <w:ind w:left="720"/>
        <w:jc w:val="both"/>
        <w:rPr>
          <w:rFonts w:ascii="Times New Roman" w:hAnsi="Times New Roman" w:cs="Times New Roman"/>
        </w:rPr>
      </w:pPr>
      <w:r w:rsidRPr="006F467A">
        <w:rPr>
          <w:rFonts w:ascii="Times New Roman" w:hAnsi="Times New Roman" w:cs="Times New Roman"/>
        </w:rPr>
        <w:t xml:space="preserve">“Secondly, it is clearly a wholly new line of defence now being taken.   It was not mentioned in the summary judgment proceedings nor in the plea.   It was never referred to in evidence or argument at the trial.   Its mere novelty, of course, is no ground </w:t>
      </w:r>
      <w:r w:rsidRPr="006F467A">
        <w:rPr>
          <w:rFonts w:ascii="Times New Roman" w:hAnsi="Times New Roman" w:cs="Times New Roman"/>
          <w:i/>
        </w:rPr>
        <w:t>per se</w:t>
      </w:r>
      <w:r w:rsidRPr="006F467A">
        <w:rPr>
          <w:rFonts w:ascii="Times New Roman" w:hAnsi="Times New Roman" w:cs="Times New Roman"/>
        </w:rPr>
        <w:t xml:space="preserve"> for rejecting it.   However, generally speaking, a Court of Appeal will not entertain a point not raised in the court below and especially one not raised on the pleadings in the court below.   In this regard I need do no more than to refer to Herbstein &amp; Van Winsen </w:t>
      </w:r>
      <w:r w:rsidRPr="006F467A">
        <w:rPr>
          <w:rFonts w:ascii="Times New Roman" w:hAnsi="Times New Roman" w:cs="Times New Roman"/>
          <w:i/>
        </w:rPr>
        <w:t>The Civil Practice of the Superior Courts in South Africa</w:t>
      </w:r>
      <w:r w:rsidRPr="006F467A">
        <w:rPr>
          <w:rFonts w:ascii="Times New Roman" w:hAnsi="Times New Roman" w:cs="Times New Roman"/>
        </w:rPr>
        <w:t xml:space="preserve"> 3 ed at 736-737.   In principle, a Court of Appeal is disinclined to allow a point to be raised for the first time before it.   Generally it will decline to do so unless –</w:t>
      </w:r>
    </w:p>
    <w:p w:rsidR="0015369F" w:rsidRPr="006F467A" w:rsidRDefault="0015369F" w:rsidP="00774013">
      <w:pPr>
        <w:spacing w:line="240" w:lineRule="auto"/>
        <w:ind w:left="720"/>
        <w:jc w:val="both"/>
        <w:rPr>
          <w:rFonts w:ascii="Times New Roman" w:hAnsi="Times New Roman" w:cs="Times New Roman"/>
        </w:rPr>
      </w:pPr>
    </w:p>
    <w:p w:rsidR="0015369F" w:rsidRPr="006F467A" w:rsidRDefault="0015369F" w:rsidP="00774013">
      <w:pPr>
        <w:spacing w:line="240" w:lineRule="auto"/>
        <w:ind w:left="1440"/>
        <w:jc w:val="both"/>
        <w:rPr>
          <w:rFonts w:ascii="Times New Roman" w:hAnsi="Times New Roman" w:cs="Times New Roman"/>
        </w:rPr>
      </w:pPr>
      <w:r w:rsidRPr="006F467A">
        <w:rPr>
          <w:rFonts w:ascii="Times New Roman" w:hAnsi="Times New Roman" w:cs="Times New Roman"/>
        </w:rPr>
        <w:t>(1)</w:t>
      </w:r>
      <w:r w:rsidRPr="006F467A">
        <w:rPr>
          <w:rFonts w:ascii="Times New Roman" w:hAnsi="Times New Roman" w:cs="Times New Roman"/>
        </w:rPr>
        <w:tab/>
        <w:t>the point is covered by the pleadings;</w:t>
      </w:r>
    </w:p>
    <w:p w:rsidR="0015369F" w:rsidRPr="006F467A" w:rsidRDefault="0015369F" w:rsidP="00774013">
      <w:pPr>
        <w:spacing w:line="240" w:lineRule="auto"/>
        <w:ind w:left="1440"/>
        <w:jc w:val="both"/>
        <w:rPr>
          <w:rFonts w:ascii="Times New Roman" w:hAnsi="Times New Roman" w:cs="Times New Roman"/>
        </w:rPr>
      </w:pPr>
    </w:p>
    <w:p w:rsidR="0015369F" w:rsidRPr="006F467A" w:rsidRDefault="0015369F" w:rsidP="00774013">
      <w:pPr>
        <w:spacing w:line="240" w:lineRule="auto"/>
        <w:ind w:left="2160" w:hanging="720"/>
        <w:jc w:val="both"/>
        <w:rPr>
          <w:rFonts w:ascii="Times New Roman" w:hAnsi="Times New Roman" w:cs="Times New Roman"/>
        </w:rPr>
      </w:pPr>
      <w:r w:rsidRPr="006F467A">
        <w:rPr>
          <w:rFonts w:ascii="Times New Roman" w:hAnsi="Times New Roman" w:cs="Times New Roman"/>
        </w:rPr>
        <w:t>(2)</w:t>
      </w:r>
      <w:r w:rsidRPr="006F467A">
        <w:rPr>
          <w:rFonts w:ascii="Times New Roman" w:hAnsi="Times New Roman" w:cs="Times New Roman"/>
        </w:rPr>
        <w:tab/>
        <w:t>there would be no unfairness to the other party;</w:t>
      </w:r>
    </w:p>
    <w:p w:rsidR="0015369F" w:rsidRPr="006F467A" w:rsidRDefault="0015369F" w:rsidP="00774013">
      <w:pPr>
        <w:spacing w:line="240" w:lineRule="auto"/>
        <w:ind w:left="2160" w:hanging="720"/>
        <w:jc w:val="both"/>
        <w:rPr>
          <w:rFonts w:ascii="Times New Roman" w:hAnsi="Times New Roman" w:cs="Times New Roman"/>
        </w:rPr>
      </w:pPr>
    </w:p>
    <w:p w:rsidR="0015369F" w:rsidRPr="006F467A" w:rsidRDefault="0015369F" w:rsidP="00774013">
      <w:pPr>
        <w:spacing w:line="240" w:lineRule="auto"/>
        <w:ind w:left="2160" w:hanging="720"/>
        <w:jc w:val="both"/>
        <w:rPr>
          <w:rFonts w:ascii="Times New Roman" w:hAnsi="Times New Roman" w:cs="Times New Roman"/>
        </w:rPr>
      </w:pPr>
      <w:r w:rsidRPr="006F467A">
        <w:rPr>
          <w:rFonts w:ascii="Times New Roman" w:hAnsi="Times New Roman" w:cs="Times New Roman"/>
        </w:rPr>
        <w:t>(3)</w:t>
      </w:r>
      <w:r w:rsidRPr="006F467A">
        <w:rPr>
          <w:rFonts w:ascii="Times New Roman" w:hAnsi="Times New Roman" w:cs="Times New Roman"/>
        </w:rPr>
        <w:tab/>
        <w:t>the facts are common cause or well-nigh incontrovertible; and</w:t>
      </w:r>
    </w:p>
    <w:p w:rsidR="0015369F" w:rsidRPr="006F467A" w:rsidRDefault="0015369F" w:rsidP="00774013">
      <w:pPr>
        <w:spacing w:line="240" w:lineRule="auto"/>
        <w:ind w:left="2160" w:hanging="720"/>
        <w:jc w:val="both"/>
        <w:rPr>
          <w:rFonts w:ascii="Times New Roman" w:hAnsi="Times New Roman" w:cs="Times New Roman"/>
        </w:rPr>
      </w:pPr>
    </w:p>
    <w:p w:rsidR="0015369F" w:rsidRPr="006F467A" w:rsidRDefault="0015369F" w:rsidP="00774013">
      <w:pPr>
        <w:spacing w:line="240" w:lineRule="auto"/>
        <w:ind w:left="2160" w:hanging="720"/>
        <w:jc w:val="both"/>
        <w:rPr>
          <w:rFonts w:ascii="Times New Roman" w:hAnsi="Times New Roman" w:cs="Times New Roman"/>
        </w:rPr>
      </w:pPr>
      <w:r w:rsidRPr="006F467A">
        <w:rPr>
          <w:rFonts w:ascii="Times New Roman" w:hAnsi="Times New Roman" w:cs="Times New Roman"/>
        </w:rPr>
        <w:t>(4)</w:t>
      </w:r>
      <w:r w:rsidRPr="006F467A">
        <w:rPr>
          <w:rFonts w:ascii="Times New Roman" w:hAnsi="Times New Roman" w:cs="Times New Roman"/>
        </w:rPr>
        <w:tab/>
        <w:t>there is no ground for thinking that other or further evidence would have been produced that could have affected the point.</w:t>
      </w:r>
    </w:p>
    <w:p w:rsidR="0015369F" w:rsidRPr="006F467A" w:rsidRDefault="0015369F" w:rsidP="00774013">
      <w:pPr>
        <w:spacing w:line="240" w:lineRule="auto"/>
        <w:ind w:left="2160" w:hanging="720"/>
        <w:jc w:val="both"/>
        <w:rPr>
          <w:rFonts w:ascii="Times New Roman" w:hAnsi="Times New Roman" w:cs="Times New Roman"/>
        </w:rPr>
      </w:pPr>
    </w:p>
    <w:p w:rsidR="004C1735" w:rsidRPr="006F467A" w:rsidRDefault="0015369F" w:rsidP="00774013">
      <w:pPr>
        <w:spacing w:line="240" w:lineRule="auto"/>
        <w:ind w:left="1440"/>
        <w:jc w:val="both"/>
        <w:rPr>
          <w:rFonts w:ascii="Times New Roman" w:hAnsi="Times New Roman" w:cs="Times New Roman"/>
        </w:rPr>
      </w:pPr>
      <w:r w:rsidRPr="006F467A">
        <w:rPr>
          <w:rFonts w:ascii="Times New Roman" w:hAnsi="Times New Roman" w:cs="Times New Roman"/>
        </w:rPr>
        <w:t xml:space="preserve">See </w:t>
      </w:r>
      <w:r w:rsidRPr="006F467A">
        <w:rPr>
          <w:rFonts w:ascii="Times New Roman" w:hAnsi="Times New Roman" w:cs="Times New Roman"/>
          <w:i/>
        </w:rPr>
        <w:t>Cole</w:t>
      </w:r>
      <w:r w:rsidRPr="00774013">
        <w:rPr>
          <w:rFonts w:ascii="Times New Roman" w:hAnsi="Times New Roman" w:cs="Times New Roman"/>
          <w:iCs/>
        </w:rPr>
        <w:t xml:space="preserve"> v</w:t>
      </w:r>
      <w:r w:rsidRPr="006F467A">
        <w:rPr>
          <w:rFonts w:ascii="Times New Roman" w:hAnsi="Times New Roman" w:cs="Times New Roman"/>
          <w:i/>
        </w:rPr>
        <w:t xml:space="preserve"> Government of the Union of South Africa</w:t>
      </w:r>
      <w:r w:rsidRPr="006F467A">
        <w:rPr>
          <w:rFonts w:ascii="Times New Roman" w:hAnsi="Times New Roman" w:cs="Times New Roman"/>
        </w:rPr>
        <w:t xml:space="preserve"> 1910 AD 263; </w:t>
      </w:r>
      <w:r w:rsidRPr="006F467A">
        <w:rPr>
          <w:rFonts w:ascii="Times New Roman" w:hAnsi="Times New Roman" w:cs="Times New Roman"/>
          <w:i/>
        </w:rPr>
        <w:t xml:space="preserve">Van Ryn Wine and Spirit Co </w:t>
      </w:r>
      <w:r w:rsidRPr="00774013">
        <w:rPr>
          <w:rFonts w:ascii="Times New Roman" w:hAnsi="Times New Roman" w:cs="Times New Roman"/>
          <w:iCs/>
        </w:rPr>
        <w:t>v</w:t>
      </w:r>
      <w:r w:rsidRPr="006F467A">
        <w:rPr>
          <w:rFonts w:ascii="Times New Roman" w:hAnsi="Times New Roman" w:cs="Times New Roman"/>
          <w:i/>
        </w:rPr>
        <w:t xml:space="preserve"> Chandos Bar</w:t>
      </w:r>
      <w:r w:rsidRPr="006F467A">
        <w:rPr>
          <w:rFonts w:ascii="Times New Roman" w:hAnsi="Times New Roman" w:cs="Times New Roman"/>
        </w:rPr>
        <w:t xml:space="preserve"> 1928 TPD 417 at 421; and </w:t>
      </w:r>
      <w:r w:rsidRPr="006F467A">
        <w:rPr>
          <w:rFonts w:ascii="Times New Roman" w:hAnsi="Times New Roman" w:cs="Times New Roman"/>
          <w:i/>
        </w:rPr>
        <w:t>Paddock Motors (Pty) Ltd</w:t>
      </w:r>
      <w:r w:rsidRPr="00774013">
        <w:rPr>
          <w:rFonts w:ascii="Times New Roman" w:hAnsi="Times New Roman" w:cs="Times New Roman"/>
          <w:iCs/>
        </w:rPr>
        <w:t xml:space="preserve"> v</w:t>
      </w:r>
      <w:r w:rsidRPr="006F467A">
        <w:rPr>
          <w:rFonts w:ascii="Times New Roman" w:hAnsi="Times New Roman" w:cs="Times New Roman"/>
          <w:i/>
        </w:rPr>
        <w:t xml:space="preserve"> Igesund</w:t>
      </w:r>
      <w:r w:rsidRPr="006F467A">
        <w:rPr>
          <w:rFonts w:ascii="Times New Roman" w:hAnsi="Times New Roman" w:cs="Times New Roman"/>
        </w:rPr>
        <w:t xml:space="preserve"> 1976 (3) SA 16 (A) at 23.”</w:t>
      </w:r>
    </w:p>
    <w:p w:rsidR="00D32E34" w:rsidRPr="0056455C" w:rsidRDefault="00D32E34" w:rsidP="00774013">
      <w:pPr>
        <w:spacing w:line="360" w:lineRule="auto"/>
        <w:ind w:left="720" w:firstLine="720"/>
        <w:jc w:val="both"/>
        <w:rPr>
          <w:rFonts w:ascii="Times New Roman" w:hAnsi="Times New Roman" w:cs="Times New Roman"/>
          <w:sz w:val="24"/>
          <w:szCs w:val="24"/>
        </w:rPr>
      </w:pPr>
      <w:r w:rsidRPr="0056455C">
        <w:rPr>
          <w:rFonts w:ascii="Times New Roman" w:hAnsi="Times New Roman" w:cs="Times New Roman"/>
          <w:sz w:val="24"/>
          <w:szCs w:val="24"/>
        </w:rPr>
        <w:t>Though this matter is not an appeal, I believe the same principles are applicable. The point of prescription is covered in the pleadings, albeit for acquisitive prescription only.</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The facts on which it is based are common cause and there is no basis for thinking </w:t>
      </w:r>
      <w:r w:rsidRPr="0056455C">
        <w:rPr>
          <w:rFonts w:ascii="Times New Roman" w:hAnsi="Times New Roman" w:cs="Times New Roman"/>
          <w:sz w:val="24"/>
          <w:szCs w:val="24"/>
        </w:rPr>
        <w:lastRenderedPageBreak/>
        <w:t xml:space="preserve">that other evidence would need to be produced that could have affected the point.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There would therefore be no unfairness to the other party and I will proceed to consider both points.</w:t>
      </w:r>
    </w:p>
    <w:p w:rsidR="004C1735" w:rsidRPr="0056455C" w:rsidRDefault="004C1735" w:rsidP="004D625B">
      <w:pPr>
        <w:spacing w:after="0" w:line="360" w:lineRule="auto"/>
        <w:ind w:left="720" w:firstLine="720"/>
        <w:jc w:val="both"/>
        <w:rPr>
          <w:rFonts w:ascii="Times New Roman" w:hAnsi="Times New Roman" w:cs="Times New Roman"/>
          <w:sz w:val="24"/>
          <w:szCs w:val="24"/>
        </w:rPr>
      </w:pPr>
      <w:r w:rsidRPr="0056455C">
        <w:rPr>
          <w:rFonts w:ascii="Times New Roman" w:hAnsi="Times New Roman" w:cs="Times New Roman"/>
          <w:bCs/>
          <w:sz w:val="24"/>
          <w:szCs w:val="24"/>
        </w:rPr>
        <w:t>The Prescription Act is also in favour of the court dealing with this question of prescription because in the proviso to s 20, it is provided that</w:t>
      </w:r>
      <w:r w:rsidRPr="0056455C">
        <w:rPr>
          <w:rFonts w:ascii="Times New Roman" w:hAnsi="Times New Roman" w:cs="Times New Roman"/>
          <w:sz w:val="24"/>
          <w:szCs w:val="24"/>
        </w:rPr>
        <w:t xml:space="preserve"> a court may allow prescription to be raised at any stage of the proceedings.</w:t>
      </w:r>
    </w:p>
    <w:p w:rsidR="00062F9F" w:rsidRPr="0056455C" w:rsidRDefault="00062F9F" w:rsidP="00774013">
      <w:pPr>
        <w:spacing w:after="0" w:line="360" w:lineRule="auto"/>
        <w:ind w:left="720" w:firstLine="720"/>
        <w:jc w:val="both"/>
        <w:rPr>
          <w:rFonts w:ascii="Times New Roman" w:hAnsi="Times New Roman" w:cs="Times New Roman"/>
          <w:sz w:val="24"/>
          <w:szCs w:val="24"/>
        </w:rPr>
      </w:pPr>
      <w:r w:rsidRPr="0056455C">
        <w:rPr>
          <w:rFonts w:ascii="Times New Roman" w:hAnsi="Times New Roman" w:cs="Times New Roman"/>
          <w:sz w:val="24"/>
          <w:szCs w:val="24"/>
        </w:rPr>
        <w:t>I start with acquisitive prescription</w:t>
      </w:r>
      <w:r w:rsidR="007A477F" w:rsidRPr="0056455C">
        <w:rPr>
          <w:rFonts w:ascii="Times New Roman" w:hAnsi="Times New Roman" w:cs="Times New Roman"/>
          <w:sz w:val="24"/>
          <w:szCs w:val="24"/>
        </w:rPr>
        <w:t xml:space="preserve">. </w:t>
      </w:r>
      <w:r w:rsidR="00774013">
        <w:rPr>
          <w:rFonts w:ascii="Times New Roman" w:hAnsi="Times New Roman" w:cs="Times New Roman"/>
          <w:sz w:val="24"/>
          <w:szCs w:val="24"/>
        </w:rPr>
        <w:t xml:space="preserve"> </w:t>
      </w:r>
      <w:r w:rsidR="007A477F" w:rsidRPr="0056455C">
        <w:rPr>
          <w:rFonts w:ascii="Times New Roman" w:hAnsi="Times New Roman" w:cs="Times New Roman"/>
          <w:sz w:val="24"/>
          <w:szCs w:val="24"/>
        </w:rPr>
        <w:t>The Prescription</w:t>
      </w:r>
      <w:r w:rsidR="004D625B">
        <w:rPr>
          <w:rFonts w:ascii="Times New Roman" w:hAnsi="Times New Roman" w:cs="Times New Roman"/>
          <w:sz w:val="24"/>
          <w:szCs w:val="24"/>
        </w:rPr>
        <w:t xml:space="preserve"> Act provides as follows in s 4.</w:t>
      </w:r>
    </w:p>
    <w:p w:rsidR="007A477F" w:rsidRPr="00774013" w:rsidRDefault="007A477F" w:rsidP="00774013">
      <w:pPr>
        <w:autoSpaceDE w:val="0"/>
        <w:autoSpaceDN w:val="0"/>
        <w:adjustRightInd w:val="0"/>
        <w:spacing w:after="0" w:line="240" w:lineRule="auto"/>
        <w:ind w:left="720" w:firstLine="720"/>
        <w:jc w:val="both"/>
        <w:rPr>
          <w:rFonts w:ascii="Times New Roman" w:hAnsi="Times New Roman" w:cs="Times New Roman"/>
          <w:b/>
          <w:bCs/>
        </w:rPr>
      </w:pPr>
      <w:r w:rsidRPr="00774013">
        <w:rPr>
          <w:rFonts w:ascii="Times New Roman" w:hAnsi="Times New Roman" w:cs="Times New Roman"/>
          <w:b/>
          <w:bCs/>
        </w:rPr>
        <w:t>“Acquisition of things by prescription</w:t>
      </w:r>
    </w:p>
    <w:p w:rsidR="007A477F" w:rsidRPr="00774013" w:rsidRDefault="007A477F" w:rsidP="00774013">
      <w:pPr>
        <w:autoSpaceDE w:val="0"/>
        <w:autoSpaceDN w:val="0"/>
        <w:adjustRightInd w:val="0"/>
        <w:spacing w:after="0" w:line="240" w:lineRule="auto"/>
        <w:ind w:left="1440"/>
        <w:jc w:val="both"/>
        <w:rPr>
          <w:rFonts w:ascii="Times New Roman" w:hAnsi="Times New Roman" w:cs="Times New Roman"/>
        </w:rPr>
      </w:pPr>
      <w:r w:rsidRPr="00774013">
        <w:rPr>
          <w:rFonts w:ascii="Times New Roman" w:hAnsi="Times New Roman" w:cs="Times New Roman"/>
        </w:rPr>
        <w:t>Subject to this Part and Part V, a person shall by prescription become the owner of a thing which he has possessed openly and as if he were the owner thereof for—</w:t>
      </w:r>
    </w:p>
    <w:p w:rsidR="007A477F" w:rsidRPr="00774013" w:rsidRDefault="007A477F" w:rsidP="00774013">
      <w:pPr>
        <w:autoSpaceDE w:val="0"/>
        <w:autoSpaceDN w:val="0"/>
        <w:adjustRightInd w:val="0"/>
        <w:spacing w:after="0" w:line="240" w:lineRule="auto"/>
        <w:ind w:left="720" w:firstLine="720"/>
        <w:jc w:val="both"/>
        <w:rPr>
          <w:rFonts w:ascii="Times New Roman" w:hAnsi="Times New Roman" w:cs="Times New Roman"/>
        </w:rPr>
      </w:pPr>
      <w:r w:rsidRPr="00774013">
        <w:rPr>
          <w:rFonts w:ascii="Times New Roman" w:hAnsi="Times New Roman" w:cs="Times New Roman"/>
        </w:rPr>
        <w:t>(</w:t>
      </w:r>
      <w:r w:rsidRPr="00774013">
        <w:rPr>
          <w:rFonts w:ascii="Times New Roman" w:hAnsi="Times New Roman" w:cs="Times New Roman"/>
          <w:i/>
          <w:iCs/>
        </w:rPr>
        <w:t>a</w:t>
      </w:r>
      <w:r w:rsidRPr="00774013">
        <w:rPr>
          <w:rFonts w:ascii="Times New Roman" w:hAnsi="Times New Roman" w:cs="Times New Roman"/>
        </w:rPr>
        <w:t>) an uninterrupted period of thirty years; or</w:t>
      </w:r>
    </w:p>
    <w:p w:rsidR="007A477F" w:rsidRPr="00774013" w:rsidRDefault="007A477F" w:rsidP="00774013">
      <w:pPr>
        <w:autoSpaceDE w:val="0"/>
        <w:autoSpaceDN w:val="0"/>
        <w:adjustRightInd w:val="0"/>
        <w:spacing w:after="0" w:line="240" w:lineRule="auto"/>
        <w:ind w:left="1440"/>
        <w:jc w:val="both"/>
        <w:rPr>
          <w:rFonts w:ascii="Times New Roman" w:hAnsi="Times New Roman" w:cs="Times New Roman"/>
        </w:rPr>
      </w:pPr>
      <w:r w:rsidRPr="00774013">
        <w:rPr>
          <w:rFonts w:ascii="Times New Roman" w:hAnsi="Times New Roman" w:cs="Times New Roman"/>
        </w:rPr>
        <w:t>(</w:t>
      </w:r>
      <w:r w:rsidRPr="00774013">
        <w:rPr>
          <w:rFonts w:ascii="Times New Roman" w:hAnsi="Times New Roman" w:cs="Times New Roman"/>
          <w:i/>
          <w:iCs/>
        </w:rPr>
        <w:t>b</w:t>
      </w:r>
      <w:r w:rsidRPr="00774013">
        <w:rPr>
          <w:rFonts w:ascii="Times New Roman" w:hAnsi="Times New Roman" w:cs="Times New Roman"/>
        </w:rPr>
        <w:t>) a period which, together with any periods for which such thing was so possessed by his predecessors in title, constitutes an uninterrupted period of thirty years.”</w:t>
      </w:r>
    </w:p>
    <w:p w:rsidR="007A477F" w:rsidRPr="00774013" w:rsidRDefault="007A477F" w:rsidP="00774013">
      <w:pPr>
        <w:autoSpaceDE w:val="0"/>
        <w:autoSpaceDN w:val="0"/>
        <w:adjustRightInd w:val="0"/>
        <w:spacing w:after="0" w:line="240" w:lineRule="auto"/>
        <w:ind w:left="720"/>
        <w:jc w:val="both"/>
        <w:rPr>
          <w:rFonts w:ascii="Times New Roman" w:hAnsi="Times New Roman" w:cs="Times New Roman"/>
        </w:rPr>
      </w:pPr>
    </w:p>
    <w:p w:rsidR="007A477F" w:rsidRPr="0056455C" w:rsidRDefault="007A477F" w:rsidP="00774013">
      <w:pPr>
        <w:autoSpaceDE w:val="0"/>
        <w:autoSpaceDN w:val="0"/>
        <w:adjustRightInd w:val="0"/>
        <w:spacing w:after="0" w:line="360" w:lineRule="auto"/>
        <w:ind w:left="720" w:firstLine="720"/>
        <w:jc w:val="both"/>
        <w:rPr>
          <w:rFonts w:ascii="Times New Roman" w:hAnsi="Times New Roman" w:cs="Times New Roman"/>
          <w:sz w:val="24"/>
          <w:szCs w:val="24"/>
        </w:rPr>
      </w:pPr>
      <w:r w:rsidRPr="0056455C">
        <w:rPr>
          <w:rFonts w:ascii="Times New Roman" w:hAnsi="Times New Roman" w:cs="Times New Roman"/>
          <w:sz w:val="24"/>
          <w:szCs w:val="24"/>
        </w:rPr>
        <w:t>S</w:t>
      </w:r>
      <w:r w:rsidR="00145598">
        <w:rPr>
          <w:rFonts w:ascii="Times New Roman" w:hAnsi="Times New Roman" w:cs="Times New Roman"/>
          <w:sz w:val="24"/>
          <w:szCs w:val="24"/>
        </w:rPr>
        <w:t>ection</w:t>
      </w:r>
      <w:r w:rsidRPr="0056455C">
        <w:rPr>
          <w:rFonts w:ascii="Times New Roman" w:hAnsi="Times New Roman" w:cs="Times New Roman"/>
          <w:sz w:val="24"/>
          <w:szCs w:val="24"/>
        </w:rPr>
        <w:t xml:space="preserve"> 6 provides for instances when prescription is delayed and in ss 1 (c), it is clear that the death of a person delays the running of prescription if a person in favour of whom prescription is running is deceased and an executor of the estate has not yet been appointed.</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Mr Chipetiwa was therefore right in saying that Frank Mapuvire did not hold the property for an uninterrupted period of thirty years so as to have the second and third respondents successfully raise the point </w:t>
      </w:r>
      <w:r w:rsidR="009E299C" w:rsidRPr="0056455C">
        <w:rPr>
          <w:rFonts w:ascii="Times New Roman" w:hAnsi="Times New Roman" w:cs="Times New Roman"/>
          <w:sz w:val="24"/>
          <w:szCs w:val="24"/>
        </w:rPr>
        <w:t>of acquisitive</w:t>
      </w:r>
      <w:r w:rsidRPr="0056455C">
        <w:rPr>
          <w:rFonts w:ascii="Times New Roman" w:hAnsi="Times New Roman" w:cs="Times New Roman"/>
          <w:sz w:val="24"/>
          <w:szCs w:val="24"/>
        </w:rPr>
        <w:t xml:space="preserve"> prescription</w:t>
      </w:r>
      <w:r w:rsidR="009E299C" w:rsidRPr="0056455C">
        <w:rPr>
          <w:rFonts w:ascii="Times New Roman" w:hAnsi="Times New Roman" w:cs="Times New Roman"/>
          <w:sz w:val="24"/>
          <w:szCs w:val="24"/>
        </w:rPr>
        <w:t>.</w:t>
      </w:r>
      <w:r w:rsidRPr="0056455C">
        <w:rPr>
          <w:rFonts w:ascii="Times New Roman" w:hAnsi="Times New Roman" w:cs="Times New Roman"/>
          <w:sz w:val="24"/>
          <w:szCs w:val="24"/>
        </w:rPr>
        <w:t xml:space="preserve"> </w:t>
      </w:r>
      <w:r w:rsidR="009E299C" w:rsidRPr="0056455C">
        <w:rPr>
          <w:rFonts w:ascii="Times New Roman" w:hAnsi="Times New Roman" w:cs="Times New Roman"/>
          <w:sz w:val="24"/>
          <w:szCs w:val="24"/>
        </w:rPr>
        <w:t>See below;</w:t>
      </w:r>
    </w:p>
    <w:p w:rsidR="007A477F" w:rsidRPr="00774013" w:rsidRDefault="009E299C" w:rsidP="00774013">
      <w:pPr>
        <w:autoSpaceDE w:val="0"/>
        <w:autoSpaceDN w:val="0"/>
        <w:adjustRightInd w:val="0"/>
        <w:spacing w:after="0" w:line="240" w:lineRule="auto"/>
        <w:ind w:firstLine="720"/>
        <w:jc w:val="both"/>
        <w:rPr>
          <w:rFonts w:ascii="Times New Roman" w:hAnsi="Times New Roman" w:cs="Times New Roman"/>
          <w:b/>
          <w:bCs/>
        </w:rPr>
      </w:pPr>
      <w:r w:rsidRPr="00774013">
        <w:rPr>
          <w:rFonts w:ascii="Times New Roman" w:hAnsi="Times New Roman" w:cs="Times New Roman"/>
          <w:b/>
          <w:bCs/>
        </w:rPr>
        <w:t>“</w:t>
      </w:r>
      <w:r w:rsidR="007A477F" w:rsidRPr="00774013">
        <w:rPr>
          <w:rFonts w:ascii="Times New Roman" w:hAnsi="Times New Roman" w:cs="Times New Roman"/>
          <w:b/>
          <w:bCs/>
        </w:rPr>
        <w:t>When completion of prescription delayed</w:t>
      </w:r>
    </w:p>
    <w:p w:rsidR="007A477F" w:rsidRPr="00774013" w:rsidRDefault="007A477F" w:rsidP="00774013">
      <w:pPr>
        <w:autoSpaceDE w:val="0"/>
        <w:autoSpaceDN w:val="0"/>
        <w:adjustRightInd w:val="0"/>
        <w:spacing w:after="0" w:line="240" w:lineRule="auto"/>
        <w:ind w:firstLine="720"/>
        <w:jc w:val="both"/>
        <w:rPr>
          <w:rFonts w:ascii="Times New Roman" w:hAnsi="Times New Roman" w:cs="Times New Roman"/>
        </w:rPr>
      </w:pPr>
      <w:r w:rsidRPr="00774013">
        <w:rPr>
          <w:rFonts w:ascii="Times New Roman" w:hAnsi="Times New Roman" w:cs="Times New Roman"/>
        </w:rPr>
        <w:t>(1) If—</w:t>
      </w:r>
    </w:p>
    <w:p w:rsidR="007A477F" w:rsidRPr="00774013" w:rsidRDefault="007A477F" w:rsidP="00774013">
      <w:pPr>
        <w:autoSpaceDE w:val="0"/>
        <w:autoSpaceDN w:val="0"/>
        <w:adjustRightInd w:val="0"/>
        <w:spacing w:after="0" w:line="240" w:lineRule="auto"/>
        <w:jc w:val="both"/>
        <w:rPr>
          <w:rFonts w:ascii="Times New Roman" w:hAnsi="Times New Roman" w:cs="Times New Roman"/>
        </w:rPr>
      </w:pPr>
    </w:p>
    <w:p w:rsidR="00D15E74" w:rsidRDefault="007A477F" w:rsidP="004D625B">
      <w:pPr>
        <w:autoSpaceDE w:val="0"/>
        <w:autoSpaceDN w:val="0"/>
        <w:adjustRightInd w:val="0"/>
        <w:spacing w:after="0" w:line="240" w:lineRule="auto"/>
        <w:ind w:left="720"/>
        <w:jc w:val="both"/>
        <w:rPr>
          <w:rFonts w:ascii="Times New Roman" w:hAnsi="Times New Roman" w:cs="Times New Roman"/>
        </w:rPr>
      </w:pPr>
      <w:r w:rsidRPr="00774013">
        <w:rPr>
          <w:rFonts w:ascii="Times New Roman" w:hAnsi="Times New Roman" w:cs="Times New Roman"/>
        </w:rPr>
        <w:t>(</w:t>
      </w:r>
      <w:r w:rsidRPr="00774013">
        <w:rPr>
          <w:rFonts w:ascii="Times New Roman" w:hAnsi="Times New Roman" w:cs="Times New Roman"/>
          <w:i/>
          <w:iCs/>
        </w:rPr>
        <w:t>c</w:t>
      </w:r>
      <w:r w:rsidRPr="00774013">
        <w:rPr>
          <w:rFonts w:ascii="Times New Roman" w:hAnsi="Times New Roman" w:cs="Times New Roman"/>
        </w:rPr>
        <w:t>) the person against whom or in favour of whom the prescription is running is deceased and an executor</w:t>
      </w:r>
      <w:r w:rsidR="009E299C" w:rsidRPr="00774013">
        <w:rPr>
          <w:rFonts w:ascii="Times New Roman" w:hAnsi="Times New Roman" w:cs="Times New Roman"/>
        </w:rPr>
        <w:t xml:space="preserve"> </w:t>
      </w:r>
      <w:r w:rsidRPr="00774013">
        <w:rPr>
          <w:rFonts w:ascii="Times New Roman" w:hAnsi="Times New Roman" w:cs="Times New Roman"/>
        </w:rPr>
        <w:t>of the estate in question has not yet been appointed;</w:t>
      </w:r>
      <w:r w:rsidR="009E299C" w:rsidRPr="00774013">
        <w:rPr>
          <w:rFonts w:ascii="Times New Roman" w:hAnsi="Times New Roman" w:cs="Times New Roman"/>
        </w:rPr>
        <w:t>”</w:t>
      </w:r>
    </w:p>
    <w:p w:rsidR="004D625B" w:rsidRPr="004D625B" w:rsidRDefault="004D625B" w:rsidP="004D625B">
      <w:pPr>
        <w:autoSpaceDE w:val="0"/>
        <w:autoSpaceDN w:val="0"/>
        <w:adjustRightInd w:val="0"/>
        <w:spacing w:after="0" w:line="240" w:lineRule="auto"/>
        <w:ind w:left="720"/>
        <w:jc w:val="both"/>
        <w:rPr>
          <w:rFonts w:ascii="Times New Roman" w:hAnsi="Times New Roman" w:cs="Times New Roman"/>
        </w:rPr>
      </w:pPr>
    </w:p>
    <w:p w:rsidR="00D15E74" w:rsidRPr="00774013" w:rsidRDefault="00851C62" w:rsidP="00774013">
      <w:pPr>
        <w:autoSpaceDE w:val="0"/>
        <w:autoSpaceDN w:val="0"/>
        <w:adjustRightInd w:val="0"/>
        <w:spacing w:after="0" w:line="240" w:lineRule="auto"/>
        <w:ind w:firstLine="720"/>
        <w:jc w:val="both"/>
        <w:rPr>
          <w:rFonts w:ascii="Times New Roman" w:hAnsi="Times New Roman" w:cs="Times New Roman"/>
        </w:rPr>
      </w:pPr>
      <w:r w:rsidRPr="00774013">
        <w:rPr>
          <w:rFonts w:ascii="Times New Roman" w:hAnsi="Times New Roman" w:cs="Times New Roman"/>
        </w:rPr>
        <w:t>There is therefore no merit on the point of acquisitive prescription.</w:t>
      </w:r>
    </w:p>
    <w:p w:rsidR="00D15E74" w:rsidRPr="00774013" w:rsidRDefault="00D15E74" w:rsidP="00774013">
      <w:pPr>
        <w:autoSpaceDE w:val="0"/>
        <w:autoSpaceDN w:val="0"/>
        <w:adjustRightInd w:val="0"/>
        <w:spacing w:after="0" w:line="240" w:lineRule="auto"/>
        <w:ind w:left="720"/>
        <w:jc w:val="both"/>
        <w:rPr>
          <w:rFonts w:ascii="Times New Roman" w:hAnsi="Times New Roman" w:cs="Times New Roman"/>
        </w:rPr>
      </w:pPr>
      <w:r w:rsidRPr="00774013">
        <w:rPr>
          <w:rFonts w:ascii="Times New Roman" w:hAnsi="Times New Roman" w:cs="Times New Roman"/>
        </w:rPr>
        <w:t>The Prescription Act defines a debt in s 2 as follows; “debt”, without limiting the meaning of the term, includes anything which may be sued for or claimed by reason of an obligation arising from statute, contract, delict or otherwise.”</w:t>
      </w:r>
    </w:p>
    <w:p w:rsidR="00D15E74" w:rsidRPr="0056455C" w:rsidRDefault="00D15E74" w:rsidP="00774013">
      <w:pPr>
        <w:autoSpaceDE w:val="0"/>
        <w:autoSpaceDN w:val="0"/>
        <w:adjustRightInd w:val="0"/>
        <w:spacing w:after="0" w:line="360" w:lineRule="auto"/>
        <w:jc w:val="both"/>
        <w:rPr>
          <w:rFonts w:ascii="Times New Roman" w:hAnsi="Times New Roman" w:cs="Times New Roman"/>
          <w:sz w:val="24"/>
          <w:szCs w:val="24"/>
        </w:rPr>
      </w:pPr>
    </w:p>
    <w:p w:rsidR="009E299C" w:rsidRPr="00774013" w:rsidRDefault="009E299C" w:rsidP="00774013">
      <w:pPr>
        <w:autoSpaceDE w:val="0"/>
        <w:autoSpaceDN w:val="0"/>
        <w:adjustRightInd w:val="0"/>
        <w:spacing w:after="0" w:line="240" w:lineRule="auto"/>
        <w:ind w:firstLine="720"/>
        <w:jc w:val="both"/>
        <w:rPr>
          <w:rFonts w:ascii="Times New Roman" w:hAnsi="Times New Roman" w:cs="Times New Roman"/>
        </w:rPr>
      </w:pPr>
      <w:r w:rsidRPr="00774013">
        <w:rPr>
          <w:rFonts w:ascii="Times New Roman" w:hAnsi="Times New Roman" w:cs="Times New Roman"/>
        </w:rPr>
        <w:t>S 15</w:t>
      </w:r>
      <w:r w:rsidR="0095306C" w:rsidRPr="00774013">
        <w:rPr>
          <w:rFonts w:ascii="Times New Roman" w:hAnsi="Times New Roman" w:cs="Times New Roman"/>
        </w:rPr>
        <w:t>(d)</w:t>
      </w:r>
      <w:r w:rsidRPr="00774013">
        <w:rPr>
          <w:rFonts w:ascii="Times New Roman" w:hAnsi="Times New Roman" w:cs="Times New Roman"/>
        </w:rPr>
        <w:t xml:space="preserve"> pointed to by Mr Mavhiringidze provides as follows;</w:t>
      </w:r>
    </w:p>
    <w:p w:rsidR="009E299C" w:rsidRPr="00774013" w:rsidRDefault="009E299C" w:rsidP="00774013">
      <w:pPr>
        <w:autoSpaceDE w:val="0"/>
        <w:autoSpaceDN w:val="0"/>
        <w:adjustRightInd w:val="0"/>
        <w:spacing w:after="0" w:line="240" w:lineRule="auto"/>
        <w:ind w:firstLine="720"/>
        <w:jc w:val="both"/>
        <w:rPr>
          <w:rFonts w:ascii="Times New Roman" w:hAnsi="Times New Roman" w:cs="Times New Roman"/>
          <w:b/>
          <w:bCs/>
        </w:rPr>
      </w:pPr>
      <w:r w:rsidRPr="00774013">
        <w:rPr>
          <w:rFonts w:ascii="Times New Roman" w:hAnsi="Times New Roman" w:cs="Times New Roman"/>
          <w:b/>
          <w:bCs/>
        </w:rPr>
        <w:t>“Periods of prescription of debts</w:t>
      </w:r>
    </w:p>
    <w:p w:rsidR="009E299C" w:rsidRPr="00774013" w:rsidRDefault="009E299C" w:rsidP="00774013">
      <w:pPr>
        <w:autoSpaceDE w:val="0"/>
        <w:autoSpaceDN w:val="0"/>
        <w:adjustRightInd w:val="0"/>
        <w:spacing w:after="0" w:line="240" w:lineRule="auto"/>
        <w:ind w:firstLine="720"/>
        <w:jc w:val="both"/>
        <w:rPr>
          <w:rFonts w:ascii="Times New Roman" w:hAnsi="Times New Roman" w:cs="Times New Roman"/>
        </w:rPr>
      </w:pPr>
      <w:r w:rsidRPr="00774013">
        <w:rPr>
          <w:rFonts w:ascii="Times New Roman" w:hAnsi="Times New Roman" w:cs="Times New Roman"/>
        </w:rPr>
        <w:t>The period of prescription of a debt shall be—</w:t>
      </w:r>
    </w:p>
    <w:p w:rsidR="009E299C" w:rsidRPr="00774013" w:rsidRDefault="009E299C" w:rsidP="00774013">
      <w:pPr>
        <w:autoSpaceDE w:val="0"/>
        <w:autoSpaceDN w:val="0"/>
        <w:adjustRightInd w:val="0"/>
        <w:spacing w:after="0" w:line="240" w:lineRule="auto"/>
        <w:jc w:val="both"/>
        <w:rPr>
          <w:rFonts w:ascii="Times New Roman" w:hAnsi="Times New Roman" w:cs="Times New Roman"/>
        </w:rPr>
      </w:pPr>
      <w:r w:rsidRPr="00774013">
        <w:rPr>
          <w:rFonts w:ascii="Times New Roman" w:hAnsi="Times New Roman" w:cs="Times New Roman"/>
        </w:rPr>
        <w:t xml:space="preserve"> </w:t>
      </w:r>
      <w:r w:rsidRPr="00774013">
        <w:rPr>
          <w:rFonts w:ascii="Times New Roman" w:hAnsi="Times New Roman" w:cs="Times New Roman"/>
        </w:rPr>
        <w:tab/>
        <w:t>(</w:t>
      </w:r>
      <w:r w:rsidRPr="00774013">
        <w:rPr>
          <w:rFonts w:ascii="Times New Roman" w:hAnsi="Times New Roman" w:cs="Times New Roman"/>
          <w:i/>
          <w:iCs/>
        </w:rPr>
        <w:t>d</w:t>
      </w:r>
      <w:r w:rsidRPr="00774013">
        <w:rPr>
          <w:rFonts w:ascii="Times New Roman" w:hAnsi="Times New Roman" w:cs="Times New Roman"/>
        </w:rPr>
        <w:t>) except where any enactment provides otherwise, three years, in the case of any other debt.”</w:t>
      </w:r>
    </w:p>
    <w:p w:rsidR="00217833" w:rsidRPr="0056455C" w:rsidRDefault="00217833" w:rsidP="00774013">
      <w:pPr>
        <w:autoSpaceDE w:val="0"/>
        <w:autoSpaceDN w:val="0"/>
        <w:adjustRightInd w:val="0"/>
        <w:spacing w:after="0" w:line="360" w:lineRule="auto"/>
        <w:jc w:val="both"/>
        <w:rPr>
          <w:rFonts w:ascii="Times New Roman" w:hAnsi="Times New Roman" w:cs="Times New Roman"/>
          <w:sz w:val="24"/>
          <w:szCs w:val="24"/>
        </w:rPr>
      </w:pPr>
    </w:p>
    <w:p w:rsidR="004C1735" w:rsidRPr="0056455C" w:rsidRDefault="009E299C" w:rsidP="00774013">
      <w:pPr>
        <w:pStyle w:val="NormalWeb"/>
        <w:shd w:val="clear" w:color="auto" w:fill="FFFFFF"/>
        <w:spacing w:before="0" w:beforeAutospacing="0" w:line="360" w:lineRule="auto"/>
        <w:ind w:firstLine="720"/>
        <w:jc w:val="both"/>
      </w:pPr>
      <w:r w:rsidRPr="0056455C">
        <w:lastRenderedPageBreak/>
        <w:t xml:space="preserve">The </w:t>
      </w:r>
      <w:r w:rsidR="0095306C">
        <w:t xml:space="preserve">first </w:t>
      </w:r>
      <w:r w:rsidRPr="0056455C">
        <w:t xml:space="preserve">question to be determined therefore is whether </w:t>
      </w:r>
      <w:r w:rsidR="00217833" w:rsidRPr="0056455C">
        <w:t>the appointment of Frank Mapuvire as heir in 1990 was anything which could be sued for or claimed by reason of an obligation arising from statute, contract, delict or otherwise.</w:t>
      </w:r>
    </w:p>
    <w:p w:rsidR="00851C62" w:rsidRPr="0056455C" w:rsidRDefault="004C1735" w:rsidP="00774013">
      <w:pPr>
        <w:pStyle w:val="NormalWeb"/>
        <w:shd w:val="clear" w:color="auto" w:fill="FFFFFF"/>
        <w:spacing w:before="0" w:beforeAutospacing="0" w:after="0" w:afterAutospacing="0" w:line="360" w:lineRule="auto"/>
        <w:ind w:firstLine="720"/>
        <w:jc w:val="both"/>
      </w:pPr>
      <w:r w:rsidRPr="0056455C">
        <w:t xml:space="preserve">In the case of </w:t>
      </w:r>
      <w:r w:rsidRPr="00D15E74">
        <w:rPr>
          <w:i/>
        </w:rPr>
        <w:t xml:space="preserve">Ndlovu </w:t>
      </w:r>
      <w:r w:rsidRPr="00774013">
        <w:rPr>
          <w:iCs/>
        </w:rPr>
        <w:t>v</w:t>
      </w:r>
      <w:r w:rsidRPr="00D15E74">
        <w:rPr>
          <w:i/>
        </w:rPr>
        <w:t xml:space="preserve"> Ndlovu &amp; Anor</w:t>
      </w:r>
      <w:r w:rsidRPr="0056455C">
        <w:t xml:space="preserve"> 2013 (1) ZLR 110, </w:t>
      </w:r>
      <w:r w:rsidR="00D15E74">
        <w:t xml:space="preserve">the Honourable </w:t>
      </w:r>
      <w:r w:rsidR="00774013" w:rsidRPr="00774013">
        <w:rPr>
          <w:smallCaps/>
        </w:rPr>
        <w:t>ndou</w:t>
      </w:r>
      <w:r w:rsidR="00774013" w:rsidRPr="0056455C">
        <w:t xml:space="preserve"> </w:t>
      </w:r>
      <w:r w:rsidR="00D15E74" w:rsidRPr="0056455C">
        <w:t>J</w:t>
      </w:r>
      <w:r w:rsidRPr="0056455C">
        <w:t xml:space="preserve"> dealt with a </w:t>
      </w:r>
      <w:r w:rsidR="00E831AB" w:rsidRPr="0056455C">
        <w:t>case on all fours as this one.</w:t>
      </w:r>
      <w:r w:rsidR="00774013">
        <w:t xml:space="preserve"> </w:t>
      </w:r>
      <w:r w:rsidR="00E831AB" w:rsidRPr="0056455C">
        <w:t xml:space="preserve"> Therein the applicant </w:t>
      </w:r>
      <w:r w:rsidR="00851C62" w:rsidRPr="0056455C">
        <w:t>sought a</w:t>
      </w:r>
      <w:r w:rsidR="00E831AB" w:rsidRPr="0056455C">
        <w:t xml:space="preserve"> declaratory order to the effect that the purported sale of his house to the first defendant was unlawful and void and for an order res</w:t>
      </w:r>
      <w:r w:rsidR="00851C62" w:rsidRPr="0056455C">
        <w:t>t</w:t>
      </w:r>
      <w:r w:rsidR="00E831AB" w:rsidRPr="0056455C">
        <w:t xml:space="preserve">oring possession of the house to him. </w:t>
      </w:r>
      <w:r w:rsidR="00774013">
        <w:t xml:space="preserve"> </w:t>
      </w:r>
      <w:r w:rsidR="00E831AB" w:rsidRPr="0056455C">
        <w:t xml:space="preserve">The application was made well over three years after the </w:t>
      </w:r>
      <w:r w:rsidR="00851C62" w:rsidRPr="0056455C">
        <w:t xml:space="preserve">first </w:t>
      </w:r>
      <w:r w:rsidR="00E831AB" w:rsidRPr="0056455C">
        <w:t>defendant</w:t>
      </w:r>
      <w:r w:rsidR="00851C62" w:rsidRPr="0056455C">
        <w:t xml:space="preserve"> had taken possession of the house and the issue was whether the claim had prescribed in terms of the Prescription Act.</w:t>
      </w:r>
    </w:p>
    <w:p w:rsidR="00067C38" w:rsidRPr="0056455C" w:rsidRDefault="00D15E74" w:rsidP="007740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Honourable </w:t>
      </w:r>
      <w:r w:rsidR="00774013" w:rsidRPr="00774013">
        <w:rPr>
          <w:rFonts w:ascii="Times New Roman" w:hAnsi="Times New Roman" w:cs="Times New Roman"/>
          <w:smallCaps/>
          <w:sz w:val="24"/>
          <w:szCs w:val="24"/>
        </w:rPr>
        <w:t>ndou</w:t>
      </w:r>
      <w:r w:rsidR="00774013" w:rsidRPr="0056455C">
        <w:rPr>
          <w:rFonts w:ascii="Times New Roman" w:hAnsi="Times New Roman" w:cs="Times New Roman"/>
          <w:sz w:val="24"/>
          <w:szCs w:val="24"/>
        </w:rPr>
        <w:t xml:space="preserve"> </w:t>
      </w:r>
      <w:r w:rsidR="00851C62" w:rsidRPr="0056455C">
        <w:rPr>
          <w:rFonts w:ascii="Times New Roman" w:hAnsi="Times New Roman" w:cs="Times New Roman"/>
          <w:sz w:val="24"/>
          <w:szCs w:val="24"/>
        </w:rPr>
        <w:t>J distinguished between a debt as defined in s 2 of the Pr</w:t>
      </w:r>
      <w:r w:rsidR="00067C38" w:rsidRPr="0056455C">
        <w:rPr>
          <w:rFonts w:ascii="Times New Roman" w:hAnsi="Times New Roman" w:cs="Times New Roman"/>
          <w:sz w:val="24"/>
          <w:szCs w:val="24"/>
        </w:rPr>
        <w:t>escription Act and public rights.</w:t>
      </w:r>
      <w:r w:rsidR="00774013">
        <w:rPr>
          <w:rFonts w:ascii="Times New Roman" w:hAnsi="Times New Roman" w:cs="Times New Roman"/>
          <w:sz w:val="24"/>
          <w:szCs w:val="24"/>
        </w:rPr>
        <w:t xml:space="preserve"> </w:t>
      </w:r>
      <w:r w:rsidR="00067C38" w:rsidRPr="0056455C">
        <w:rPr>
          <w:rFonts w:ascii="Times New Roman" w:hAnsi="Times New Roman" w:cs="Times New Roman"/>
          <w:sz w:val="24"/>
          <w:szCs w:val="24"/>
        </w:rPr>
        <w:t xml:space="preserve"> His reasoning which I fully associate with went as follows</w:t>
      </w:r>
      <w:r w:rsidR="00851C62" w:rsidRPr="0056455C">
        <w:rPr>
          <w:rFonts w:ascii="Times New Roman" w:hAnsi="Times New Roman" w:cs="Times New Roman"/>
          <w:sz w:val="24"/>
          <w:szCs w:val="24"/>
        </w:rPr>
        <w:tab/>
      </w:r>
    </w:p>
    <w:p w:rsidR="00851C62" w:rsidRPr="00774013" w:rsidRDefault="00067C38" w:rsidP="00774013">
      <w:pPr>
        <w:spacing w:line="240" w:lineRule="auto"/>
        <w:ind w:left="720"/>
        <w:jc w:val="both"/>
        <w:rPr>
          <w:rFonts w:ascii="Times New Roman" w:hAnsi="Times New Roman" w:cs="Times New Roman"/>
        </w:rPr>
      </w:pPr>
      <w:r w:rsidRPr="00774013">
        <w:rPr>
          <w:rFonts w:ascii="Times New Roman" w:hAnsi="Times New Roman" w:cs="Times New Roman"/>
        </w:rPr>
        <w:t>“</w:t>
      </w:r>
      <w:r w:rsidR="00851C62" w:rsidRPr="00774013">
        <w:rPr>
          <w:rFonts w:ascii="Times New Roman" w:hAnsi="Times New Roman" w:cs="Times New Roman"/>
        </w:rPr>
        <w:t xml:space="preserve">The point worth noting in this definition of “debt’ is that the suit or claim must be “by reason of obligation” on the part of the debtor arising from the stated bases.  In my view, a declaratory order is a remedy to secure the public interest of certainty or correct legal position.  Such a remedy cannot prescribe – </w:t>
      </w:r>
      <w:r w:rsidR="00851C62" w:rsidRPr="00774013">
        <w:rPr>
          <w:rFonts w:ascii="Times New Roman" w:hAnsi="Times New Roman" w:cs="Times New Roman"/>
          <w:i/>
        </w:rPr>
        <w:t>Oertel NNO</w:t>
      </w:r>
      <w:r w:rsidR="00851C62" w:rsidRPr="00774013">
        <w:rPr>
          <w:rFonts w:ascii="Times New Roman" w:hAnsi="Times New Roman" w:cs="Times New Roman"/>
        </w:rPr>
        <w:t xml:space="preserve"> v </w:t>
      </w:r>
      <w:r w:rsidR="00851C62" w:rsidRPr="00774013">
        <w:rPr>
          <w:rFonts w:ascii="Times New Roman" w:hAnsi="Times New Roman" w:cs="Times New Roman"/>
          <w:i/>
        </w:rPr>
        <w:t>Director of Local Government</w:t>
      </w:r>
      <w:r w:rsidR="00851C62" w:rsidRPr="00774013">
        <w:rPr>
          <w:rFonts w:ascii="Times New Roman" w:hAnsi="Times New Roman" w:cs="Times New Roman"/>
        </w:rPr>
        <w:t xml:space="preserve"> 1981 (4) SA 491 (T) at 492.  In this case the court held –</w:t>
      </w:r>
    </w:p>
    <w:p w:rsidR="00851C62" w:rsidRPr="00774013" w:rsidRDefault="00851C62" w:rsidP="00774013">
      <w:pPr>
        <w:spacing w:line="240" w:lineRule="auto"/>
        <w:ind w:left="720"/>
        <w:jc w:val="both"/>
        <w:rPr>
          <w:rFonts w:ascii="Times New Roman" w:hAnsi="Times New Roman" w:cs="Times New Roman"/>
        </w:rPr>
      </w:pPr>
      <w:r w:rsidRPr="00774013">
        <w:rPr>
          <w:rFonts w:ascii="Times New Roman" w:hAnsi="Times New Roman" w:cs="Times New Roman"/>
        </w:rPr>
        <w:t>“Public rights are excluded from the operation of the Prescription Act … and “debt” in the Act must be necessarily restricted to such claims as arisen in the field of private law.  Whilst every debt encompasses an obligation not every obligation constitutes a debt for the purposes of the Prescription Act.”</w:t>
      </w:r>
    </w:p>
    <w:p w:rsidR="00851C62" w:rsidRPr="0056455C" w:rsidRDefault="00851C62" w:rsidP="00774013">
      <w:pPr>
        <w:spacing w:line="360" w:lineRule="auto"/>
        <w:jc w:val="both"/>
        <w:rPr>
          <w:rFonts w:ascii="Times New Roman" w:hAnsi="Times New Roman" w:cs="Times New Roman"/>
          <w:sz w:val="24"/>
          <w:szCs w:val="24"/>
        </w:rPr>
      </w:pPr>
      <w:r w:rsidRPr="0056455C">
        <w:rPr>
          <w:rFonts w:ascii="Times New Roman" w:hAnsi="Times New Roman" w:cs="Times New Roman"/>
          <w:sz w:val="24"/>
          <w:szCs w:val="24"/>
        </w:rPr>
        <w:tab/>
        <w:t xml:space="preserve">Further the claim is based on the fact that sale is null and void </w:t>
      </w:r>
      <w:r w:rsidRPr="0056455C">
        <w:rPr>
          <w:rFonts w:ascii="Times New Roman" w:hAnsi="Times New Roman" w:cs="Times New Roman"/>
          <w:i/>
          <w:sz w:val="24"/>
          <w:szCs w:val="24"/>
        </w:rPr>
        <w:t>ab initio</w:t>
      </w:r>
      <w:r w:rsidRPr="0056455C">
        <w:rPr>
          <w:rFonts w:ascii="Times New Roman" w:hAnsi="Times New Roman" w:cs="Times New Roman"/>
          <w:sz w:val="24"/>
          <w:szCs w:val="24"/>
        </w:rPr>
        <w:t xml:space="preserve">.  As stated by Lord Dennington in </w:t>
      </w:r>
      <w:r w:rsidRPr="0056455C">
        <w:rPr>
          <w:rFonts w:ascii="Times New Roman" w:hAnsi="Times New Roman" w:cs="Times New Roman"/>
          <w:i/>
          <w:sz w:val="24"/>
          <w:szCs w:val="24"/>
        </w:rPr>
        <w:t>MacFoy</w:t>
      </w:r>
      <w:r w:rsidRPr="0056455C">
        <w:rPr>
          <w:rFonts w:ascii="Times New Roman" w:hAnsi="Times New Roman" w:cs="Times New Roman"/>
          <w:sz w:val="24"/>
          <w:szCs w:val="24"/>
        </w:rPr>
        <w:t xml:space="preserve"> v </w:t>
      </w:r>
      <w:r w:rsidRPr="0056455C">
        <w:rPr>
          <w:rFonts w:ascii="Times New Roman" w:hAnsi="Times New Roman" w:cs="Times New Roman"/>
          <w:i/>
          <w:sz w:val="24"/>
          <w:szCs w:val="24"/>
        </w:rPr>
        <w:t>United Africa Co. Ltd</w:t>
      </w:r>
      <w:r w:rsidRPr="0056455C">
        <w:rPr>
          <w:rFonts w:ascii="Times New Roman" w:hAnsi="Times New Roman" w:cs="Times New Roman"/>
          <w:sz w:val="24"/>
          <w:szCs w:val="24"/>
        </w:rPr>
        <w:t xml:space="preserve"> (1961) ALL ER 1169 (PC) at 1172 –</w:t>
      </w:r>
    </w:p>
    <w:p w:rsidR="00851C62" w:rsidRPr="00774013" w:rsidRDefault="00851C62" w:rsidP="00774013">
      <w:pPr>
        <w:spacing w:line="240" w:lineRule="auto"/>
        <w:ind w:left="720"/>
        <w:jc w:val="both"/>
        <w:rPr>
          <w:rFonts w:ascii="Times New Roman" w:hAnsi="Times New Roman" w:cs="Times New Roman"/>
        </w:rPr>
      </w:pPr>
      <w:r w:rsidRPr="00774013">
        <w:rPr>
          <w:rFonts w:ascii="Times New Roman" w:hAnsi="Times New Roman" w:cs="Times New Roman"/>
        </w:rPr>
        <w:t xml:space="preserve">“If an act is void, then it is in law a nullity.  It is not only bad, but incurably bad.  There is no need for an order of the court to set it aside.  It is automatically null and void without much ado, though it is convenient to have the court declare it to be so … you cannot put something on nothing and expect it to stay there.  It will collapse …” – </w:t>
      </w:r>
      <w:r w:rsidRPr="00774013">
        <w:rPr>
          <w:rFonts w:ascii="Times New Roman" w:hAnsi="Times New Roman" w:cs="Times New Roman"/>
          <w:i/>
        </w:rPr>
        <w:t>Ngani</w:t>
      </w:r>
      <w:r w:rsidRPr="00774013">
        <w:rPr>
          <w:rFonts w:ascii="Times New Roman" w:hAnsi="Times New Roman" w:cs="Times New Roman"/>
        </w:rPr>
        <w:t xml:space="preserve"> v </w:t>
      </w:r>
      <w:r w:rsidRPr="00774013">
        <w:rPr>
          <w:rFonts w:ascii="Times New Roman" w:hAnsi="Times New Roman" w:cs="Times New Roman"/>
          <w:i/>
        </w:rPr>
        <w:t>Mbanje &amp; Anor</w:t>
      </w:r>
      <w:r w:rsidRPr="00774013">
        <w:rPr>
          <w:rFonts w:ascii="Times New Roman" w:hAnsi="Times New Roman" w:cs="Times New Roman"/>
        </w:rPr>
        <w:t xml:space="preserve"> 1987</w:t>
      </w:r>
      <w:r w:rsidR="00067C38" w:rsidRPr="00774013">
        <w:rPr>
          <w:rFonts w:ascii="Times New Roman" w:hAnsi="Times New Roman" w:cs="Times New Roman"/>
        </w:rPr>
        <w:t xml:space="preserve"> (2) ZLR 111 (SC) at 115E – F.</w:t>
      </w:r>
      <w:r w:rsidR="00774013" w:rsidRPr="00774013">
        <w:rPr>
          <w:rFonts w:ascii="Times New Roman" w:hAnsi="Times New Roman" w:cs="Times New Roman"/>
        </w:rPr>
        <w:t>”</w:t>
      </w:r>
    </w:p>
    <w:p w:rsidR="0056455C" w:rsidRPr="0056455C" w:rsidRDefault="00D15E74" w:rsidP="007740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67C38" w:rsidRPr="0056455C">
        <w:rPr>
          <w:rFonts w:ascii="Times New Roman" w:hAnsi="Times New Roman" w:cs="Times New Roman"/>
          <w:sz w:val="24"/>
          <w:szCs w:val="24"/>
        </w:rPr>
        <w:t xml:space="preserve"> claim</w:t>
      </w:r>
      <w:r>
        <w:rPr>
          <w:rFonts w:ascii="Times New Roman" w:hAnsi="Times New Roman" w:cs="Times New Roman"/>
          <w:sz w:val="24"/>
          <w:szCs w:val="24"/>
        </w:rPr>
        <w:t xml:space="preserve"> in </w:t>
      </w:r>
      <w:r w:rsidRPr="00D15E74">
        <w:rPr>
          <w:rFonts w:ascii="Times New Roman" w:hAnsi="Times New Roman" w:cs="Times New Roman"/>
          <w:i/>
          <w:sz w:val="24"/>
          <w:szCs w:val="24"/>
        </w:rPr>
        <w:t>casu</w:t>
      </w:r>
      <w:r w:rsidR="00067C38" w:rsidRPr="0056455C">
        <w:rPr>
          <w:rFonts w:ascii="Times New Roman" w:hAnsi="Times New Roman" w:cs="Times New Roman"/>
          <w:sz w:val="24"/>
          <w:szCs w:val="24"/>
        </w:rPr>
        <w:t xml:space="preserve"> is based on the alleged nullity which is the appointment of Frank Matonhodze as heir in 1990.</w:t>
      </w:r>
      <w:r w:rsidR="00774013">
        <w:rPr>
          <w:rFonts w:ascii="Times New Roman" w:hAnsi="Times New Roman" w:cs="Times New Roman"/>
          <w:sz w:val="24"/>
          <w:szCs w:val="24"/>
        </w:rPr>
        <w:t xml:space="preserve"> </w:t>
      </w:r>
      <w:r w:rsidR="00067C38" w:rsidRPr="0056455C">
        <w:rPr>
          <w:rFonts w:ascii="Times New Roman" w:hAnsi="Times New Roman" w:cs="Times New Roman"/>
          <w:sz w:val="24"/>
          <w:szCs w:val="24"/>
        </w:rPr>
        <w:t xml:space="preserve"> This declaratory order is a remedy to secure the public interest of certainty</w:t>
      </w:r>
      <w:r w:rsidR="0056455C" w:rsidRPr="0056455C">
        <w:rPr>
          <w:rFonts w:ascii="Times New Roman" w:hAnsi="Times New Roman" w:cs="Times New Roman"/>
          <w:sz w:val="24"/>
          <w:szCs w:val="24"/>
        </w:rPr>
        <w:t xml:space="preserve"> or the correct legal position regarding whether the appointment of an heir for a person married in terms of the general law was a nullity. </w:t>
      </w:r>
      <w:r w:rsidR="00774013">
        <w:rPr>
          <w:rFonts w:ascii="Times New Roman" w:hAnsi="Times New Roman" w:cs="Times New Roman"/>
          <w:sz w:val="24"/>
          <w:szCs w:val="24"/>
        </w:rPr>
        <w:t xml:space="preserve"> </w:t>
      </w:r>
      <w:r w:rsidR="0056455C" w:rsidRPr="0056455C">
        <w:rPr>
          <w:rFonts w:ascii="Times New Roman" w:hAnsi="Times New Roman" w:cs="Times New Roman"/>
          <w:sz w:val="24"/>
          <w:szCs w:val="24"/>
        </w:rPr>
        <w:t>I believe that such a matter cannot prescribe. This is the kind of “debt” which would be excluded from the operation of s 15 of the Prescription Act.</w:t>
      </w:r>
    </w:p>
    <w:p w:rsidR="0056455C" w:rsidRDefault="0056455C"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lastRenderedPageBreak/>
        <w:t xml:space="preserve">I therefore find no merit in the point </w:t>
      </w:r>
      <w:r w:rsidRPr="00774013">
        <w:rPr>
          <w:rFonts w:ascii="Times New Roman" w:hAnsi="Times New Roman" w:cs="Times New Roman"/>
          <w:i/>
          <w:iCs/>
          <w:sz w:val="24"/>
          <w:szCs w:val="24"/>
        </w:rPr>
        <w:t xml:space="preserve">in </w:t>
      </w:r>
      <w:r w:rsidRPr="009A372A">
        <w:rPr>
          <w:rFonts w:ascii="Times New Roman" w:hAnsi="Times New Roman" w:cs="Times New Roman"/>
          <w:i/>
          <w:sz w:val="24"/>
          <w:szCs w:val="24"/>
        </w:rPr>
        <w:t>limine</w:t>
      </w:r>
      <w:r w:rsidRPr="0056455C">
        <w:rPr>
          <w:rFonts w:ascii="Times New Roman" w:hAnsi="Times New Roman" w:cs="Times New Roman"/>
          <w:sz w:val="24"/>
          <w:szCs w:val="24"/>
        </w:rPr>
        <w:t xml:space="preserve"> on prescription</w:t>
      </w:r>
      <w:r w:rsidR="00D15E74">
        <w:rPr>
          <w:rFonts w:ascii="Times New Roman" w:hAnsi="Times New Roman" w:cs="Times New Roman"/>
          <w:sz w:val="24"/>
          <w:szCs w:val="24"/>
        </w:rPr>
        <w:t xml:space="preserve"> in terms of s 15 of the Prescription Act</w:t>
      </w:r>
      <w:r w:rsidRPr="0056455C">
        <w:rPr>
          <w:rFonts w:ascii="Times New Roman" w:hAnsi="Times New Roman" w:cs="Times New Roman"/>
          <w:sz w:val="24"/>
          <w:szCs w:val="24"/>
        </w:rPr>
        <w:t>.</w:t>
      </w:r>
    </w:p>
    <w:p w:rsidR="00774013" w:rsidRDefault="00774013" w:rsidP="00774013">
      <w:pPr>
        <w:spacing w:after="0" w:line="360" w:lineRule="auto"/>
        <w:ind w:firstLine="720"/>
        <w:jc w:val="both"/>
        <w:rPr>
          <w:rFonts w:ascii="Times New Roman" w:hAnsi="Times New Roman" w:cs="Times New Roman"/>
          <w:sz w:val="24"/>
          <w:szCs w:val="24"/>
        </w:rPr>
      </w:pPr>
    </w:p>
    <w:p w:rsidR="00774013" w:rsidRDefault="00774013" w:rsidP="00774013">
      <w:pPr>
        <w:spacing w:after="0" w:line="360" w:lineRule="auto"/>
        <w:ind w:firstLine="720"/>
        <w:jc w:val="both"/>
        <w:rPr>
          <w:rFonts w:ascii="Times New Roman" w:hAnsi="Times New Roman" w:cs="Times New Roman"/>
          <w:sz w:val="24"/>
          <w:szCs w:val="24"/>
        </w:rPr>
      </w:pPr>
    </w:p>
    <w:p w:rsidR="00C84F48" w:rsidRPr="0056455C" w:rsidRDefault="00C84F48" w:rsidP="00774013">
      <w:pPr>
        <w:spacing w:after="0" w:line="360" w:lineRule="auto"/>
        <w:jc w:val="both"/>
        <w:rPr>
          <w:rFonts w:ascii="Times New Roman" w:hAnsi="Times New Roman" w:cs="Times New Roman"/>
          <w:sz w:val="24"/>
          <w:szCs w:val="24"/>
        </w:rPr>
      </w:pPr>
      <w:r w:rsidRPr="0056455C">
        <w:rPr>
          <w:rFonts w:ascii="Times New Roman" w:hAnsi="Times New Roman" w:cs="Times New Roman"/>
          <w:b/>
          <w:sz w:val="24"/>
          <w:szCs w:val="24"/>
        </w:rPr>
        <w:t>Whether there are material disputes of fact in this matter necessitating referral to trial</w:t>
      </w:r>
      <w:r w:rsidRPr="0056455C">
        <w:rPr>
          <w:rFonts w:ascii="Times New Roman" w:hAnsi="Times New Roman" w:cs="Times New Roman"/>
          <w:sz w:val="24"/>
          <w:szCs w:val="24"/>
        </w:rPr>
        <w:t xml:space="preserve"> </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Mavhiringidze pointed to four areas in which there are material disputes of fact.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The first is that there is a material dispute of fact regarding who acquired the Chivi house, when and how it was acquired and that there is need for witnesses to be called to testify on this.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The same was said to apply to the Chamahota store. </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The second issue was said to relate to what transpired before the Chibi Community Court on 1 October 1990 beyond what is reflected on the record regarding the names and details of those who attended the next of kin meeting.</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It was argued that the court record would shed light on whether the late Nelly Mapuvire who was present together with her mother in law, brother in law, aunt and son, voluntarily ceded her rights to Frank Mapuvire. </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It was also stated that the papers on record do not show when the applicant became aware of the Chibi Community Court proceedings.</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Lastly, it was submitted that it was unclear whether the late Edward Gwainda Mapuvire and Nellie Mapuvire were married in terms of the general law as the marriage certificate did not reflect the marriage regime.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It was prayed that the matter should be referred to trial.</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w:t>
      </w:r>
      <w:r w:rsidRPr="009A372A">
        <w:rPr>
          <w:rFonts w:ascii="Times New Roman" w:hAnsi="Times New Roman" w:cs="Times New Roman"/>
          <w:i/>
          <w:sz w:val="24"/>
          <w:szCs w:val="24"/>
        </w:rPr>
        <w:t>Chipetiwa</w:t>
      </w:r>
      <w:r w:rsidRPr="0056455C">
        <w:rPr>
          <w:rFonts w:ascii="Times New Roman" w:hAnsi="Times New Roman" w:cs="Times New Roman"/>
          <w:sz w:val="24"/>
          <w:szCs w:val="24"/>
        </w:rPr>
        <w:t xml:space="preserve"> submitted that there is no dispute of fact regarding the fact that the Chibi Community Court issued out a certificate of heir and that this is the material issue. Everything else surrounding this was said to be incidental.</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w:t>
      </w:r>
      <w:r w:rsidRPr="009A372A">
        <w:rPr>
          <w:rFonts w:ascii="Times New Roman" w:hAnsi="Times New Roman" w:cs="Times New Roman"/>
          <w:i/>
          <w:sz w:val="24"/>
          <w:szCs w:val="24"/>
        </w:rPr>
        <w:t>Chipetiwa</w:t>
      </w:r>
      <w:r w:rsidRPr="0056455C">
        <w:rPr>
          <w:rFonts w:ascii="Times New Roman" w:hAnsi="Times New Roman" w:cs="Times New Roman"/>
          <w:sz w:val="24"/>
          <w:szCs w:val="24"/>
        </w:rPr>
        <w:t xml:space="preserve"> conceded that there is a material dispute of fact regarding the Chivi house and indicated that they are willing to abandon the claim in relation to the house.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On the Chamahota store, it was submitted that there can be no dispute of fact as the respondents conceded in their notice of opposition on p 18 of record, para 7, that the store was acquired by the late Edward Gwainda Mapuvire.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It was prayed that the material disputes point be dismissed and the matter be referred to trial.</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Material disputes of fact have been said to arise when material facts alleged by the applicant are disputed and traversed by the respondent in such a manner as to leave the Court with no ready </w:t>
      </w:r>
      <w:r w:rsidRPr="0056455C">
        <w:rPr>
          <w:rFonts w:ascii="Times New Roman" w:hAnsi="Times New Roman" w:cs="Times New Roman"/>
          <w:sz w:val="24"/>
          <w:szCs w:val="24"/>
        </w:rPr>
        <w:lastRenderedPageBreak/>
        <w:t xml:space="preserve">answer to the dispute between the parties in the absence of further evidence.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See </w:t>
      </w:r>
      <w:r w:rsidRPr="009A372A">
        <w:rPr>
          <w:rFonts w:ascii="Times New Roman" w:hAnsi="Times New Roman" w:cs="Times New Roman"/>
          <w:i/>
          <w:sz w:val="24"/>
          <w:szCs w:val="24"/>
        </w:rPr>
        <w:t xml:space="preserve">Supa Plant Investments (Pvt) Ltd </w:t>
      </w:r>
      <w:r w:rsidRPr="00774013">
        <w:rPr>
          <w:rFonts w:ascii="Times New Roman" w:hAnsi="Times New Roman" w:cs="Times New Roman"/>
          <w:iCs/>
          <w:sz w:val="24"/>
          <w:szCs w:val="24"/>
        </w:rPr>
        <w:t>v</w:t>
      </w:r>
      <w:r w:rsidRPr="009A372A">
        <w:rPr>
          <w:rFonts w:ascii="Times New Roman" w:hAnsi="Times New Roman" w:cs="Times New Roman"/>
          <w:i/>
          <w:sz w:val="24"/>
          <w:szCs w:val="24"/>
        </w:rPr>
        <w:t xml:space="preserve"> Chidavaenzi</w:t>
      </w:r>
      <w:r w:rsidRPr="0056455C">
        <w:rPr>
          <w:rFonts w:ascii="Times New Roman" w:hAnsi="Times New Roman" w:cs="Times New Roman"/>
          <w:sz w:val="24"/>
          <w:szCs w:val="24"/>
        </w:rPr>
        <w:t xml:space="preserve"> 2009 (2) ZLR 132 (H) </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A material dispute of fact was indeed evident from the papers regarding the Chivi house but since the applicant elected to abandon the inclusion of the Chivi house in this matter, the point </w:t>
      </w:r>
      <w:r w:rsidRPr="00774013">
        <w:rPr>
          <w:rFonts w:ascii="Times New Roman" w:hAnsi="Times New Roman" w:cs="Times New Roman"/>
          <w:i/>
          <w:iCs/>
          <w:sz w:val="24"/>
          <w:szCs w:val="24"/>
        </w:rPr>
        <w:t>in</w:t>
      </w:r>
      <w:r w:rsidRPr="0056455C">
        <w:rPr>
          <w:rFonts w:ascii="Times New Roman" w:hAnsi="Times New Roman" w:cs="Times New Roman"/>
          <w:sz w:val="24"/>
          <w:szCs w:val="24"/>
        </w:rPr>
        <w:t xml:space="preserve"> </w:t>
      </w:r>
      <w:r w:rsidRPr="009A372A">
        <w:rPr>
          <w:rFonts w:ascii="Times New Roman" w:hAnsi="Times New Roman" w:cs="Times New Roman"/>
          <w:i/>
          <w:sz w:val="24"/>
          <w:szCs w:val="24"/>
        </w:rPr>
        <w:t xml:space="preserve">limine </w:t>
      </w:r>
      <w:r w:rsidRPr="0056455C">
        <w:rPr>
          <w:rFonts w:ascii="Times New Roman" w:hAnsi="Times New Roman" w:cs="Times New Roman"/>
          <w:sz w:val="24"/>
          <w:szCs w:val="24"/>
        </w:rPr>
        <w:t>cannot be sustained on the basis of this property.</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The papers resolve the issue of the Chamahota store as it is common cause that the property was acquired by the late Edward Gwainda Mapuvire.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There can be no material dispute of fact in that respect.</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Issues surrounding the issuance of a certificate of heir to the late Frank Mapuvire cannot be material to the dispute at hand.</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The applicant is seeking to challenge the validity of the certificate of heir issued by the Community Court on the basis that the court had no jurisdiction to act as it did since the late Edward Gwainda Mapuvire was married in terms of general law and not customary law. </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That is the crisp legal question to be determined and the papers sufficiently show that there is no dispute of fact on the material issue</w:t>
      </w:r>
      <w:r w:rsidR="009A372A">
        <w:rPr>
          <w:rFonts w:ascii="Times New Roman" w:hAnsi="Times New Roman" w:cs="Times New Roman"/>
          <w:sz w:val="24"/>
          <w:szCs w:val="24"/>
        </w:rPr>
        <w:t xml:space="preserve"> as the existence of the marriage is evident from the papers as is the certificate of heir leaving no dispute as to whether the late Frank Mapuvire was appointed as heir by Community Court</w:t>
      </w:r>
      <w:r w:rsidRPr="0056455C">
        <w:rPr>
          <w:rFonts w:ascii="Times New Roman" w:hAnsi="Times New Roman" w:cs="Times New Roman"/>
          <w:sz w:val="24"/>
          <w:szCs w:val="24"/>
        </w:rPr>
        <w:t>.</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Mr </w:t>
      </w:r>
      <w:r w:rsidRPr="009A372A">
        <w:rPr>
          <w:rFonts w:ascii="Times New Roman" w:hAnsi="Times New Roman" w:cs="Times New Roman"/>
          <w:i/>
          <w:sz w:val="24"/>
          <w:szCs w:val="24"/>
        </w:rPr>
        <w:t>Mavhiringidze</w:t>
      </w:r>
      <w:r w:rsidRPr="0056455C">
        <w:rPr>
          <w:rFonts w:ascii="Times New Roman" w:hAnsi="Times New Roman" w:cs="Times New Roman"/>
          <w:sz w:val="24"/>
          <w:szCs w:val="24"/>
        </w:rPr>
        <w:t xml:space="preserve"> sought to introduce a new dispute of fact in his oral submissions by questioning whether the l</w:t>
      </w:r>
      <w:r w:rsidR="009A372A">
        <w:rPr>
          <w:rFonts w:ascii="Times New Roman" w:hAnsi="Times New Roman" w:cs="Times New Roman"/>
          <w:sz w:val="24"/>
          <w:szCs w:val="24"/>
        </w:rPr>
        <w:t>ate Edward Gwainda Mapuvire was</w:t>
      </w:r>
      <w:r w:rsidRPr="0056455C">
        <w:rPr>
          <w:rFonts w:ascii="Times New Roman" w:hAnsi="Times New Roman" w:cs="Times New Roman"/>
          <w:sz w:val="24"/>
          <w:szCs w:val="24"/>
        </w:rPr>
        <w:t xml:space="preserve"> married in terms of general law as the marriage certificate was not reflective of this.</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Mr </w:t>
      </w:r>
      <w:r w:rsidRPr="009A372A">
        <w:rPr>
          <w:rFonts w:ascii="Times New Roman" w:hAnsi="Times New Roman" w:cs="Times New Roman"/>
          <w:i/>
          <w:sz w:val="24"/>
          <w:szCs w:val="24"/>
        </w:rPr>
        <w:t xml:space="preserve">Chipetiwa </w:t>
      </w:r>
      <w:r w:rsidRPr="0056455C">
        <w:rPr>
          <w:rFonts w:ascii="Times New Roman" w:hAnsi="Times New Roman" w:cs="Times New Roman"/>
          <w:sz w:val="24"/>
          <w:szCs w:val="24"/>
        </w:rPr>
        <w:t>objected to this and I upheld the objection on the basis that the respondents on p 18 of the record, in the opposing affidavit unequivocally agreed that the two were married in terms of the general law but questioned the law which would then be applicable to the estates of Africans who were so married.</w:t>
      </w:r>
      <w:r w:rsidR="00774013">
        <w:rPr>
          <w:rFonts w:ascii="Times New Roman" w:hAnsi="Times New Roman" w:cs="Times New Roman"/>
          <w:sz w:val="24"/>
          <w:szCs w:val="24"/>
        </w:rPr>
        <w:t xml:space="preserve"> </w:t>
      </w:r>
      <w:r w:rsidRPr="0056455C">
        <w:rPr>
          <w:rFonts w:ascii="Times New Roman" w:hAnsi="Times New Roman" w:cs="Times New Roman"/>
          <w:sz w:val="24"/>
          <w:szCs w:val="24"/>
        </w:rPr>
        <w:t xml:space="preserve"> That only leaves a question of law for determination and not a dispute of fact. </w:t>
      </w:r>
    </w:p>
    <w:p w:rsidR="00C84F48" w:rsidRPr="0056455C" w:rsidRDefault="00C84F48"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 xml:space="preserve">I find that there are no disputes of fact which should bar the court from proceeding to hear the matter on the merits and dismiss this point in </w:t>
      </w:r>
      <w:r w:rsidRPr="009A372A">
        <w:rPr>
          <w:rFonts w:ascii="Times New Roman" w:hAnsi="Times New Roman" w:cs="Times New Roman"/>
          <w:i/>
          <w:sz w:val="24"/>
          <w:szCs w:val="24"/>
        </w:rPr>
        <w:t>limine</w:t>
      </w:r>
      <w:r w:rsidRPr="0056455C">
        <w:rPr>
          <w:rFonts w:ascii="Times New Roman" w:hAnsi="Times New Roman" w:cs="Times New Roman"/>
          <w:sz w:val="24"/>
          <w:szCs w:val="24"/>
        </w:rPr>
        <w:t>.</w:t>
      </w:r>
    </w:p>
    <w:p w:rsidR="009A372A" w:rsidRDefault="0056455C" w:rsidP="00774013">
      <w:pPr>
        <w:spacing w:after="0" w:line="360" w:lineRule="auto"/>
        <w:ind w:firstLine="720"/>
        <w:jc w:val="both"/>
        <w:rPr>
          <w:rFonts w:ascii="Times New Roman" w:hAnsi="Times New Roman" w:cs="Times New Roman"/>
          <w:sz w:val="24"/>
          <w:szCs w:val="24"/>
        </w:rPr>
      </w:pPr>
      <w:r w:rsidRPr="0056455C">
        <w:rPr>
          <w:rFonts w:ascii="Times New Roman" w:hAnsi="Times New Roman" w:cs="Times New Roman"/>
          <w:sz w:val="24"/>
          <w:szCs w:val="24"/>
        </w:rPr>
        <w:t>Accordingly</w:t>
      </w:r>
      <w:r w:rsidR="00774013">
        <w:rPr>
          <w:rFonts w:ascii="Times New Roman" w:hAnsi="Times New Roman" w:cs="Times New Roman"/>
          <w:sz w:val="24"/>
          <w:szCs w:val="24"/>
        </w:rPr>
        <w:t>,</w:t>
      </w:r>
      <w:r w:rsidRPr="0056455C">
        <w:rPr>
          <w:rFonts w:ascii="Times New Roman" w:hAnsi="Times New Roman" w:cs="Times New Roman"/>
          <w:sz w:val="24"/>
          <w:szCs w:val="24"/>
        </w:rPr>
        <w:t xml:space="preserve"> all</w:t>
      </w:r>
      <w:r w:rsidR="0095306C">
        <w:rPr>
          <w:rFonts w:ascii="Times New Roman" w:hAnsi="Times New Roman" w:cs="Times New Roman"/>
          <w:sz w:val="24"/>
          <w:szCs w:val="24"/>
        </w:rPr>
        <w:t xml:space="preserve"> the</w:t>
      </w:r>
      <w:r w:rsidRPr="0056455C">
        <w:rPr>
          <w:rFonts w:ascii="Times New Roman" w:hAnsi="Times New Roman" w:cs="Times New Roman"/>
          <w:sz w:val="24"/>
          <w:szCs w:val="24"/>
        </w:rPr>
        <w:t xml:space="preserve"> points </w:t>
      </w:r>
      <w:r w:rsidRPr="00774013">
        <w:rPr>
          <w:rFonts w:ascii="Times New Roman" w:hAnsi="Times New Roman" w:cs="Times New Roman"/>
          <w:i/>
          <w:iCs/>
          <w:sz w:val="24"/>
          <w:szCs w:val="24"/>
        </w:rPr>
        <w:t xml:space="preserve">in </w:t>
      </w:r>
      <w:r w:rsidRPr="009A372A">
        <w:rPr>
          <w:rFonts w:ascii="Times New Roman" w:hAnsi="Times New Roman" w:cs="Times New Roman"/>
          <w:i/>
          <w:sz w:val="24"/>
          <w:szCs w:val="24"/>
        </w:rPr>
        <w:t xml:space="preserve">limine </w:t>
      </w:r>
      <w:r w:rsidRPr="0056455C">
        <w:rPr>
          <w:rFonts w:ascii="Times New Roman" w:hAnsi="Times New Roman" w:cs="Times New Roman"/>
          <w:sz w:val="24"/>
          <w:szCs w:val="24"/>
        </w:rPr>
        <w:t xml:space="preserve">are dismissed and the registrar is directed to set this matter down for </w:t>
      </w:r>
      <w:r w:rsidR="009A372A">
        <w:rPr>
          <w:rFonts w:ascii="Times New Roman" w:hAnsi="Times New Roman" w:cs="Times New Roman"/>
          <w:sz w:val="24"/>
          <w:szCs w:val="24"/>
        </w:rPr>
        <w:t xml:space="preserve">a </w:t>
      </w:r>
      <w:r w:rsidRPr="0056455C">
        <w:rPr>
          <w:rFonts w:ascii="Times New Roman" w:hAnsi="Times New Roman" w:cs="Times New Roman"/>
          <w:sz w:val="24"/>
          <w:szCs w:val="24"/>
        </w:rPr>
        <w:t>hearing on the merits at the next available date.</w:t>
      </w:r>
    </w:p>
    <w:p w:rsidR="009A372A" w:rsidRDefault="009A372A" w:rsidP="00774013">
      <w:pPr>
        <w:spacing w:line="360" w:lineRule="auto"/>
        <w:jc w:val="both"/>
        <w:rPr>
          <w:rFonts w:ascii="Times New Roman" w:hAnsi="Times New Roman" w:cs="Times New Roman"/>
          <w:sz w:val="24"/>
          <w:szCs w:val="24"/>
        </w:rPr>
      </w:pPr>
    </w:p>
    <w:p w:rsidR="009A372A" w:rsidRDefault="009A372A" w:rsidP="00774013">
      <w:pPr>
        <w:spacing w:line="360" w:lineRule="auto"/>
        <w:jc w:val="both"/>
        <w:rPr>
          <w:rFonts w:ascii="Times New Roman" w:hAnsi="Times New Roman" w:cs="Times New Roman"/>
          <w:sz w:val="24"/>
          <w:szCs w:val="24"/>
        </w:rPr>
      </w:pPr>
    </w:p>
    <w:p w:rsidR="009A372A" w:rsidRDefault="009A372A" w:rsidP="00774013">
      <w:pPr>
        <w:spacing w:after="0" w:line="240" w:lineRule="auto"/>
        <w:jc w:val="both"/>
        <w:rPr>
          <w:rFonts w:ascii="Times New Roman" w:hAnsi="Times New Roman" w:cs="Times New Roman"/>
          <w:sz w:val="24"/>
          <w:szCs w:val="24"/>
        </w:rPr>
      </w:pPr>
      <w:r w:rsidRPr="009A372A">
        <w:rPr>
          <w:rFonts w:ascii="Times New Roman" w:hAnsi="Times New Roman" w:cs="Times New Roman"/>
          <w:i/>
          <w:sz w:val="24"/>
          <w:szCs w:val="24"/>
        </w:rPr>
        <w:t>Maringe &amp; Kwaramba</w:t>
      </w:r>
      <w:r>
        <w:rPr>
          <w:rFonts w:ascii="Times New Roman" w:hAnsi="Times New Roman" w:cs="Times New Roman"/>
          <w:sz w:val="24"/>
          <w:szCs w:val="24"/>
        </w:rPr>
        <w:t>, applicant’s legal practitioners</w:t>
      </w:r>
    </w:p>
    <w:p w:rsidR="00737FE7" w:rsidRPr="0056455C" w:rsidRDefault="009A372A" w:rsidP="00774013">
      <w:pPr>
        <w:spacing w:after="0" w:line="240" w:lineRule="auto"/>
        <w:jc w:val="both"/>
        <w:rPr>
          <w:rFonts w:ascii="Times New Roman" w:hAnsi="Times New Roman" w:cs="Times New Roman"/>
          <w:sz w:val="24"/>
          <w:szCs w:val="24"/>
        </w:rPr>
      </w:pPr>
      <w:r w:rsidRPr="009A372A">
        <w:rPr>
          <w:rFonts w:ascii="Times New Roman" w:hAnsi="Times New Roman" w:cs="Times New Roman"/>
          <w:i/>
          <w:sz w:val="24"/>
          <w:szCs w:val="24"/>
        </w:rPr>
        <w:lastRenderedPageBreak/>
        <w:t>Mavhiringidze &amp; Mashanyare</w:t>
      </w:r>
      <w:r>
        <w:rPr>
          <w:rFonts w:ascii="Times New Roman" w:hAnsi="Times New Roman" w:cs="Times New Roman"/>
          <w:sz w:val="24"/>
          <w:szCs w:val="24"/>
        </w:rPr>
        <w:t>, second and third respondents’ legal practitioners</w:t>
      </w:r>
      <w:r w:rsidR="003821D8" w:rsidRPr="0056455C">
        <w:rPr>
          <w:rFonts w:ascii="Times New Roman" w:hAnsi="Times New Roman" w:cs="Times New Roman"/>
          <w:sz w:val="24"/>
          <w:szCs w:val="24"/>
        </w:rPr>
        <w:t xml:space="preserve"> </w:t>
      </w:r>
      <w:r w:rsidR="00737FE7" w:rsidRPr="0056455C">
        <w:rPr>
          <w:rFonts w:ascii="Times New Roman" w:hAnsi="Times New Roman" w:cs="Times New Roman"/>
          <w:sz w:val="24"/>
          <w:szCs w:val="24"/>
        </w:rPr>
        <w:t xml:space="preserve">  </w:t>
      </w:r>
    </w:p>
    <w:p w:rsidR="000A1973" w:rsidRPr="0056455C" w:rsidRDefault="000A1973" w:rsidP="00774013">
      <w:pPr>
        <w:spacing w:line="360" w:lineRule="auto"/>
        <w:jc w:val="both"/>
        <w:rPr>
          <w:rFonts w:ascii="Times New Roman" w:hAnsi="Times New Roman" w:cs="Times New Roman"/>
          <w:b/>
          <w:sz w:val="24"/>
          <w:szCs w:val="24"/>
        </w:rPr>
      </w:pPr>
    </w:p>
    <w:sectPr w:rsidR="000A1973" w:rsidRPr="005645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7EA" w:rsidRDefault="002057EA" w:rsidP="00C84F48">
      <w:pPr>
        <w:spacing w:after="0" w:line="240" w:lineRule="auto"/>
      </w:pPr>
      <w:r>
        <w:separator/>
      </w:r>
    </w:p>
  </w:endnote>
  <w:endnote w:type="continuationSeparator" w:id="0">
    <w:p w:rsidR="002057EA" w:rsidRDefault="002057EA" w:rsidP="00C8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7EA" w:rsidRDefault="002057EA" w:rsidP="00C84F48">
      <w:pPr>
        <w:spacing w:after="0" w:line="240" w:lineRule="auto"/>
      </w:pPr>
      <w:r>
        <w:separator/>
      </w:r>
    </w:p>
  </w:footnote>
  <w:footnote w:type="continuationSeparator" w:id="0">
    <w:p w:rsidR="002057EA" w:rsidRDefault="002057EA" w:rsidP="00C8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599333"/>
      <w:docPartObj>
        <w:docPartGallery w:val="Page Numbers (Top of Page)"/>
        <w:docPartUnique/>
      </w:docPartObj>
    </w:sdtPr>
    <w:sdtEndPr>
      <w:rPr>
        <w:noProof/>
      </w:rPr>
    </w:sdtEndPr>
    <w:sdtContent>
      <w:p w:rsidR="00135207" w:rsidRDefault="00135207">
        <w:pPr>
          <w:pStyle w:val="Header"/>
          <w:jc w:val="right"/>
          <w:rPr>
            <w:noProof/>
          </w:rPr>
        </w:pPr>
        <w:r>
          <w:fldChar w:fldCharType="begin"/>
        </w:r>
        <w:r>
          <w:instrText xml:space="preserve"> PAGE   \* MERGEFORMAT </w:instrText>
        </w:r>
        <w:r>
          <w:fldChar w:fldCharType="separate"/>
        </w:r>
        <w:r w:rsidR="00C618D8">
          <w:rPr>
            <w:noProof/>
          </w:rPr>
          <w:t>1</w:t>
        </w:r>
        <w:r>
          <w:rPr>
            <w:noProof/>
          </w:rPr>
          <w:fldChar w:fldCharType="end"/>
        </w:r>
      </w:p>
      <w:p w:rsidR="00135207" w:rsidRDefault="00C630F8">
        <w:pPr>
          <w:pStyle w:val="Header"/>
          <w:jc w:val="right"/>
          <w:rPr>
            <w:noProof/>
          </w:rPr>
        </w:pPr>
        <w:r>
          <w:rPr>
            <w:noProof/>
          </w:rPr>
          <w:t>HH 517-22</w:t>
        </w:r>
      </w:p>
      <w:p w:rsidR="00135207" w:rsidRDefault="00135207">
        <w:pPr>
          <w:pStyle w:val="Header"/>
          <w:jc w:val="right"/>
        </w:pPr>
        <w:r>
          <w:rPr>
            <w:noProof/>
          </w:rPr>
          <w:t>HC 2496/21</w:t>
        </w:r>
      </w:p>
    </w:sdtContent>
  </w:sdt>
  <w:p w:rsidR="00C84F48" w:rsidRDefault="00C84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540D7"/>
    <w:multiLevelType w:val="hybridMultilevel"/>
    <w:tmpl w:val="8458BC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E37F28"/>
    <w:multiLevelType w:val="hybridMultilevel"/>
    <w:tmpl w:val="0E2A9EF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EE"/>
    <w:rsid w:val="00062F9F"/>
    <w:rsid w:val="00067C38"/>
    <w:rsid w:val="000731DA"/>
    <w:rsid w:val="000A1973"/>
    <w:rsid w:val="00132D59"/>
    <w:rsid w:val="00135207"/>
    <w:rsid w:val="00145598"/>
    <w:rsid w:val="0015369F"/>
    <w:rsid w:val="00156AA5"/>
    <w:rsid w:val="00160DEE"/>
    <w:rsid w:val="00163655"/>
    <w:rsid w:val="00190222"/>
    <w:rsid w:val="001A325F"/>
    <w:rsid w:val="001D212C"/>
    <w:rsid w:val="002057EA"/>
    <w:rsid w:val="00217833"/>
    <w:rsid w:val="0023789C"/>
    <w:rsid w:val="003821D8"/>
    <w:rsid w:val="00452B21"/>
    <w:rsid w:val="004C1735"/>
    <w:rsid w:val="004D1286"/>
    <w:rsid w:val="004D625B"/>
    <w:rsid w:val="00560AE6"/>
    <w:rsid w:val="0056455C"/>
    <w:rsid w:val="00565C54"/>
    <w:rsid w:val="00576503"/>
    <w:rsid w:val="005B5461"/>
    <w:rsid w:val="006F3EA6"/>
    <w:rsid w:val="006F467A"/>
    <w:rsid w:val="00737FE7"/>
    <w:rsid w:val="00774013"/>
    <w:rsid w:val="00783589"/>
    <w:rsid w:val="007A477F"/>
    <w:rsid w:val="007E720B"/>
    <w:rsid w:val="008007D9"/>
    <w:rsid w:val="008013B9"/>
    <w:rsid w:val="00851C62"/>
    <w:rsid w:val="00885C8A"/>
    <w:rsid w:val="0095306C"/>
    <w:rsid w:val="009A372A"/>
    <w:rsid w:val="009E299C"/>
    <w:rsid w:val="00A11008"/>
    <w:rsid w:val="00A35039"/>
    <w:rsid w:val="00A53F25"/>
    <w:rsid w:val="00B408A1"/>
    <w:rsid w:val="00B970B3"/>
    <w:rsid w:val="00C618D8"/>
    <w:rsid w:val="00C630F8"/>
    <w:rsid w:val="00C84F48"/>
    <w:rsid w:val="00C92889"/>
    <w:rsid w:val="00CB7F95"/>
    <w:rsid w:val="00D15E74"/>
    <w:rsid w:val="00D32E34"/>
    <w:rsid w:val="00D866FE"/>
    <w:rsid w:val="00DE10CE"/>
    <w:rsid w:val="00E831AB"/>
    <w:rsid w:val="00EF59BB"/>
    <w:rsid w:val="00EF7516"/>
    <w:rsid w:val="00F622F9"/>
    <w:rsid w:val="00F86613"/>
    <w:rsid w:val="00FE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77CF"/>
  <w15:chartTrackingRefBased/>
  <w15:docId w15:val="{1F225506-E265-4F00-ADD1-28C75B44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8A1"/>
    <w:pPr>
      <w:ind w:left="720"/>
      <w:contextualSpacing/>
    </w:pPr>
  </w:style>
  <w:style w:type="paragraph" w:styleId="NormalWeb">
    <w:name w:val="Normal (Web)"/>
    <w:basedOn w:val="Normal"/>
    <w:uiPriority w:val="99"/>
    <w:unhideWhenUsed/>
    <w:rsid w:val="00132D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2D59"/>
    <w:rPr>
      <w:i/>
      <w:iCs/>
    </w:rPr>
  </w:style>
  <w:style w:type="paragraph" w:styleId="Header">
    <w:name w:val="header"/>
    <w:basedOn w:val="Normal"/>
    <w:link w:val="HeaderChar"/>
    <w:uiPriority w:val="99"/>
    <w:unhideWhenUsed/>
    <w:rsid w:val="00C8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F48"/>
  </w:style>
  <w:style w:type="paragraph" w:styleId="Footer">
    <w:name w:val="footer"/>
    <w:basedOn w:val="Normal"/>
    <w:link w:val="FooterChar"/>
    <w:uiPriority w:val="99"/>
    <w:unhideWhenUsed/>
    <w:rsid w:val="00C8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F48"/>
  </w:style>
  <w:style w:type="paragraph" w:styleId="BalloonText">
    <w:name w:val="Balloon Text"/>
    <w:basedOn w:val="Normal"/>
    <w:link w:val="BalloonTextChar"/>
    <w:uiPriority w:val="99"/>
    <w:semiHidden/>
    <w:unhideWhenUsed/>
    <w:rsid w:val="00145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2022-07-29T07:44:00Z</cp:lastPrinted>
  <dcterms:created xsi:type="dcterms:W3CDTF">2022-07-29T09:38:00Z</dcterms:created>
  <dcterms:modified xsi:type="dcterms:W3CDTF">2022-07-29T09:38:00Z</dcterms:modified>
</cp:coreProperties>
</file>