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60" w:rsidRDefault="00134260" w:rsidP="0013426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0D1568">
        <w:rPr>
          <w:b/>
          <w:sz w:val="22"/>
          <w:szCs w:val="22"/>
        </w:rPr>
        <w:t>287</w:t>
      </w:r>
      <w:r>
        <w:rPr>
          <w:b/>
          <w:sz w:val="22"/>
          <w:szCs w:val="22"/>
        </w:rPr>
        <w:t>/2016</w:t>
      </w:r>
    </w:p>
    <w:p w:rsidR="00134260" w:rsidRDefault="00134260" w:rsidP="00134260">
      <w:pPr>
        <w:spacing w:line="360" w:lineRule="auto"/>
        <w:jc w:val="both"/>
        <w:rPr>
          <w:b/>
          <w:sz w:val="22"/>
          <w:szCs w:val="22"/>
        </w:rPr>
      </w:pPr>
    </w:p>
    <w:p w:rsidR="00134260" w:rsidRDefault="00134260" w:rsidP="0013426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16 NOVEMBER 2015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CASE NO. LC/H/REV/28/15</w:t>
      </w:r>
    </w:p>
    <w:p w:rsidR="00134260" w:rsidRDefault="00134260" w:rsidP="00134260">
      <w:pPr>
        <w:spacing w:line="360" w:lineRule="auto"/>
        <w:jc w:val="both"/>
        <w:rPr>
          <w:b/>
          <w:sz w:val="22"/>
          <w:szCs w:val="22"/>
        </w:rPr>
      </w:pPr>
    </w:p>
    <w:p w:rsidR="00134260" w:rsidRDefault="00134260" w:rsidP="0013426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023C33">
        <w:rPr>
          <w:b/>
          <w:sz w:val="22"/>
          <w:szCs w:val="22"/>
        </w:rPr>
        <w:t>6 MAY</w:t>
      </w:r>
      <w:r>
        <w:rPr>
          <w:b/>
          <w:sz w:val="22"/>
          <w:szCs w:val="22"/>
        </w:rPr>
        <w:t xml:space="preserve"> 2016</w:t>
      </w:r>
    </w:p>
    <w:p w:rsidR="00134260" w:rsidRDefault="00134260" w:rsidP="00134260">
      <w:pPr>
        <w:jc w:val="both"/>
        <w:rPr>
          <w:b/>
          <w:sz w:val="22"/>
          <w:szCs w:val="22"/>
        </w:rPr>
      </w:pPr>
    </w:p>
    <w:p w:rsidR="00134260" w:rsidRDefault="00134260" w:rsidP="00134260">
      <w:pPr>
        <w:spacing w:line="360" w:lineRule="auto"/>
        <w:jc w:val="both"/>
      </w:pPr>
    </w:p>
    <w:p w:rsidR="00134260" w:rsidRPr="00F56E14" w:rsidRDefault="00275315" w:rsidP="00197735">
      <w:pPr>
        <w:pStyle w:val="NoSpacing"/>
        <w:spacing w:line="600" w:lineRule="auto"/>
        <w:jc w:val="both"/>
        <w:rPr>
          <w:b/>
        </w:rPr>
      </w:pPr>
      <w:r>
        <w:rPr>
          <w:b/>
        </w:rPr>
        <w:t>EDITH CHARI</w:t>
      </w:r>
      <w:r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>
        <w:rPr>
          <w:b/>
        </w:rPr>
        <w:t>Applicant</w:t>
      </w:r>
    </w:p>
    <w:p w:rsidR="00275315" w:rsidRDefault="00275315" w:rsidP="00197735">
      <w:pPr>
        <w:pStyle w:val="NoSpacing"/>
        <w:spacing w:line="600" w:lineRule="auto"/>
        <w:jc w:val="both"/>
        <w:rPr>
          <w:b/>
        </w:rPr>
      </w:pPr>
      <w:r>
        <w:rPr>
          <w:b/>
        </w:rPr>
        <w:t>GREATERMANS STORES (PVT) LTD</w:t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</w:r>
      <w:r w:rsidR="00134260" w:rsidRPr="00F56E14">
        <w:rPr>
          <w:b/>
        </w:rPr>
        <w:tab/>
        <w:t>Respondent</w:t>
      </w:r>
    </w:p>
    <w:p w:rsidR="00134260" w:rsidRPr="00F56E14" w:rsidRDefault="00275315" w:rsidP="00197735">
      <w:pPr>
        <w:pStyle w:val="NoSpacing"/>
        <w:spacing w:line="600" w:lineRule="auto"/>
        <w:jc w:val="both"/>
        <w:rPr>
          <w:b/>
        </w:rPr>
      </w:pPr>
      <w:r>
        <w:rPr>
          <w:b/>
        </w:rPr>
        <w:t>t/a MEIKLES LTD (TM STORES)</w:t>
      </w:r>
      <w:r w:rsidR="00134260" w:rsidRPr="00F56E14">
        <w:rPr>
          <w:b/>
        </w:rPr>
        <w:t xml:space="preserve"> </w:t>
      </w:r>
    </w:p>
    <w:p w:rsidR="00197735" w:rsidRDefault="00197735" w:rsidP="00197735">
      <w:pPr>
        <w:pStyle w:val="NoSpacing"/>
        <w:spacing w:line="480" w:lineRule="auto"/>
        <w:rPr>
          <w:b/>
        </w:rPr>
      </w:pPr>
    </w:p>
    <w:p w:rsidR="00134260" w:rsidRPr="00197735" w:rsidRDefault="00134260" w:rsidP="00197735">
      <w:pPr>
        <w:pStyle w:val="NoSpacing"/>
        <w:spacing w:line="480" w:lineRule="auto"/>
        <w:rPr>
          <w:b/>
        </w:rPr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134260" w:rsidRDefault="00134260" w:rsidP="00134260">
      <w:pPr>
        <w:spacing w:line="360" w:lineRule="auto"/>
        <w:jc w:val="both"/>
      </w:pPr>
    </w:p>
    <w:p w:rsidR="00134260" w:rsidRDefault="00134260" w:rsidP="00134260">
      <w:pPr>
        <w:jc w:val="both"/>
        <w:rPr>
          <w:b/>
        </w:rPr>
      </w:pPr>
      <w:r>
        <w:rPr>
          <w:b/>
        </w:rPr>
        <w:t xml:space="preserve">For Applicant </w:t>
      </w:r>
      <w:r>
        <w:rPr>
          <w:b/>
        </w:rPr>
        <w:tab/>
      </w:r>
      <w:r>
        <w:rPr>
          <w:b/>
        </w:rPr>
        <w:tab/>
        <w:t xml:space="preserve">Mr </w:t>
      </w:r>
      <w:r w:rsidR="00197735">
        <w:rPr>
          <w:b/>
        </w:rPr>
        <w:t>L. Uriri, Advocate</w:t>
      </w:r>
    </w:p>
    <w:p w:rsidR="00134260" w:rsidRDefault="00134260" w:rsidP="00134260">
      <w:pPr>
        <w:jc w:val="both"/>
        <w:rPr>
          <w:b/>
        </w:rPr>
      </w:pPr>
      <w:r>
        <w:rPr>
          <w:b/>
        </w:rPr>
        <w:tab/>
      </w:r>
    </w:p>
    <w:p w:rsidR="00134260" w:rsidRDefault="00134260" w:rsidP="00134260">
      <w:pPr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197735">
        <w:rPr>
          <w:b/>
        </w:rPr>
        <w:t>Mr T. Mp</w:t>
      </w:r>
      <w:r w:rsidR="00DF6D46">
        <w:rPr>
          <w:b/>
        </w:rPr>
        <w:t>ofu, Avocate</w:t>
      </w:r>
    </w:p>
    <w:p w:rsidR="00134260" w:rsidRDefault="00134260" w:rsidP="00134260">
      <w:pPr>
        <w:spacing w:line="360" w:lineRule="auto"/>
        <w:jc w:val="both"/>
        <w:rPr>
          <w:b/>
          <w:sz w:val="28"/>
          <w:szCs w:val="28"/>
        </w:rPr>
      </w:pPr>
    </w:p>
    <w:p w:rsidR="00134260" w:rsidRDefault="00134260" w:rsidP="00134260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A435B4" w:rsidRDefault="00CE17DA" w:rsidP="00AC7B7E">
      <w:pPr>
        <w:spacing w:line="360" w:lineRule="auto"/>
        <w:jc w:val="both"/>
      </w:pPr>
    </w:p>
    <w:p w:rsidR="000D7F42" w:rsidRDefault="000D7F42" w:rsidP="000D7F42">
      <w:pPr>
        <w:spacing w:line="360" w:lineRule="auto"/>
        <w:jc w:val="both"/>
      </w:pPr>
      <w:r>
        <w:t>Applicant applied for the review of Resp</w:t>
      </w:r>
      <w:r w:rsidR="00F11113">
        <w:t>ondent’s decision to terminate her</w:t>
      </w:r>
      <w:r>
        <w:t xml:space="preserve"> employment on notice.  She prayed that the decision be set aside.  Respondent opposed the </w:t>
      </w:r>
      <w:r w:rsidR="00F24643">
        <w:t>application.  In due course the matter was set</w:t>
      </w:r>
      <w:r w:rsidR="00CC73EE">
        <w:t xml:space="preserve"> down for hearing.  At the onset of oral argument Respondent raised 2 points </w:t>
      </w:r>
      <w:r w:rsidR="00CC73EE" w:rsidRPr="00242A07">
        <w:rPr>
          <w:i/>
        </w:rPr>
        <w:t xml:space="preserve">in </w:t>
      </w:r>
      <w:proofErr w:type="spellStart"/>
      <w:r w:rsidR="00CC73EE" w:rsidRPr="00242A07">
        <w:rPr>
          <w:i/>
        </w:rPr>
        <w:t>limine</w:t>
      </w:r>
      <w:proofErr w:type="spellEnd"/>
      <w:r w:rsidR="00F11113">
        <w:t xml:space="preserve">. </w:t>
      </w:r>
      <w:r w:rsidR="00CC73EE">
        <w:t>I shall deal with the 2</w:t>
      </w:r>
      <w:r w:rsidR="00CC73EE" w:rsidRPr="00CC73EE">
        <w:rPr>
          <w:vertAlign w:val="superscript"/>
        </w:rPr>
        <w:t>nd</w:t>
      </w:r>
      <w:r w:rsidR="00CC73EE">
        <w:t xml:space="preserve"> point which </w:t>
      </w:r>
      <w:r w:rsidR="00242A07">
        <w:t>I consider as dispositive of the matter</w:t>
      </w:r>
    </w:p>
    <w:p w:rsidR="005233DD" w:rsidRDefault="005233DD" w:rsidP="00AC7B7E">
      <w:pPr>
        <w:jc w:val="both"/>
      </w:pPr>
    </w:p>
    <w:p w:rsidR="005233DD" w:rsidRDefault="005233DD" w:rsidP="000D7F42">
      <w:pPr>
        <w:spacing w:line="360" w:lineRule="auto"/>
        <w:jc w:val="both"/>
      </w:pPr>
      <w:r w:rsidRPr="00083A68">
        <w:rPr>
          <w:u w:val="single"/>
        </w:rPr>
        <w:t>Whether Applicant should have exhausted domestic remedies</w:t>
      </w:r>
      <w:r w:rsidR="00083A68">
        <w:t>?</w:t>
      </w:r>
    </w:p>
    <w:p w:rsidR="00083A68" w:rsidRDefault="00083A68" w:rsidP="00AC7B7E">
      <w:pPr>
        <w:jc w:val="both"/>
      </w:pPr>
    </w:p>
    <w:p w:rsidR="00083A68" w:rsidRDefault="00083A68" w:rsidP="000D7F42">
      <w:pPr>
        <w:spacing w:line="360" w:lineRule="auto"/>
        <w:jc w:val="both"/>
      </w:pPr>
      <w:r>
        <w:t>Applicant’s grievance arose from her termination on notice by Respondent.  In paragraphs 18 and 21 of her affidavit she complained that,</w:t>
      </w:r>
    </w:p>
    <w:p w:rsidR="00CF7260" w:rsidRDefault="00CF7260" w:rsidP="000D7F42">
      <w:pPr>
        <w:spacing w:line="360" w:lineRule="auto"/>
        <w:jc w:val="both"/>
      </w:pPr>
    </w:p>
    <w:p w:rsidR="00CF7260" w:rsidRDefault="00CF7260" w:rsidP="000D7F42">
      <w:pPr>
        <w:spacing w:line="360" w:lineRule="auto"/>
        <w:jc w:val="both"/>
      </w:pPr>
    </w:p>
    <w:p w:rsidR="00CF7260" w:rsidRDefault="00CF7260" w:rsidP="000D7F42">
      <w:pPr>
        <w:spacing w:line="360" w:lineRule="auto"/>
        <w:jc w:val="both"/>
      </w:pPr>
    </w:p>
    <w:p w:rsidR="00CF7260" w:rsidRDefault="00CF7260" w:rsidP="000D7F42">
      <w:pPr>
        <w:spacing w:line="360" w:lineRule="auto"/>
        <w:jc w:val="both"/>
      </w:pPr>
    </w:p>
    <w:p w:rsidR="00753F00" w:rsidRDefault="00753F00" w:rsidP="00AC7B7E">
      <w:pPr>
        <w:jc w:val="both"/>
      </w:pPr>
    </w:p>
    <w:p w:rsidR="00753F00" w:rsidRPr="00AC7B7E" w:rsidRDefault="00753F00" w:rsidP="00AC7B7E">
      <w:pPr>
        <w:spacing w:line="276" w:lineRule="auto"/>
        <w:ind w:left="1440" w:hanging="720"/>
        <w:jc w:val="both"/>
        <w:rPr>
          <w:sz w:val="22"/>
          <w:szCs w:val="22"/>
        </w:rPr>
      </w:pPr>
      <w:r w:rsidRPr="00AC7B7E">
        <w:rPr>
          <w:sz w:val="22"/>
          <w:szCs w:val="22"/>
        </w:rPr>
        <w:t>“18.</w:t>
      </w:r>
      <w:r w:rsidRPr="00AC7B7E">
        <w:rPr>
          <w:sz w:val="22"/>
          <w:szCs w:val="22"/>
        </w:rPr>
        <w:tab/>
        <w:t xml:space="preserve">Despite my lawyers having advised </w:t>
      </w:r>
      <w:r w:rsidR="00795FEE" w:rsidRPr="00AC7B7E">
        <w:rPr>
          <w:sz w:val="22"/>
          <w:szCs w:val="22"/>
        </w:rPr>
        <w:t xml:space="preserve">the respondent that they represented me in this matter, and despite two </w:t>
      </w:r>
      <w:r w:rsidR="00B56C1E" w:rsidRPr="00AC7B7E">
        <w:rPr>
          <w:sz w:val="22"/>
          <w:szCs w:val="22"/>
        </w:rPr>
        <w:t xml:space="preserve">letters having been written to the respondent (both of which it ignored) I was served with a notice of termination of employment on 20 March 2015.  See Annexture D.  The respondent </w:t>
      </w:r>
      <w:r w:rsidR="002B3077" w:rsidRPr="00AC7B7E">
        <w:rPr>
          <w:sz w:val="22"/>
          <w:szCs w:val="22"/>
        </w:rPr>
        <w:t>unilateral</w:t>
      </w:r>
      <w:r w:rsidR="001A0C59">
        <w:rPr>
          <w:sz w:val="22"/>
          <w:szCs w:val="22"/>
        </w:rPr>
        <w:t>ly</w:t>
      </w:r>
      <w:r w:rsidR="00B56C1E" w:rsidRPr="00AC7B7E">
        <w:rPr>
          <w:sz w:val="22"/>
          <w:szCs w:val="22"/>
        </w:rPr>
        <w:t xml:space="preserve"> determined </w:t>
      </w:r>
      <w:r w:rsidR="002B3077" w:rsidRPr="00AC7B7E">
        <w:rPr>
          <w:sz w:val="22"/>
          <w:szCs w:val="22"/>
        </w:rPr>
        <w:t>that I be p</w:t>
      </w:r>
      <w:r w:rsidR="005678EF" w:rsidRPr="00AC7B7E">
        <w:rPr>
          <w:sz w:val="22"/>
          <w:szCs w:val="22"/>
        </w:rPr>
        <w:t>aid three months sala</w:t>
      </w:r>
      <w:r w:rsidR="002B3077" w:rsidRPr="00AC7B7E">
        <w:rPr>
          <w:sz w:val="22"/>
          <w:szCs w:val="22"/>
        </w:rPr>
        <w:t>ry in lieu of the notice period.</w:t>
      </w:r>
    </w:p>
    <w:p w:rsidR="00AB275B" w:rsidRPr="00AC7B7E" w:rsidRDefault="00AB275B" w:rsidP="00AC7B7E">
      <w:pPr>
        <w:spacing w:line="276" w:lineRule="auto"/>
        <w:ind w:left="1440" w:hanging="720"/>
        <w:jc w:val="both"/>
        <w:rPr>
          <w:sz w:val="22"/>
          <w:szCs w:val="22"/>
        </w:rPr>
      </w:pPr>
      <w:r w:rsidRPr="00AC7B7E">
        <w:rPr>
          <w:sz w:val="22"/>
          <w:szCs w:val="22"/>
        </w:rPr>
        <w:t xml:space="preserve"> 21.</w:t>
      </w:r>
      <w:r w:rsidRPr="00AC7B7E">
        <w:rPr>
          <w:sz w:val="22"/>
          <w:szCs w:val="22"/>
        </w:rPr>
        <w:tab/>
      </w:r>
      <w:r w:rsidR="00145D1E" w:rsidRPr="00AC7B7E">
        <w:rPr>
          <w:sz w:val="22"/>
          <w:szCs w:val="22"/>
        </w:rPr>
        <w:t xml:space="preserve">I am fortified in the view that the termination was absurd and unfair in that the respondent opted for termination </w:t>
      </w:r>
      <w:r w:rsidR="00F7332A" w:rsidRPr="00AC7B7E">
        <w:rPr>
          <w:sz w:val="22"/>
          <w:szCs w:val="22"/>
        </w:rPr>
        <w:t>of my contract of employment on notice instead of through the legitimate retrenchment</w:t>
      </w:r>
      <w:r w:rsidR="00371B1C" w:rsidRPr="00AC7B7E">
        <w:rPr>
          <w:sz w:val="22"/>
          <w:szCs w:val="22"/>
        </w:rPr>
        <w:t xml:space="preserve"> process.”</w:t>
      </w:r>
    </w:p>
    <w:p w:rsidR="00371B1C" w:rsidRDefault="00371B1C" w:rsidP="00AC7B7E">
      <w:pPr>
        <w:jc w:val="both"/>
      </w:pPr>
    </w:p>
    <w:p w:rsidR="00371B1C" w:rsidRDefault="00135041" w:rsidP="00AC7B7E">
      <w:pPr>
        <w:spacing w:line="360" w:lineRule="auto"/>
        <w:jc w:val="both"/>
      </w:pPr>
      <w:r>
        <w:t>In</w:t>
      </w:r>
      <w:r w:rsidR="001A0C59">
        <w:t xml:space="preserve"> other words Applicant’s gripe wa</w:t>
      </w:r>
      <w:r>
        <w:t xml:space="preserve">s that her dismissal was unfair or unlawful.  Part XII of the </w:t>
      </w:r>
      <w:r w:rsidRPr="003E49F5">
        <w:rPr>
          <w:u w:val="single"/>
        </w:rPr>
        <w:t>Labour Act</w:t>
      </w:r>
      <w:r>
        <w:t xml:space="preserve"> Chapter 28:01 (hereafter called the Act)</w:t>
      </w:r>
      <w:r w:rsidR="000C371D">
        <w:t xml:space="preserve"> provides for the resolution of labour disputes.  S</w:t>
      </w:r>
      <w:r w:rsidR="00AC7B7E">
        <w:t>e</w:t>
      </w:r>
      <w:r w:rsidR="000C371D">
        <w:t>ction 93 (1) of the Act states that,</w:t>
      </w:r>
    </w:p>
    <w:p w:rsidR="000C371D" w:rsidRDefault="000C371D" w:rsidP="00AC7B7E">
      <w:pPr>
        <w:jc w:val="both"/>
      </w:pPr>
    </w:p>
    <w:p w:rsidR="000C371D" w:rsidRPr="00AC7B7E" w:rsidRDefault="000C371D" w:rsidP="00AC7B7E">
      <w:pPr>
        <w:spacing w:line="276" w:lineRule="auto"/>
        <w:ind w:left="720"/>
        <w:jc w:val="both"/>
        <w:rPr>
          <w:sz w:val="22"/>
          <w:szCs w:val="22"/>
        </w:rPr>
      </w:pPr>
      <w:r w:rsidRPr="00AC7B7E">
        <w:rPr>
          <w:sz w:val="22"/>
          <w:szCs w:val="22"/>
        </w:rPr>
        <w:t xml:space="preserve">“A labour officer to whom a dispute or unfair labour practice has been referred, or to whose attention it has come, shall attempt to settle it through conciliation or, </w:t>
      </w:r>
      <w:r w:rsidR="00ED6ACB" w:rsidRPr="00AC7B7E">
        <w:rPr>
          <w:sz w:val="22"/>
          <w:szCs w:val="22"/>
        </w:rPr>
        <w:t>if agreed by the parties, by reference to arbitration.”</w:t>
      </w:r>
    </w:p>
    <w:p w:rsidR="00ED6ACB" w:rsidRDefault="00ED6ACB" w:rsidP="00AC7B7E">
      <w:pPr>
        <w:jc w:val="both"/>
      </w:pPr>
    </w:p>
    <w:p w:rsidR="007F5399" w:rsidRDefault="00ED6ACB" w:rsidP="00371B1C">
      <w:pPr>
        <w:spacing w:line="360" w:lineRule="auto"/>
        <w:jc w:val="both"/>
      </w:pPr>
      <w:r>
        <w:t>The term “</w:t>
      </w:r>
      <w:r w:rsidR="009E7A71">
        <w:t>dispute” is</w:t>
      </w:r>
      <w:r>
        <w:t xml:space="preserve"> defined under section 2 to mean </w:t>
      </w:r>
      <w:r w:rsidRPr="001A0C59">
        <w:rPr>
          <w:u w:val="single"/>
        </w:rPr>
        <w:t>any</w:t>
      </w:r>
      <w:r w:rsidR="009E7A71" w:rsidRPr="001A0C59">
        <w:rPr>
          <w:u w:val="single"/>
        </w:rPr>
        <w:t xml:space="preserve"> dispute concerning employment</w:t>
      </w:r>
      <w:r w:rsidR="009E7A71">
        <w:t>.  In other words, a party to an employment contract has been</w:t>
      </w:r>
      <w:r w:rsidR="007F5399">
        <w:t xml:space="preserve"> provided with a (domestic) remedy which can be utilized without ne</w:t>
      </w:r>
      <w:r w:rsidR="00C5062A">
        <w:t>ed to resort to a court of law.</w:t>
      </w:r>
    </w:p>
    <w:p w:rsidR="00AC7B7E" w:rsidRDefault="00AC7B7E" w:rsidP="00AC7B7E">
      <w:pPr>
        <w:jc w:val="both"/>
      </w:pPr>
    </w:p>
    <w:p w:rsidR="00ED6ACB" w:rsidRDefault="007F5399" w:rsidP="00371B1C">
      <w:pPr>
        <w:spacing w:line="360" w:lineRule="auto"/>
        <w:jc w:val="both"/>
      </w:pPr>
      <w:r>
        <w:t xml:space="preserve">Section 89 (d1) of the </w:t>
      </w:r>
      <w:r w:rsidR="000F54E0">
        <w:t>Act</w:t>
      </w:r>
      <w:r>
        <w:t xml:space="preserve"> gave this Court powers of review in respect of labour matters.  A matter as </w:t>
      </w:r>
      <w:r w:rsidRPr="001A0C59">
        <w:rPr>
          <w:i/>
        </w:rPr>
        <w:t>in casu</w:t>
      </w:r>
      <w:r w:rsidR="001A0C59">
        <w:t xml:space="preserve"> falls for review under tho</w:t>
      </w:r>
      <w:r>
        <w:t xml:space="preserve">se powers.  </w:t>
      </w:r>
      <w:r w:rsidR="000F54E0">
        <w:t>However</w:t>
      </w:r>
      <w:r w:rsidR="009E7A71">
        <w:t xml:space="preserve"> </w:t>
      </w:r>
      <w:r w:rsidR="00785120">
        <w:t>where the</w:t>
      </w:r>
      <w:r w:rsidR="00625D17">
        <w:t>re</w:t>
      </w:r>
      <w:r w:rsidR="00785120">
        <w:t xml:space="preserve"> are domestic remedies</w:t>
      </w:r>
      <w:r w:rsidR="001A0C59">
        <w:t>,</w:t>
      </w:r>
      <w:r w:rsidR="00785120">
        <w:t xml:space="preserve"> the Court has a discretion whether or not to exercise the powers.  Indeed where there are domestic</w:t>
      </w:r>
      <w:r w:rsidR="00D90743">
        <w:t xml:space="preserve"> remedies it is undesirable to exercise the powers where a party fails to utilize the domestic remedy.  No compelling case was made out or argued as to why Applicant shunned the domestic remedy</w:t>
      </w:r>
      <w:r w:rsidR="00597894">
        <w:t>.  On that basis the Court should decline the invitation to exercise its powers of review.</w:t>
      </w:r>
    </w:p>
    <w:p w:rsidR="00597894" w:rsidRDefault="00597894" w:rsidP="00371B1C">
      <w:pPr>
        <w:spacing w:line="360" w:lineRule="auto"/>
        <w:jc w:val="both"/>
      </w:pPr>
    </w:p>
    <w:p w:rsidR="00374F8A" w:rsidRDefault="00597894" w:rsidP="00371B1C">
      <w:pPr>
        <w:spacing w:line="360" w:lineRule="auto"/>
        <w:jc w:val="both"/>
      </w:pPr>
      <w:r>
        <w:t>I am fortified in this view by the case of</w:t>
      </w:r>
      <w:r w:rsidR="00374F8A">
        <w:t xml:space="preserve"> </w:t>
      </w:r>
    </w:p>
    <w:p w:rsidR="008E5758" w:rsidRDefault="00374F8A" w:rsidP="00371B1C">
      <w:pPr>
        <w:spacing w:line="360" w:lineRule="auto"/>
        <w:jc w:val="both"/>
      </w:pPr>
      <w:r w:rsidRPr="00374F8A">
        <w:rPr>
          <w:i/>
        </w:rPr>
        <w:t>Muzengi</w:t>
      </w:r>
      <w:r>
        <w:t xml:space="preserve"> v </w:t>
      </w:r>
      <w:r w:rsidRPr="00374F8A">
        <w:rPr>
          <w:i/>
        </w:rPr>
        <w:t>Standard Bank</w:t>
      </w:r>
      <w:r>
        <w:t xml:space="preserve"> 2002 (1) ZLR 334 (S)</w:t>
      </w:r>
      <w:r w:rsidR="008E5758">
        <w:t xml:space="preserve"> (338 C-D),</w:t>
      </w:r>
    </w:p>
    <w:p w:rsidR="004A59A3" w:rsidRDefault="008E5758" w:rsidP="00371B1C">
      <w:pPr>
        <w:spacing w:line="360" w:lineRule="auto"/>
        <w:jc w:val="both"/>
      </w:pPr>
      <w:r>
        <w:t>where Ziyambi JA ruled that</w:t>
      </w:r>
    </w:p>
    <w:p w:rsidR="004A59A3" w:rsidRDefault="004A59A3" w:rsidP="00C5062A">
      <w:pPr>
        <w:jc w:val="both"/>
      </w:pPr>
    </w:p>
    <w:p w:rsidR="00CF7260" w:rsidRDefault="00CF7260" w:rsidP="00C5062A">
      <w:pPr>
        <w:jc w:val="both"/>
      </w:pPr>
    </w:p>
    <w:p w:rsidR="00CF7260" w:rsidRDefault="00CF7260" w:rsidP="00C5062A">
      <w:pPr>
        <w:jc w:val="both"/>
      </w:pPr>
    </w:p>
    <w:p w:rsidR="00CF7260" w:rsidRDefault="00CF7260" w:rsidP="00C5062A">
      <w:pPr>
        <w:jc w:val="both"/>
      </w:pPr>
    </w:p>
    <w:p w:rsidR="00CF7260" w:rsidRDefault="00CF7260" w:rsidP="00C5062A">
      <w:pPr>
        <w:jc w:val="both"/>
      </w:pPr>
    </w:p>
    <w:p w:rsidR="00CF7260" w:rsidRDefault="00CF7260" w:rsidP="00C5062A">
      <w:pPr>
        <w:jc w:val="both"/>
      </w:pPr>
    </w:p>
    <w:p w:rsidR="00B467AE" w:rsidRPr="00C5062A" w:rsidRDefault="004A59A3" w:rsidP="00C5062A">
      <w:pPr>
        <w:spacing w:line="276" w:lineRule="auto"/>
        <w:ind w:left="720"/>
        <w:jc w:val="both"/>
        <w:rPr>
          <w:sz w:val="22"/>
          <w:szCs w:val="22"/>
        </w:rPr>
      </w:pPr>
      <w:r w:rsidRPr="00C5062A">
        <w:rPr>
          <w:sz w:val="22"/>
          <w:szCs w:val="22"/>
        </w:rPr>
        <w:t>“No special circumstances or good reason having been shown by appellant to exist justifying his approach to the High Court, the appellant’s obligation to exhaust domestic remedies was peremptory.</w:t>
      </w:r>
      <w:r w:rsidR="00B467AE" w:rsidRPr="00C5062A">
        <w:rPr>
          <w:sz w:val="22"/>
          <w:szCs w:val="22"/>
        </w:rPr>
        <w:t xml:space="preserve">  Accordingly, the application ought, on this ground alone, to have been dismissed.”</w:t>
      </w:r>
    </w:p>
    <w:p w:rsidR="00B467AE" w:rsidRDefault="00B467AE" w:rsidP="00371B1C">
      <w:pPr>
        <w:spacing w:line="360" w:lineRule="auto"/>
        <w:jc w:val="both"/>
      </w:pPr>
    </w:p>
    <w:p w:rsidR="008E5758" w:rsidRDefault="00B467AE" w:rsidP="00371B1C">
      <w:pPr>
        <w:spacing w:line="360" w:lineRule="auto"/>
        <w:jc w:val="both"/>
      </w:pPr>
      <w:r>
        <w:t>By parity of reasoning the present application ought to be dismissed.</w:t>
      </w:r>
      <w:r w:rsidR="008E5758">
        <w:t xml:space="preserve"> </w:t>
      </w:r>
    </w:p>
    <w:p w:rsidR="000646F8" w:rsidRDefault="000646F8" w:rsidP="00371B1C">
      <w:pPr>
        <w:spacing w:line="360" w:lineRule="auto"/>
        <w:jc w:val="both"/>
      </w:pPr>
    </w:p>
    <w:p w:rsidR="00C5062A" w:rsidRDefault="00C5062A" w:rsidP="00371B1C">
      <w:pPr>
        <w:spacing w:line="360" w:lineRule="auto"/>
        <w:jc w:val="both"/>
      </w:pPr>
    </w:p>
    <w:p w:rsidR="00CF7260" w:rsidRDefault="00CF7260" w:rsidP="00371B1C">
      <w:pPr>
        <w:spacing w:line="360" w:lineRule="auto"/>
        <w:jc w:val="both"/>
      </w:pPr>
    </w:p>
    <w:p w:rsidR="000646F8" w:rsidRDefault="000646F8" w:rsidP="000646F8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685F40" w:rsidRDefault="00685F40" w:rsidP="000646F8">
      <w:pPr>
        <w:spacing w:line="360" w:lineRule="auto"/>
        <w:jc w:val="both"/>
        <w:rPr>
          <w:b/>
        </w:rPr>
      </w:pPr>
    </w:p>
    <w:p w:rsidR="000646F8" w:rsidRPr="00466AA1" w:rsidRDefault="00466AA1" w:rsidP="006E794D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>
        <w:rPr>
          <w:b/>
        </w:rPr>
        <w:t xml:space="preserve">Respondent’s point </w:t>
      </w:r>
      <w:r w:rsidRPr="00685F40">
        <w:rPr>
          <w:b/>
          <w:i/>
        </w:rPr>
        <w:t xml:space="preserve">in </w:t>
      </w:r>
      <w:proofErr w:type="spellStart"/>
      <w:r w:rsidRPr="00685F40">
        <w:rPr>
          <w:b/>
          <w:i/>
        </w:rPr>
        <w:t>limine</w:t>
      </w:r>
      <w:proofErr w:type="spellEnd"/>
      <w:r>
        <w:rPr>
          <w:b/>
        </w:rPr>
        <w:t xml:space="preserve"> is hereby upheld</w:t>
      </w:r>
      <w:r w:rsidR="00685F40">
        <w:rPr>
          <w:b/>
        </w:rPr>
        <w:t>;</w:t>
      </w:r>
    </w:p>
    <w:p w:rsidR="000646F8" w:rsidRPr="006E794D" w:rsidRDefault="000646F8" w:rsidP="006E794D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 w:rsidRPr="001C50BD">
        <w:rPr>
          <w:b/>
        </w:rPr>
        <w:t xml:space="preserve">The </w:t>
      </w:r>
      <w:r>
        <w:rPr>
          <w:b/>
        </w:rPr>
        <w:t xml:space="preserve">application for review </w:t>
      </w:r>
      <w:r w:rsidR="00685F40">
        <w:rPr>
          <w:b/>
        </w:rPr>
        <w:t>is therefore</w:t>
      </w:r>
      <w:r>
        <w:rPr>
          <w:b/>
        </w:rPr>
        <w:t xml:space="preserve"> dismissed; and</w:t>
      </w:r>
    </w:p>
    <w:p w:rsidR="000646F8" w:rsidRPr="00A23A60" w:rsidRDefault="000646F8" w:rsidP="006E794D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 w:rsidRPr="00A23A60">
        <w:rPr>
          <w:b/>
        </w:rPr>
        <w:t>Each party shall bear its own costs.</w:t>
      </w:r>
    </w:p>
    <w:p w:rsidR="000646F8" w:rsidRDefault="000646F8" w:rsidP="006E794D">
      <w:pPr>
        <w:pStyle w:val="ListParagraph"/>
        <w:spacing w:line="600" w:lineRule="auto"/>
        <w:jc w:val="both"/>
        <w:rPr>
          <w:b/>
        </w:rPr>
      </w:pPr>
    </w:p>
    <w:p w:rsidR="000646F8" w:rsidRDefault="000646F8" w:rsidP="000646F8">
      <w:pPr>
        <w:pStyle w:val="ListParagraph"/>
        <w:spacing w:line="360" w:lineRule="auto"/>
        <w:jc w:val="both"/>
        <w:rPr>
          <w:b/>
        </w:rPr>
      </w:pPr>
    </w:p>
    <w:p w:rsidR="000646F8" w:rsidRPr="008C1574" w:rsidRDefault="000646F8" w:rsidP="000646F8">
      <w:pPr>
        <w:pStyle w:val="ListParagraph"/>
        <w:spacing w:line="360" w:lineRule="auto"/>
        <w:jc w:val="both"/>
        <w:rPr>
          <w:b/>
        </w:rPr>
      </w:pPr>
    </w:p>
    <w:p w:rsidR="000646F8" w:rsidRDefault="000646F8" w:rsidP="000646F8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 MUSARIRI</w:t>
      </w:r>
    </w:p>
    <w:p w:rsidR="000646F8" w:rsidRDefault="00C5062A" w:rsidP="000646F8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0646F8" w:rsidRDefault="000646F8" w:rsidP="00371B1C">
      <w:pPr>
        <w:spacing w:line="360" w:lineRule="auto"/>
        <w:jc w:val="both"/>
      </w:pPr>
    </w:p>
    <w:sectPr w:rsidR="000646F8" w:rsidSect="00ED2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DA" w:rsidRDefault="00CE17DA" w:rsidP="00ED24A4">
      <w:r>
        <w:separator/>
      </w:r>
    </w:p>
  </w:endnote>
  <w:endnote w:type="continuationSeparator" w:id="0">
    <w:p w:rsidR="00CE17DA" w:rsidRDefault="00CE17DA" w:rsidP="00ED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68" w:rsidRDefault="000D15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498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63E0" w:rsidRDefault="00796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63E0" w:rsidRDefault="007963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68" w:rsidRDefault="000D1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DA" w:rsidRDefault="00CE17DA" w:rsidP="00ED24A4">
      <w:r>
        <w:separator/>
      </w:r>
    </w:p>
  </w:footnote>
  <w:footnote w:type="continuationSeparator" w:id="0">
    <w:p w:rsidR="00CE17DA" w:rsidRDefault="00CE17DA" w:rsidP="00ED2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68" w:rsidRDefault="000D15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A4" w:rsidRPr="00ED24A4" w:rsidRDefault="00ED24A4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 xml:space="preserve">JUDGMENT NO. </w:t>
    </w:r>
    <w:r>
      <w:rPr>
        <w:lang w:val="en-ZW"/>
      </w:rPr>
      <w:t>LC/H/</w:t>
    </w:r>
    <w:r w:rsidR="000D1568">
      <w:rPr>
        <w:lang w:val="en-ZW"/>
      </w:rPr>
      <w:t>287</w:t>
    </w:r>
    <w:bookmarkStart w:id="0" w:name="_GoBack"/>
    <w:bookmarkEnd w:id="0"/>
    <w:r>
      <w:rPr>
        <w:lang w:val="en-ZW"/>
      </w:rPr>
      <w:t>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68" w:rsidRDefault="000D15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60"/>
    <w:rsid w:val="00023C33"/>
    <w:rsid w:val="000646F8"/>
    <w:rsid w:val="00083A68"/>
    <w:rsid w:val="000C371D"/>
    <w:rsid w:val="000D1568"/>
    <w:rsid w:val="000D7F42"/>
    <w:rsid w:val="000F54E0"/>
    <w:rsid w:val="00100633"/>
    <w:rsid w:val="00134260"/>
    <w:rsid w:val="00135041"/>
    <w:rsid w:val="00145D1E"/>
    <w:rsid w:val="00197735"/>
    <w:rsid w:val="001A0C59"/>
    <w:rsid w:val="00207D49"/>
    <w:rsid w:val="00242A07"/>
    <w:rsid w:val="00275315"/>
    <w:rsid w:val="002B3077"/>
    <w:rsid w:val="00371B1C"/>
    <w:rsid w:val="00374F8A"/>
    <w:rsid w:val="003C3A48"/>
    <w:rsid w:val="003E49F5"/>
    <w:rsid w:val="00466AA1"/>
    <w:rsid w:val="004A59A3"/>
    <w:rsid w:val="005233DD"/>
    <w:rsid w:val="00534DC1"/>
    <w:rsid w:val="005678EF"/>
    <w:rsid w:val="00597894"/>
    <w:rsid w:val="00625D17"/>
    <w:rsid w:val="00685F40"/>
    <w:rsid w:val="006E794D"/>
    <w:rsid w:val="00741A5B"/>
    <w:rsid w:val="00753F00"/>
    <w:rsid w:val="00785120"/>
    <w:rsid w:val="00795FEE"/>
    <w:rsid w:val="007963E0"/>
    <w:rsid w:val="007F5399"/>
    <w:rsid w:val="008E5758"/>
    <w:rsid w:val="00902F28"/>
    <w:rsid w:val="009E7A71"/>
    <w:rsid w:val="00AB275B"/>
    <w:rsid w:val="00AC7B7E"/>
    <w:rsid w:val="00B467AE"/>
    <w:rsid w:val="00B56C1E"/>
    <w:rsid w:val="00B6703B"/>
    <w:rsid w:val="00C5062A"/>
    <w:rsid w:val="00CC73EE"/>
    <w:rsid w:val="00CE17DA"/>
    <w:rsid w:val="00CF7260"/>
    <w:rsid w:val="00D90743"/>
    <w:rsid w:val="00DE6384"/>
    <w:rsid w:val="00DF6D46"/>
    <w:rsid w:val="00E4323B"/>
    <w:rsid w:val="00ED24A4"/>
    <w:rsid w:val="00ED6ACB"/>
    <w:rsid w:val="00F11113"/>
    <w:rsid w:val="00F24643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6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26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2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4A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2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4A4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4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6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26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2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4A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2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4A4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2016-04-28T13:04:00Z</cp:lastPrinted>
  <dcterms:created xsi:type="dcterms:W3CDTF">2016-04-28T12:10:00Z</dcterms:created>
  <dcterms:modified xsi:type="dcterms:W3CDTF">2016-05-04T13:26:00Z</dcterms:modified>
</cp:coreProperties>
</file>