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47" w:rsidRDefault="00B776D6" w:rsidP="00B776D6">
      <w:pPr>
        <w:spacing w:line="360" w:lineRule="auto"/>
        <w:jc w:val="both"/>
        <w:rPr>
          <w:b/>
          <w:sz w:val="28"/>
          <w:szCs w:val="28"/>
        </w:rPr>
      </w:pPr>
      <w:r>
        <w:rPr>
          <w:b/>
          <w:sz w:val="28"/>
          <w:szCs w:val="28"/>
        </w:rPr>
        <w:t>I</w:t>
      </w:r>
      <w:r w:rsidR="008D3911">
        <w:rPr>
          <w:b/>
          <w:sz w:val="28"/>
          <w:szCs w:val="28"/>
        </w:rPr>
        <w:t>N THE LABOUR COURT OF ZIMBABWE</w:t>
      </w:r>
      <w:r w:rsidR="008D3911">
        <w:rPr>
          <w:b/>
          <w:sz w:val="28"/>
          <w:szCs w:val="28"/>
        </w:rPr>
        <w:tab/>
        <w:t xml:space="preserve">      </w:t>
      </w:r>
      <w:bookmarkStart w:id="0" w:name="_GoBack"/>
      <w:bookmarkEnd w:id="0"/>
      <w:r>
        <w:rPr>
          <w:b/>
          <w:sz w:val="28"/>
          <w:szCs w:val="28"/>
        </w:rPr>
        <w:t>JUDGMENT NO LC/H/</w:t>
      </w:r>
      <w:r w:rsidR="008D3911">
        <w:rPr>
          <w:b/>
          <w:sz w:val="28"/>
          <w:szCs w:val="28"/>
        </w:rPr>
        <w:t>493</w:t>
      </w:r>
      <w:r>
        <w:rPr>
          <w:b/>
          <w:sz w:val="28"/>
          <w:szCs w:val="28"/>
        </w:rPr>
        <w:t>/14</w:t>
      </w:r>
    </w:p>
    <w:p w:rsidR="00B776D6" w:rsidRDefault="00B776D6" w:rsidP="00B776D6">
      <w:pPr>
        <w:spacing w:line="360" w:lineRule="auto"/>
        <w:jc w:val="both"/>
        <w:rPr>
          <w:b/>
          <w:sz w:val="28"/>
          <w:szCs w:val="28"/>
        </w:rPr>
      </w:pPr>
      <w:r>
        <w:rPr>
          <w:b/>
          <w:sz w:val="28"/>
          <w:szCs w:val="28"/>
        </w:rPr>
        <w:t xml:space="preserve">HELD AT </w:t>
      </w:r>
      <w:proofErr w:type="gramStart"/>
      <w:r>
        <w:rPr>
          <w:b/>
          <w:sz w:val="28"/>
          <w:szCs w:val="28"/>
        </w:rPr>
        <w:t>HARARE  16</w:t>
      </w:r>
      <w:r w:rsidRPr="00B776D6">
        <w:rPr>
          <w:b/>
          <w:sz w:val="28"/>
          <w:szCs w:val="28"/>
          <w:vertAlign w:val="superscript"/>
        </w:rPr>
        <w:t>TH</w:t>
      </w:r>
      <w:proofErr w:type="gramEnd"/>
      <w:r>
        <w:rPr>
          <w:b/>
          <w:sz w:val="28"/>
          <w:szCs w:val="28"/>
        </w:rPr>
        <w:t xml:space="preserve"> JULY 2014</w:t>
      </w:r>
      <w:r>
        <w:rPr>
          <w:b/>
          <w:sz w:val="28"/>
          <w:szCs w:val="28"/>
        </w:rPr>
        <w:tab/>
      </w:r>
      <w:r>
        <w:rPr>
          <w:b/>
          <w:sz w:val="28"/>
          <w:szCs w:val="28"/>
        </w:rPr>
        <w:tab/>
      </w:r>
      <w:r>
        <w:rPr>
          <w:b/>
          <w:sz w:val="28"/>
          <w:szCs w:val="28"/>
        </w:rPr>
        <w:tab/>
        <w:t>CASE NO LC/H/86/14</w:t>
      </w:r>
    </w:p>
    <w:p w:rsidR="00612D85" w:rsidRDefault="00612D85" w:rsidP="00B776D6">
      <w:pPr>
        <w:spacing w:line="360" w:lineRule="auto"/>
        <w:jc w:val="both"/>
        <w:rPr>
          <w:b/>
          <w:sz w:val="28"/>
          <w:szCs w:val="28"/>
        </w:rPr>
      </w:pPr>
      <w:r>
        <w:rPr>
          <w:b/>
          <w:sz w:val="28"/>
          <w:szCs w:val="28"/>
        </w:rPr>
        <w:t>&amp; 1</w:t>
      </w:r>
      <w:r w:rsidRPr="00612D85">
        <w:rPr>
          <w:b/>
          <w:sz w:val="28"/>
          <w:szCs w:val="28"/>
          <w:vertAlign w:val="superscript"/>
        </w:rPr>
        <w:t>ST</w:t>
      </w:r>
      <w:r>
        <w:rPr>
          <w:b/>
          <w:sz w:val="28"/>
          <w:szCs w:val="28"/>
        </w:rPr>
        <w:t xml:space="preserve"> AUGUST 2014</w:t>
      </w:r>
    </w:p>
    <w:p w:rsidR="00B776D6" w:rsidRDefault="00B776D6" w:rsidP="00B776D6">
      <w:pPr>
        <w:spacing w:line="360" w:lineRule="auto"/>
        <w:jc w:val="both"/>
        <w:rPr>
          <w:sz w:val="28"/>
          <w:szCs w:val="28"/>
        </w:rPr>
      </w:pPr>
      <w:r>
        <w:rPr>
          <w:sz w:val="28"/>
          <w:szCs w:val="28"/>
        </w:rPr>
        <w:t>In the matter between:-</w:t>
      </w:r>
    </w:p>
    <w:p w:rsidR="00B776D6" w:rsidRDefault="00B776D6" w:rsidP="00B776D6">
      <w:pPr>
        <w:spacing w:line="360" w:lineRule="auto"/>
        <w:jc w:val="both"/>
        <w:rPr>
          <w:b/>
          <w:sz w:val="28"/>
          <w:szCs w:val="28"/>
        </w:rPr>
      </w:pPr>
      <w:r>
        <w:rPr>
          <w:b/>
          <w:sz w:val="28"/>
          <w:szCs w:val="28"/>
        </w:rPr>
        <w:t>ECONET WIRELESS (PVT) LTD</w:t>
      </w:r>
      <w:r>
        <w:rPr>
          <w:b/>
          <w:sz w:val="28"/>
          <w:szCs w:val="28"/>
        </w:rPr>
        <w:tab/>
      </w:r>
      <w:r>
        <w:rPr>
          <w:b/>
          <w:sz w:val="28"/>
          <w:szCs w:val="28"/>
        </w:rPr>
        <w:tab/>
      </w:r>
      <w:r>
        <w:rPr>
          <w:b/>
          <w:sz w:val="28"/>
          <w:szCs w:val="28"/>
        </w:rPr>
        <w:tab/>
      </w:r>
      <w:r>
        <w:rPr>
          <w:b/>
          <w:sz w:val="28"/>
          <w:szCs w:val="28"/>
        </w:rPr>
        <w:tab/>
        <w:t>Appellant</w:t>
      </w:r>
    </w:p>
    <w:p w:rsidR="00B776D6" w:rsidRDefault="00B776D6" w:rsidP="00B776D6">
      <w:pPr>
        <w:spacing w:line="360" w:lineRule="auto"/>
        <w:jc w:val="both"/>
        <w:rPr>
          <w:b/>
          <w:sz w:val="28"/>
          <w:szCs w:val="28"/>
        </w:rPr>
      </w:pPr>
      <w:r>
        <w:rPr>
          <w:b/>
          <w:sz w:val="28"/>
          <w:szCs w:val="28"/>
        </w:rPr>
        <w:t>And</w:t>
      </w:r>
    </w:p>
    <w:p w:rsidR="00B776D6" w:rsidRDefault="00B776D6" w:rsidP="00B776D6">
      <w:pPr>
        <w:spacing w:line="360" w:lineRule="auto"/>
        <w:jc w:val="both"/>
        <w:rPr>
          <w:b/>
          <w:sz w:val="28"/>
          <w:szCs w:val="28"/>
        </w:rPr>
      </w:pPr>
      <w:r>
        <w:rPr>
          <w:b/>
          <w:sz w:val="28"/>
          <w:szCs w:val="28"/>
        </w:rPr>
        <w:t>GERALD MANDUNA</w:t>
      </w:r>
      <w:r>
        <w:rPr>
          <w:b/>
          <w:sz w:val="28"/>
          <w:szCs w:val="28"/>
        </w:rPr>
        <w:tab/>
      </w:r>
      <w:r>
        <w:rPr>
          <w:b/>
          <w:sz w:val="28"/>
          <w:szCs w:val="28"/>
        </w:rPr>
        <w:tab/>
      </w:r>
      <w:r>
        <w:rPr>
          <w:b/>
          <w:sz w:val="28"/>
          <w:szCs w:val="28"/>
        </w:rPr>
        <w:tab/>
      </w:r>
      <w:r>
        <w:rPr>
          <w:b/>
          <w:sz w:val="28"/>
          <w:szCs w:val="28"/>
        </w:rPr>
        <w:tab/>
      </w:r>
      <w:r>
        <w:rPr>
          <w:b/>
          <w:sz w:val="28"/>
          <w:szCs w:val="28"/>
        </w:rPr>
        <w:tab/>
        <w:t xml:space="preserve">Respondent </w:t>
      </w:r>
    </w:p>
    <w:p w:rsidR="00B776D6" w:rsidRDefault="00B776D6" w:rsidP="00B776D6">
      <w:pPr>
        <w:spacing w:line="360" w:lineRule="auto"/>
        <w:jc w:val="both"/>
        <w:rPr>
          <w:sz w:val="28"/>
          <w:szCs w:val="28"/>
        </w:rPr>
      </w:pPr>
      <w:r>
        <w:rPr>
          <w:sz w:val="28"/>
          <w:szCs w:val="28"/>
        </w:rPr>
        <w:t xml:space="preserve">Before The Honourable B.S. </w:t>
      </w:r>
      <w:proofErr w:type="spellStart"/>
      <w:r>
        <w:rPr>
          <w:sz w:val="28"/>
          <w:szCs w:val="28"/>
        </w:rPr>
        <w:t>Chidziva</w:t>
      </w:r>
      <w:proofErr w:type="spellEnd"/>
      <w:r>
        <w:rPr>
          <w:sz w:val="28"/>
          <w:szCs w:val="28"/>
        </w:rPr>
        <w:t>, Judge</w:t>
      </w:r>
    </w:p>
    <w:p w:rsidR="00B776D6" w:rsidRDefault="00B776D6" w:rsidP="00B776D6">
      <w:pPr>
        <w:spacing w:line="360" w:lineRule="auto"/>
        <w:jc w:val="both"/>
        <w:rPr>
          <w:b/>
          <w:sz w:val="28"/>
          <w:szCs w:val="28"/>
        </w:rPr>
      </w:pPr>
      <w:r>
        <w:rPr>
          <w:b/>
          <w:sz w:val="28"/>
          <w:szCs w:val="28"/>
        </w:rPr>
        <w:t>For Appellant</w:t>
      </w:r>
      <w:r>
        <w:rPr>
          <w:b/>
          <w:sz w:val="28"/>
          <w:szCs w:val="28"/>
        </w:rPr>
        <w:tab/>
      </w:r>
      <w:r>
        <w:rPr>
          <w:b/>
          <w:sz w:val="28"/>
          <w:szCs w:val="28"/>
        </w:rPr>
        <w:tab/>
        <w:t xml:space="preserve">Mr T.W. </w:t>
      </w:r>
      <w:proofErr w:type="spellStart"/>
      <w:r>
        <w:rPr>
          <w:b/>
          <w:sz w:val="28"/>
          <w:szCs w:val="28"/>
        </w:rPr>
        <w:t>Nyamakura</w:t>
      </w:r>
      <w:proofErr w:type="spellEnd"/>
      <w:r>
        <w:rPr>
          <w:b/>
          <w:sz w:val="28"/>
          <w:szCs w:val="28"/>
        </w:rPr>
        <w:t xml:space="preserve"> (Legal Practitioner)</w:t>
      </w:r>
    </w:p>
    <w:p w:rsidR="00B776D6" w:rsidRDefault="00B776D6" w:rsidP="00B776D6">
      <w:pPr>
        <w:spacing w:line="360" w:lineRule="auto"/>
        <w:jc w:val="both"/>
        <w:rPr>
          <w:b/>
          <w:sz w:val="28"/>
          <w:szCs w:val="28"/>
        </w:rPr>
      </w:pPr>
      <w:r>
        <w:rPr>
          <w:b/>
          <w:sz w:val="28"/>
          <w:szCs w:val="28"/>
        </w:rPr>
        <w:t>For Respondent</w:t>
      </w:r>
      <w:r>
        <w:rPr>
          <w:b/>
          <w:sz w:val="28"/>
          <w:szCs w:val="28"/>
        </w:rPr>
        <w:tab/>
      </w:r>
      <w:r>
        <w:rPr>
          <w:b/>
          <w:sz w:val="28"/>
          <w:szCs w:val="28"/>
        </w:rPr>
        <w:tab/>
        <w:t xml:space="preserve">Mr J </w:t>
      </w:r>
      <w:proofErr w:type="spellStart"/>
      <w:proofErr w:type="gramStart"/>
      <w:r>
        <w:rPr>
          <w:b/>
          <w:sz w:val="28"/>
          <w:szCs w:val="28"/>
        </w:rPr>
        <w:t>Mutasa</w:t>
      </w:r>
      <w:proofErr w:type="spellEnd"/>
      <w:r>
        <w:rPr>
          <w:b/>
          <w:sz w:val="28"/>
          <w:szCs w:val="28"/>
        </w:rPr>
        <w:t xml:space="preserve">  (</w:t>
      </w:r>
      <w:proofErr w:type="gramEnd"/>
      <w:r>
        <w:rPr>
          <w:b/>
          <w:sz w:val="28"/>
          <w:szCs w:val="28"/>
        </w:rPr>
        <w:t>Trade Unionist)</w:t>
      </w:r>
    </w:p>
    <w:p w:rsidR="00B776D6" w:rsidRDefault="00B776D6" w:rsidP="00B776D6">
      <w:pPr>
        <w:spacing w:line="360" w:lineRule="auto"/>
        <w:jc w:val="both"/>
        <w:rPr>
          <w:b/>
          <w:sz w:val="28"/>
          <w:szCs w:val="28"/>
        </w:rPr>
      </w:pPr>
    </w:p>
    <w:p w:rsidR="00B776D6" w:rsidRDefault="00B776D6" w:rsidP="00B776D6">
      <w:pPr>
        <w:spacing w:line="360" w:lineRule="auto"/>
        <w:jc w:val="both"/>
        <w:rPr>
          <w:b/>
          <w:sz w:val="28"/>
          <w:szCs w:val="28"/>
        </w:rPr>
      </w:pPr>
      <w:r>
        <w:rPr>
          <w:b/>
          <w:sz w:val="28"/>
          <w:szCs w:val="28"/>
        </w:rPr>
        <w:t>CHIDZIVA, J:</w:t>
      </w:r>
    </w:p>
    <w:p w:rsidR="00B776D6" w:rsidRDefault="00B776D6" w:rsidP="00B776D6">
      <w:pPr>
        <w:spacing w:line="360" w:lineRule="auto"/>
        <w:jc w:val="both"/>
        <w:rPr>
          <w:sz w:val="28"/>
          <w:szCs w:val="28"/>
        </w:rPr>
      </w:pPr>
      <w:r>
        <w:rPr>
          <w:b/>
          <w:sz w:val="28"/>
          <w:szCs w:val="28"/>
        </w:rPr>
        <w:tab/>
      </w:r>
      <w:r>
        <w:rPr>
          <w:sz w:val="28"/>
          <w:szCs w:val="28"/>
        </w:rPr>
        <w:t xml:space="preserve">This is an appeal against the decision of Honourable Arbitrator N </w:t>
      </w:r>
      <w:proofErr w:type="spellStart"/>
      <w:r>
        <w:rPr>
          <w:sz w:val="28"/>
          <w:szCs w:val="28"/>
        </w:rPr>
        <w:t>Mawodza</w:t>
      </w:r>
      <w:proofErr w:type="spellEnd"/>
      <w:r>
        <w:rPr>
          <w:sz w:val="28"/>
          <w:szCs w:val="28"/>
        </w:rPr>
        <w:t xml:space="preserve"> dated 15 May 2013 which reads as follows</w:t>
      </w:r>
    </w:p>
    <w:p w:rsidR="00B776D6" w:rsidRPr="008B309E" w:rsidRDefault="00B776D6" w:rsidP="00B776D6">
      <w:pPr>
        <w:spacing w:line="240" w:lineRule="auto"/>
        <w:ind w:left="720"/>
        <w:jc w:val="both"/>
        <w:rPr>
          <w:sz w:val="24"/>
          <w:szCs w:val="24"/>
        </w:rPr>
      </w:pPr>
      <w:r w:rsidRPr="008B309E">
        <w:rPr>
          <w:sz w:val="24"/>
          <w:szCs w:val="24"/>
        </w:rPr>
        <w:t>“Therefore the case law of prescription does not apply since the matter was registered with the Ministry of Labour for avoidance of doubt under Case No 050/05.</w:t>
      </w:r>
    </w:p>
    <w:p w:rsidR="00B776D6" w:rsidRPr="008B309E" w:rsidRDefault="00B776D6" w:rsidP="00B776D6">
      <w:pPr>
        <w:spacing w:line="240" w:lineRule="auto"/>
        <w:ind w:left="720"/>
        <w:jc w:val="both"/>
        <w:rPr>
          <w:sz w:val="24"/>
          <w:szCs w:val="24"/>
        </w:rPr>
      </w:pPr>
      <w:r w:rsidRPr="008B309E">
        <w:rPr>
          <w:sz w:val="24"/>
          <w:szCs w:val="24"/>
        </w:rPr>
        <w:t>By this award parties are advised that the hearing shall proceed to determine the merits of the case on a date to be advised.</w:t>
      </w:r>
    </w:p>
    <w:p w:rsidR="00B776D6" w:rsidRPr="008B309E" w:rsidRDefault="00B776D6" w:rsidP="00B776D6">
      <w:pPr>
        <w:spacing w:line="240" w:lineRule="auto"/>
        <w:ind w:left="720"/>
        <w:jc w:val="both"/>
        <w:rPr>
          <w:sz w:val="24"/>
          <w:szCs w:val="24"/>
        </w:rPr>
      </w:pPr>
      <w:r w:rsidRPr="008B309E">
        <w:rPr>
          <w:sz w:val="24"/>
          <w:szCs w:val="24"/>
        </w:rPr>
        <w:t>I award accordingly”</w:t>
      </w:r>
    </w:p>
    <w:p w:rsidR="00B776D6" w:rsidRDefault="00B776D6" w:rsidP="00B776D6">
      <w:pPr>
        <w:spacing w:line="360" w:lineRule="auto"/>
        <w:jc w:val="both"/>
        <w:rPr>
          <w:sz w:val="28"/>
          <w:szCs w:val="28"/>
        </w:rPr>
      </w:pPr>
      <w:r>
        <w:rPr>
          <w:sz w:val="28"/>
          <w:szCs w:val="28"/>
        </w:rPr>
        <w:tab/>
      </w:r>
    </w:p>
    <w:p w:rsidR="00B776D6" w:rsidRDefault="00B776D6" w:rsidP="00B776D6">
      <w:pPr>
        <w:spacing w:line="360" w:lineRule="auto"/>
        <w:jc w:val="both"/>
        <w:rPr>
          <w:sz w:val="28"/>
          <w:szCs w:val="28"/>
        </w:rPr>
      </w:pPr>
      <w:r>
        <w:rPr>
          <w:sz w:val="28"/>
          <w:szCs w:val="28"/>
        </w:rPr>
        <w:tab/>
        <w:t xml:space="preserve">The brief history of this matter is that respondent is a former employee of </w:t>
      </w:r>
      <w:proofErr w:type="spellStart"/>
      <w:r>
        <w:rPr>
          <w:sz w:val="28"/>
          <w:szCs w:val="28"/>
        </w:rPr>
        <w:t>Econet</w:t>
      </w:r>
      <w:proofErr w:type="spellEnd"/>
      <w:r>
        <w:rPr>
          <w:sz w:val="28"/>
          <w:szCs w:val="28"/>
        </w:rPr>
        <w:t xml:space="preserve"> Wireless.  He was dismissed from employment in 2004.  Respondent challenged his dis</w:t>
      </w:r>
      <w:r w:rsidR="001B44D2">
        <w:rPr>
          <w:sz w:val="28"/>
          <w:szCs w:val="28"/>
        </w:rPr>
        <w:t>missal in 2010.  The arbitrator</w:t>
      </w:r>
      <w:r>
        <w:rPr>
          <w:sz w:val="28"/>
          <w:szCs w:val="28"/>
        </w:rPr>
        <w:t xml:space="preserve"> fou</w:t>
      </w:r>
      <w:r w:rsidR="008B309E">
        <w:rPr>
          <w:sz w:val="28"/>
          <w:szCs w:val="28"/>
        </w:rPr>
        <w:t xml:space="preserve">nd that the respondent was </w:t>
      </w:r>
      <w:r w:rsidR="008B309E">
        <w:rPr>
          <w:sz w:val="28"/>
          <w:szCs w:val="28"/>
        </w:rPr>
        <w:lastRenderedPageBreak/>
        <w:t>unfa</w:t>
      </w:r>
      <w:r>
        <w:rPr>
          <w:sz w:val="28"/>
          <w:szCs w:val="28"/>
        </w:rPr>
        <w:t>i</w:t>
      </w:r>
      <w:r w:rsidR="008B309E">
        <w:rPr>
          <w:sz w:val="28"/>
          <w:szCs w:val="28"/>
        </w:rPr>
        <w:t>r</w:t>
      </w:r>
      <w:r>
        <w:rPr>
          <w:sz w:val="28"/>
          <w:szCs w:val="28"/>
        </w:rPr>
        <w:t>ly dismissed because he was not dismissed in terms of a Code of Conduct.  The arbitration also found that there was no fair hearing because the there was no proof that respondent was accorded representation and that he was given adequate time to prepare for the hearing.</w:t>
      </w:r>
    </w:p>
    <w:p w:rsidR="00B776D6" w:rsidRDefault="00B776D6" w:rsidP="00B776D6">
      <w:pPr>
        <w:spacing w:line="360" w:lineRule="auto"/>
        <w:jc w:val="both"/>
        <w:rPr>
          <w:sz w:val="28"/>
          <w:szCs w:val="28"/>
        </w:rPr>
      </w:pPr>
      <w:r>
        <w:rPr>
          <w:sz w:val="28"/>
          <w:szCs w:val="28"/>
        </w:rPr>
        <w:tab/>
        <w:t>The appellant’s grounds of appeal are that;</w:t>
      </w:r>
    </w:p>
    <w:p w:rsidR="00B776D6" w:rsidRPr="008B309E" w:rsidRDefault="001B44D2" w:rsidP="00BB7319">
      <w:pPr>
        <w:pStyle w:val="ListParagraph"/>
        <w:numPr>
          <w:ilvl w:val="0"/>
          <w:numId w:val="1"/>
        </w:numPr>
        <w:spacing w:line="240" w:lineRule="auto"/>
        <w:jc w:val="both"/>
        <w:rPr>
          <w:sz w:val="24"/>
          <w:szCs w:val="24"/>
        </w:rPr>
      </w:pPr>
      <w:r>
        <w:rPr>
          <w:sz w:val="24"/>
          <w:szCs w:val="24"/>
        </w:rPr>
        <w:t>The arbitrator erred by failing to find that by 2010 when</w:t>
      </w:r>
      <w:r w:rsidR="00BB7319" w:rsidRPr="008B309E">
        <w:rPr>
          <w:sz w:val="24"/>
          <w:szCs w:val="24"/>
        </w:rPr>
        <w:t xml:space="preserve"> respondent brought up his case of unfair dismissal the matter had prescribed in terms of section 94 (1) of the Labour Act.</w:t>
      </w:r>
    </w:p>
    <w:p w:rsidR="00BB7319" w:rsidRPr="008B309E" w:rsidRDefault="00BB7319" w:rsidP="00BB7319">
      <w:pPr>
        <w:pStyle w:val="ListParagraph"/>
        <w:numPr>
          <w:ilvl w:val="0"/>
          <w:numId w:val="1"/>
        </w:numPr>
        <w:spacing w:line="240" w:lineRule="auto"/>
        <w:jc w:val="both"/>
        <w:rPr>
          <w:sz w:val="24"/>
          <w:szCs w:val="24"/>
        </w:rPr>
      </w:pPr>
      <w:r w:rsidRPr="008B309E">
        <w:rPr>
          <w:sz w:val="24"/>
          <w:szCs w:val="24"/>
        </w:rPr>
        <w:t>The arbitrator erred by finding that appellant violated section 12 B (2) OF THE Labour Act when the current Act does not apply to the dispute.</w:t>
      </w:r>
    </w:p>
    <w:p w:rsidR="00BB7319" w:rsidRPr="008B309E" w:rsidRDefault="00BB7319" w:rsidP="00BB7319">
      <w:pPr>
        <w:pStyle w:val="ListParagraph"/>
        <w:numPr>
          <w:ilvl w:val="0"/>
          <w:numId w:val="1"/>
        </w:numPr>
        <w:spacing w:line="240" w:lineRule="auto"/>
        <w:jc w:val="both"/>
        <w:rPr>
          <w:sz w:val="24"/>
          <w:szCs w:val="24"/>
        </w:rPr>
      </w:pPr>
      <w:r w:rsidRPr="008B309E">
        <w:rPr>
          <w:sz w:val="24"/>
          <w:szCs w:val="24"/>
        </w:rPr>
        <w:t>The arbitrator erred at law in reinstating respondent from the date of the arbitral award instead of the date of dismissal being 7 October 2004.</w:t>
      </w:r>
    </w:p>
    <w:p w:rsidR="00BB7319" w:rsidRPr="008B309E" w:rsidRDefault="00BB7319" w:rsidP="00BB7319">
      <w:pPr>
        <w:pStyle w:val="ListParagraph"/>
        <w:numPr>
          <w:ilvl w:val="0"/>
          <w:numId w:val="1"/>
        </w:numPr>
        <w:spacing w:line="240" w:lineRule="auto"/>
        <w:jc w:val="both"/>
        <w:rPr>
          <w:sz w:val="24"/>
          <w:szCs w:val="24"/>
        </w:rPr>
      </w:pPr>
      <w:r w:rsidRPr="008B309E">
        <w:rPr>
          <w:sz w:val="24"/>
          <w:szCs w:val="24"/>
        </w:rPr>
        <w:t>The arbitrator erred and misdirected herself in finding that appellant should have kept respondent’s records beyond 3 years.</w:t>
      </w:r>
    </w:p>
    <w:p w:rsidR="00BB7319" w:rsidRPr="008B309E" w:rsidRDefault="00BB7319" w:rsidP="00BB7319">
      <w:pPr>
        <w:pStyle w:val="ListParagraph"/>
        <w:numPr>
          <w:ilvl w:val="0"/>
          <w:numId w:val="1"/>
        </w:numPr>
        <w:spacing w:line="240" w:lineRule="auto"/>
        <w:jc w:val="both"/>
        <w:rPr>
          <w:sz w:val="24"/>
          <w:szCs w:val="24"/>
        </w:rPr>
      </w:pPr>
      <w:r w:rsidRPr="008B309E">
        <w:rPr>
          <w:sz w:val="24"/>
          <w:szCs w:val="24"/>
        </w:rPr>
        <w:t>The arbitrator erred by finding that minutes of respondent’s disciplinary hearing placed be</w:t>
      </w:r>
      <w:r w:rsidR="008B309E">
        <w:rPr>
          <w:sz w:val="24"/>
          <w:szCs w:val="24"/>
        </w:rPr>
        <w:t xml:space="preserve">fore her were </w:t>
      </w:r>
      <w:proofErr w:type="spellStart"/>
      <w:r w:rsidR="008B309E">
        <w:rPr>
          <w:sz w:val="24"/>
          <w:szCs w:val="24"/>
        </w:rPr>
        <w:t>in</w:t>
      </w:r>
      <w:r w:rsidR="001B44D2">
        <w:rPr>
          <w:sz w:val="24"/>
          <w:szCs w:val="24"/>
        </w:rPr>
        <w:t>a</w:t>
      </w:r>
      <w:r w:rsidR="008B309E">
        <w:rPr>
          <w:sz w:val="24"/>
          <w:szCs w:val="24"/>
        </w:rPr>
        <w:t>dismissable</w:t>
      </w:r>
      <w:proofErr w:type="spellEnd"/>
      <w:r w:rsidR="008B309E">
        <w:rPr>
          <w:sz w:val="24"/>
          <w:szCs w:val="24"/>
        </w:rPr>
        <w:t xml:space="preserve"> as </w:t>
      </w:r>
      <w:r w:rsidRPr="008B309E">
        <w:rPr>
          <w:sz w:val="24"/>
          <w:szCs w:val="24"/>
        </w:rPr>
        <w:t>evidence of what transpired in respondent’s disciplinary hearing of 2004</w:t>
      </w:r>
      <w:r w:rsidR="008B309E" w:rsidRPr="008B309E">
        <w:rPr>
          <w:sz w:val="24"/>
          <w:szCs w:val="24"/>
        </w:rPr>
        <w:t>.</w:t>
      </w:r>
    </w:p>
    <w:p w:rsidR="008B309E" w:rsidRDefault="008B309E" w:rsidP="008B309E">
      <w:pPr>
        <w:spacing w:line="240" w:lineRule="auto"/>
        <w:jc w:val="both"/>
        <w:rPr>
          <w:i/>
          <w:sz w:val="24"/>
          <w:szCs w:val="24"/>
        </w:rPr>
      </w:pPr>
    </w:p>
    <w:p w:rsidR="008B309E" w:rsidRDefault="008B309E" w:rsidP="008B309E">
      <w:pPr>
        <w:spacing w:line="360" w:lineRule="auto"/>
        <w:ind w:left="720"/>
        <w:jc w:val="both"/>
        <w:rPr>
          <w:sz w:val="28"/>
          <w:szCs w:val="28"/>
        </w:rPr>
      </w:pPr>
      <w:r>
        <w:rPr>
          <w:sz w:val="28"/>
          <w:szCs w:val="28"/>
        </w:rPr>
        <w:t>In response the respondent told the court that;</w:t>
      </w:r>
    </w:p>
    <w:p w:rsidR="008B309E" w:rsidRDefault="008B309E" w:rsidP="008B309E">
      <w:pPr>
        <w:pStyle w:val="ListParagraph"/>
        <w:numPr>
          <w:ilvl w:val="0"/>
          <w:numId w:val="3"/>
        </w:numPr>
        <w:spacing w:line="360" w:lineRule="auto"/>
        <w:jc w:val="both"/>
        <w:rPr>
          <w:sz w:val="24"/>
          <w:szCs w:val="24"/>
        </w:rPr>
      </w:pPr>
      <w:r>
        <w:rPr>
          <w:sz w:val="24"/>
          <w:szCs w:val="24"/>
        </w:rPr>
        <w:t>From the date of the unlawful dismissal which is 7 October 2004 the dispute was continuing and that the issue of prescription does not stand.</w:t>
      </w:r>
    </w:p>
    <w:p w:rsidR="008B309E" w:rsidRDefault="008B309E" w:rsidP="008B309E">
      <w:pPr>
        <w:pStyle w:val="ListParagraph"/>
        <w:numPr>
          <w:ilvl w:val="0"/>
          <w:numId w:val="3"/>
        </w:numPr>
        <w:spacing w:line="360" w:lineRule="auto"/>
        <w:jc w:val="both"/>
        <w:rPr>
          <w:sz w:val="24"/>
          <w:szCs w:val="24"/>
        </w:rPr>
      </w:pPr>
      <w:r>
        <w:rPr>
          <w:sz w:val="24"/>
          <w:szCs w:val="24"/>
        </w:rPr>
        <w:t>No relevant Code of Conduct was used to charge the respondent.</w:t>
      </w:r>
    </w:p>
    <w:p w:rsidR="008B309E" w:rsidRDefault="008B309E" w:rsidP="008B309E">
      <w:pPr>
        <w:pStyle w:val="ListParagraph"/>
        <w:numPr>
          <w:ilvl w:val="0"/>
          <w:numId w:val="3"/>
        </w:numPr>
        <w:spacing w:line="360" w:lineRule="auto"/>
        <w:jc w:val="both"/>
        <w:rPr>
          <w:sz w:val="24"/>
          <w:szCs w:val="24"/>
        </w:rPr>
      </w:pPr>
      <w:r>
        <w:rPr>
          <w:sz w:val="24"/>
          <w:szCs w:val="24"/>
        </w:rPr>
        <w:t xml:space="preserve">Appellant was supposed to keep respondent’s records beyond </w:t>
      </w:r>
      <w:r w:rsidR="001B44D2">
        <w:rPr>
          <w:sz w:val="24"/>
          <w:szCs w:val="24"/>
        </w:rPr>
        <w:t>three years as the dispute was o</w:t>
      </w:r>
      <w:r>
        <w:rPr>
          <w:sz w:val="24"/>
          <w:szCs w:val="24"/>
        </w:rPr>
        <w:t>n going.</w:t>
      </w:r>
    </w:p>
    <w:p w:rsidR="008B309E" w:rsidRDefault="008B309E" w:rsidP="008B309E">
      <w:pPr>
        <w:pStyle w:val="ListParagraph"/>
        <w:numPr>
          <w:ilvl w:val="0"/>
          <w:numId w:val="3"/>
        </w:numPr>
        <w:spacing w:line="360" w:lineRule="auto"/>
        <w:jc w:val="both"/>
        <w:rPr>
          <w:sz w:val="24"/>
          <w:szCs w:val="24"/>
        </w:rPr>
      </w:pPr>
      <w:r>
        <w:rPr>
          <w:sz w:val="24"/>
          <w:szCs w:val="24"/>
        </w:rPr>
        <w:t>Arbitrator acted professionally by refusing the doctored minutes as they were not automatic.</w:t>
      </w:r>
    </w:p>
    <w:p w:rsidR="008B309E" w:rsidRDefault="008B309E" w:rsidP="008B309E">
      <w:pPr>
        <w:spacing w:line="360" w:lineRule="auto"/>
        <w:ind w:left="720"/>
        <w:jc w:val="both"/>
        <w:rPr>
          <w:sz w:val="24"/>
          <w:szCs w:val="24"/>
        </w:rPr>
      </w:pPr>
    </w:p>
    <w:p w:rsidR="008B309E" w:rsidRDefault="008B309E" w:rsidP="008B309E">
      <w:pPr>
        <w:spacing w:line="360" w:lineRule="auto"/>
        <w:ind w:left="720"/>
        <w:jc w:val="both"/>
        <w:rPr>
          <w:sz w:val="28"/>
          <w:szCs w:val="28"/>
        </w:rPr>
      </w:pPr>
      <w:r>
        <w:rPr>
          <w:sz w:val="28"/>
          <w:szCs w:val="28"/>
        </w:rPr>
        <w:t>Respondent therefore prayed for the dismissal of the appeal.</w:t>
      </w:r>
    </w:p>
    <w:p w:rsidR="008B309E" w:rsidRDefault="008B309E" w:rsidP="008B309E">
      <w:pPr>
        <w:spacing w:after="0" w:line="360" w:lineRule="auto"/>
        <w:ind w:left="720"/>
        <w:jc w:val="both"/>
        <w:rPr>
          <w:sz w:val="28"/>
          <w:szCs w:val="28"/>
        </w:rPr>
      </w:pPr>
      <w:r>
        <w:rPr>
          <w:sz w:val="28"/>
          <w:szCs w:val="28"/>
        </w:rPr>
        <w:t xml:space="preserve">The first issue to be decided is whether the matter had prescribed or not </w:t>
      </w:r>
    </w:p>
    <w:p w:rsidR="008B309E" w:rsidRDefault="001B44D2" w:rsidP="008B309E">
      <w:pPr>
        <w:spacing w:after="0" w:line="360" w:lineRule="auto"/>
        <w:jc w:val="both"/>
        <w:rPr>
          <w:sz w:val="28"/>
          <w:szCs w:val="28"/>
        </w:rPr>
      </w:pPr>
      <w:proofErr w:type="gramStart"/>
      <w:r>
        <w:rPr>
          <w:sz w:val="28"/>
          <w:szCs w:val="28"/>
        </w:rPr>
        <w:lastRenderedPageBreak/>
        <w:t>w</w:t>
      </w:r>
      <w:r w:rsidR="008B309E">
        <w:rPr>
          <w:sz w:val="28"/>
          <w:szCs w:val="28"/>
        </w:rPr>
        <w:t>hen</w:t>
      </w:r>
      <w:proofErr w:type="gramEnd"/>
      <w:r w:rsidR="008B309E">
        <w:rPr>
          <w:sz w:val="28"/>
          <w:szCs w:val="28"/>
        </w:rPr>
        <w:t xml:space="preserve"> it was taken to the arbitrator</w:t>
      </w:r>
      <w:r>
        <w:rPr>
          <w:sz w:val="28"/>
          <w:szCs w:val="28"/>
        </w:rPr>
        <w:t>.  S</w:t>
      </w:r>
      <w:r w:rsidR="008B309E">
        <w:rPr>
          <w:sz w:val="28"/>
          <w:szCs w:val="28"/>
        </w:rPr>
        <w:t xml:space="preserve">ection 94 (1) </w:t>
      </w:r>
      <w:r>
        <w:rPr>
          <w:sz w:val="28"/>
          <w:szCs w:val="28"/>
        </w:rPr>
        <w:t>(1) (b) of the Labour Act states</w:t>
      </w:r>
      <w:r w:rsidR="008B309E">
        <w:rPr>
          <w:sz w:val="28"/>
          <w:szCs w:val="28"/>
        </w:rPr>
        <w:t xml:space="preserve"> that;</w:t>
      </w:r>
    </w:p>
    <w:p w:rsidR="008B309E" w:rsidRDefault="008B309E" w:rsidP="008B309E">
      <w:pPr>
        <w:spacing w:after="0" w:line="240" w:lineRule="auto"/>
        <w:ind w:left="720"/>
        <w:jc w:val="both"/>
        <w:rPr>
          <w:sz w:val="24"/>
          <w:szCs w:val="24"/>
        </w:rPr>
      </w:pPr>
      <w:r>
        <w:rPr>
          <w:sz w:val="24"/>
          <w:szCs w:val="24"/>
        </w:rPr>
        <w:t>“No labour officer shall entertain any dispute or unfair labour practice unless has otherwise came to his attention with two years from the date when the dispute or unfair labour practice first arose.”</w:t>
      </w:r>
    </w:p>
    <w:p w:rsidR="008B309E" w:rsidRDefault="008B309E" w:rsidP="008B309E">
      <w:pPr>
        <w:spacing w:after="0" w:line="240" w:lineRule="auto"/>
        <w:ind w:left="720"/>
        <w:jc w:val="both"/>
        <w:rPr>
          <w:sz w:val="24"/>
          <w:szCs w:val="24"/>
        </w:rPr>
      </w:pPr>
    </w:p>
    <w:p w:rsidR="008B309E" w:rsidRDefault="00BF0FE1" w:rsidP="008B309E">
      <w:pPr>
        <w:spacing w:after="0" w:line="360" w:lineRule="auto"/>
        <w:ind w:left="720"/>
        <w:jc w:val="both"/>
        <w:rPr>
          <w:sz w:val="28"/>
          <w:szCs w:val="28"/>
        </w:rPr>
      </w:pPr>
      <w:r>
        <w:rPr>
          <w:sz w:val="28"/>
          <w:szCs w:val="28"/>
        </w:rPr>
        <w:t xml:space="preserve">Respondent was dismissed on 7 October 2004.  The respondent told this </w:t>
      </w:r>
    </w:p>
    <w:p w:rsidR="00BF0FE1" w:rsidRDefault="00BF0FE1" w:rsidP="00BF0FE1">
      <w:pPr>
        <w:spacing w:after="0" w:line="360" w:lineRule="auto"/>
        <w:jc w:val="both"/>
        <w:rPr>
          <w:sz w:val="28"/>
          <w:szCs w:val="28"/>
        </w:rPr>
      </w:pPr>
      <w:proofErr w:type="gramStart"/>
      <w:r>
        <w:rPr>
          <w:sz w:val="28"/>
          <w:szCs w:val="28"/>
        </w:rPr>
        <w:t>court</w:t>
      </w:r>
      <w:proofErr w:type="gramEnd"/>
      <w:r>
        <w:rPr>
          <w:sz w:val="28"/>
          <w:szCs w:val="28"/>
        </w:rPr>
        <w:t xml:space="preserve"> that he then took up the matter for conciliation in January 2005 i.e. 4 months after the unfair dismissal.  The appellant did not adduce any evidence to the contrary.  It therefore follows that the matter was referred to the Ministry of Labour with</w:t>
      </w:r>
      <w:r w:rsidR="001B44D2">
        <w:rPr>
          <w:sz w:val="28"/>
          <w:szCs w:val="28"/>
        </w:rPr>
        <w:t>in two years from the date when</w:t>
      </w:r>
      <w:r>
        <w:rPr>
          <w:sz w:val="28"/>
          <w:szCs w:val="28"/>
        </w:rPr>
        <w:t xml:space="preserve"> the dispute had first </w:t>
      </w:r>
      <w:r w:rsidR="001B44D2">
        <w:rPr>
          <w:sz w:val="28"/>
          <w:szCs w:val="28"/>
        </w:rPr>
        <w:t>risen a</w:t>
      </w:r>
      <w:r>
        <w:rPr>
          <w:sz w:val="28"/>
          <w:szCs w:val="28"/>
        </w:rPr>
        <w:t>t conciliation the mat</w:t>
      </w:r>
      <w:r w:rsidR="001B44D2">
        <w:rPr>
          <w:sz w:val="28"/>
          <w:szCs w:val="28"/>
        </w:rPr>
        <w:t>ter was given its case number as</w:t>
      </w:r>
      <w:r>
        <w:rPr>
          <w:sz w:val="28"/>
          <w:szCs w:val="28"/>
        </w:rPr>
        <w:t xml:space="preserve"> 050/50 at the Ministry of Labour.</w:t>
      </w:r>
    </w:p>
    <w:p w:rsidR="00BF0FE1" w:rsidRDefault="00BF0FE1" w:rsidP="00BF0FE1">
      <w:pPr>
        <w:spacing w:after="0" w:line="360" w:lineRule="auto"/>
        <w:jc w:val="both"/>
        <w:rPr>
          <w:sz w:val="28"/>
          <w:szCs w:val="28"/>
        </w:rPr>
      </w:pPr>
    </w:p>
    <w:p w:rsidR="001B44D2" w:rsidRDefault="00BF0FE1" w:rsidP="00BF0FE1">
      <w:pPr>
        <w:spacing w:after="0" w:line="360" w:lineRule="auto"/>
        <w:jc w:val="both"/>
        <w:rPr>
          <w:sz w:val="28"/>
          <w:szCs w:val="28"/>
        </w:rPr>
      </w:pPr>
      <w:r>
        <w:rPr>
          <w:sz w:val="28"/>
          <w:szCs w:val="28"/>
        </w:rPr>
        <w:tab/>
        <w:t xml:space="preserve">Furthermore section 12 B </w:t>
      </w:r>
      <w:r w:rsidR="001B44D2">
        <w:rPr>
          <w:sz w:val="28"/>
          <w:szCs w:val="28"/>
        </w:rPr>
        <w:t>(2)</w:t>
      </w:r>
      <w:r w:rsidR="00B008EA">
        <w:rPr>
          <w:sz w:val="28"/>
          <w:szCs w:val="28"/>
        </w:rPr>
        <w:t xml:space="preserve"> (6)</w:t>
      </w:r>
      <w:r w:rsidR="001B44D2">
        <w:rPr>
          <w:sz w:val="28"/>
          <w:szCs w:val="28"/>
        </w:rPr>
        <w:t xml:space="preserve"> states that</w:t>
      </w:r>
    </w:p>
    <w:p w:rsidR="00BF0FE1" w:rsidRPr="001B44D2" w:rsidRDefault="001B44D2" w:rsidP="001B44D2">
      <w:pPr>
        <w:spacing w:after="0" w:line="240" w:lineRule="auto"/>
        <w:ind w:left="720"/>
        <w:jc w:val="both"/>
        <w:rPr>
          <w:sz w:val="24"/>
          <w:szCs w:val="24"/>
        </w:rPr>
      </w:pPr>
      <w:r w:rsidRPr="001B44D2">
        <w:rPr>
          <w:sz w:val="24"/>
          <w:szCs w:val="24"/>
        </w:rPr>
        <w:t>“Every employee has the right not to be unfairly dismissed if subject to subsection (3), the employer failed to show that he dismissed the employee in terms of an employment code…”</w:t>
      </w:r>
    </w:p>
    <w:p w:rsidR="00BF0FE1" w:rsidRDefault="00BF0FE1" w:rsidP="00BF0FE1">
      <w:pPr>
        <w:spacing w:after="0" w:line="360" w:lineRule="auto"/>
        <w:jc w:val="both"/>
        <w:rPr>
          <w:sz w:val="28"/>
          <w:szCs w:val="28"/>
        </w:rPr>
      </w:pPr>
    </w:p>
    <w:p w:rsidR="00BF0FE1" w:rsidRDefault="00BF0FE1" w:rsidP="00BF0FE1">
      <w:pPr>
        <w:spacing w:after="0" w:line="360" w:lineRule="auto"/>
        <w:jc w:val="both"/>
        <w:rPr>
          <w:sz w:val="28"/>
          <w:szCs w:val="28"/>
        </w:rPr>
      </w:pPr>
      <w:r>
        <w:rPr>
          <w:sz w:val="28"/>
          <w:szCs w:val="28"/>
        </w:rPr>
        <w:tab/>
        <w:t xml:space="preserve">This therefore means that respondent was </w:t>
      </w:r>
      <w:proofErr w:type="spellStart"/>
      <w:proofErr w:type="gramStart"/>
      <w:r w:rsidR="00AD51BD">
        <w:rPr>
          <w:sz w:val="28"/>
          <w:szCs w:val="28"/>
        </w:rPr>
        <w:t>suppose</w:t>
      </w:r>
      <w:proofErr w:type="gramEnd"/>
      <w:r w:rsidR="00AD51BD">
        <w:rPr>
          <w:sz w:val="28"/>
          <w:szCs w:val="28"/>
        </w:rPr>
        <w:t xml:space="preserve"> to</w:t>
      </w:r>
      <w:proofErr w:type="spellEnd"/>
      <w:r w:rsidR="00AD51BD">
        <w:rPr>
          <w:sz w:val="28"/>
          <w:szCs w:val="28"/>
        </w:rPr>
        <w:t xml:space="preserve"> be charged under the </w:t>
      </w:r>
      <w:r>
        <w:rPr>
          <w:sz w:val="28"/>
          <w:szCs w:val="28"/>
        </w:rPr>
        <w:t xml:space="preserve">Electronics Communications and Allied Industry Code. This code was registered in December 2002.  There is no evidence to show that respondent was charged under this code.  </w:t>
      </w:r>
      <w:r w:rsidR="001B44D2">
        <w:rPr>
          <w:sz w:val="28"/>
          <w:szCs w:val="28"/>
        </w:rPr>
        <w:t>In the code</w:t>
      </w:r>
      <w:r>
        <w:rPr>
          <w:sz w:val="28"/>
          <w:szCs w:val="28"/>
        </w:rPr>
        <w:t xml:space="preserve"> section 5 (1) states that</w:t>
      </w:r>
    </w:p>
    <w:p w:rsidR="00BF0FE1" w:rsidRDefault="00BF0FE1" w:rsidP="00BF0FE1">
      <w:pPr>
        <w:spacing w:after="0" w:line="240" w:lineRule="auto"/>
        <w:ind w:left="720"/>
        <w:jc w:val="both"/>
        <w:rPr>
          <w:sz w:val="24"/>
          <w:szCs w:val="24"/>
        </w:rPr>
      </w:pPr>
      <w:r>
        <w:rPr>
          <w:sz w:val="24"/>
          <w:szCs w:val="24"/>
        </w:rPr>
        <w:t>“</w:t>
      </w:r>
      <w:proofErr w:type="gramStart"/>
      <w:r>
        <w:rPr>
          <w:sz w:val="24"/>
          <w:szCs w:val="24"/>
        </w:rPr>
        <w:t>every</w:t>
      </w:r>
      <w:proofErr w:type="gramEnd"/>
      <w:r>
        <w:rPr>
          <w:sz w:val="24"/>
          <w:szCs w:val="24"/>
        </w:rPr>
        <w:t xml:space="preserve"> work place shall have a disciplinary and grievance handling committee of equal members drawn from workers and management…”</w:t>
      </w:r>
    </w:p>
    <w:p w:rsidR="00BF0FE1" w:rsidRDefault="00BF0FE1" w:rsidP="00BF0FE1">
      <w:pPr>
        <w:spacing w:after="0" w:line="240" w:lineRule="auto"/>
        <w:jc w:val="both"/>
        <w:rPr>
          <w:sz w:val="24"/>
          <w:szCs w:val="24"/>
        </w:rPr>
      </w:pPr>
    </w:p>
    <w:p w:rsidR="00BF0FE1" w:rsidRDefault="00BF0FE1" w:rsidP="00BF0FE1">
      <w:pPr>
        <w:spacing w:after="0" w:line="240" w:lineRule="auto"/>
        <w:jc w:val="both"/>
        <w:rPr>
          <w:sz w:val="24"/>
          <w:szCs w:val="24"/>
        </w:rPr>
      </w:pPr>
    </w:p>
    <w:p w:rsidR="00BF0FE1" w:rsidRDefault="00BF0FE1" w:rsidP="00BF0FE1">
      <w:pPr>
        <w:spacing w:after="0" w:line="360" w:lineRule="auto"/>
        <w:jc w:val="both"/>
        <w:rPr>
          <w:sz w:val="28"/>
          <w:szCs w:val="28"/>
        </w:rPr>
      </w:pPr>
      <w:r>
        <w:rPr>
          <w:sz w:val="24"/>
          <w:szCs w:val="24"/>
        </w:rPr>
        <w:tab/>
      </w:r>
      <w:r w:rsidRPr="00BF0FE1">
        <w:rPr>
          <w:sz w:val="28"/>
          <w:szCs w:val="28"/>
        </w:rPr>
        <w:t xml:space="preserve">Respondent in his heads of argument submitted that he only learnt about the hearing </w:t>
      </w:r>
      <w:r>
        <w:rPr>
          <w:sz w:val="28"/>
          <w:szCs w:val="28"/>
        </w:rPr>
        <w:t>when he was already standing before the panel.  The representatives were just imposed on him.  This also persuades this court to believe that there was no fair hearing.</w:t>
      </w:r>
    </w:p>
    <w:p w:rsidR="00BF0FE1" w:rsidRDefault="00BF0FE1" w:rsidP="00BF0FE1">
      <w:pPr>
        <w:spacing w:after="0" w:line="360" w:lineRule="auto"/>
        <w:jc w:val="both"/>
        <w:rPr>
          <w:sz w:val="28"/>
          <w:szCs w:val="28"/>
        </w:rPr>
      </w:pPr>
    </w:p>
    <w:p w:rsidR="00BF0FE1" w:rsidRDefault="00BF0FE1" w:rsidP="00BF0FE1">
      <w:pPr>
        <w:spacing w:after="0" w:line="360" w:lineRule="auto"/>
        <w:jc w:val="both"/>
        <w:rPr>
          <w:sz w:val="28"/>
          <w:szCs w:val="28"/>
        </w:rPr>
      </w:pPr>
      <w:r>
        <w:rPr>
          <w:sz w:val="28"/>
          <w:szCs w:val="28"/>
        </w:rPr>
        <w:tab/>
        <w:t>The appellant further submitted that the arbitrator erred by reinstating the respondent from the date of the arbitral award instead of the date of dismissal which is 7 October 2004.  Reinstating respondent from the date</w:t>
      </w:r>
      <w:r w:rsidR="005E59E4">
        <w:rPr>
          <w:sz w:val="28"/>
          <w:szCs w:val="28"/>
        </w:rPr>
        <w:t xml:space="preserve"> of the award can prejudice the respondent as the award was only issued in May 2013 which is about (9) nine years after the date of dismissal.  However section 89 (2) (a) (ii) of the Labour </w:t>
      </w:r>
      <w:r w:rsidR="00BB06E5">
        <w:rPr>
          <w:sz w:val="28"/>
          <w:szCs w:val="28"/>
        </w:rPr>
        <w:t>Act</w:t>
      </w:r>
      <w:r w:rsidR="005E59E4">
        <w:rPr>
          <w:sz w:val="28"/>
          <w:szCs w:val="28"/>
        </w:rPr>
        <w:t xml:space="preserve"> has </w:t>
      </w:r>
      <w:r w:rsidR="00BB06E5">
        <w:rPr>
          <w:sz w:val="28"/>
          <w:szCs w:val="28"/>
        </w:rPr>
        <w:t xml:space="preserve">endowed </w:t>
      </w:r>
      <w:r w:rsidR="005E59E4">
        <w:rPr>
          <w:sz w:val="28"/>
          <w:szCs w:val="28"/>
        </w:rPr>
        <w:t>the Labour Court with powers to;</w:t>
      </w:r>
    </w:p>
    <w:p w:rsidR="005E59E4" w:rsidRDefault="005E59E4" w:rsidP="005E59E4">
      <w:pPr>
        <w:spacing w:after="0" w:line="240" w:lineRule="auto"/>
        <w:ind w:left="720"/>
        <w:jc w:val="both"/>
        <w:rPr>
          <w:sz w:val="24"/>
          <w:szCs w:val="24"/>
        </w:rPr>
      </w:pPr>
      <w:r>
        <w:rPr>
          <w:sz w:val="24"/>
          <w:szCs w:val="24"/>
        </w:rPr>
        <w:t>“</w:t>
      </w:r>
      <w:proofErr w:type="gramStart"/>
      <w:r>
        <w:rPr>
          <w:sz w:val="24"/>
          <w:szCs w:val="24"/>
        </w:rPr>
        <w:t>confirm</w:t>
      </w:r>
      <w:proofErr w:type="gramEnd"/>
      <w:r>
        <w:rPr>
          <w:sz w:val="24"/>
          <w:szCs w:val="24"/>
        </w:rPr>
        <w:t>, vary, reverse or set aside the decision, order or action that is appealed against, or substitutes its own decision or order…”</w:t>
      </w:r>
    </w:p>
    <w:p w:rsidR="005E59E4" w:rsidRDefault="005E59E4" w:rsidP="005E59E4">
      <w:pPr>
        <w:spacing w:after="0" w:line="240" w:lineRule="auto"/>
        <w:ind w:left="720"/>
        <w:jc w:val="both"/>
        <w:rPr>
          <w:sz w:val="24"/>
          <w:szCs w:val="24"/>
        </w:rPr>
      </w:pPr>
    </w:p>
    <w:p w:rsidR="005E59E4" w:rsidRDefault="005E59E4" w:rsidP="005E59E4">
      <w:pPr>
        <w:spacing w:after="0" w:line="360" w:lineRule="auto"/>
        <w:ind w:left="720"/>
        <w:jc w:val="both"/>
        <w:rPr>
          <w:sz w:val="28"/>
          <w:szCs w:val="28"/>
        </w:rPr>
      </w:pPr>
      <w:r>
        <w:rPr>
          <w:sz w:val="28"/>
          <w:szCs w:val="28"/>
        </w:rPr>
        <w:t xml:space="preserve">In this case </w:t>
      </w:r>
      <w:r w:rsidR="005C7362">
        <w:rPr>
          <w:sz w:val="28"/>
          <w:szCs w:val="28"/>
        </w:rPr>
        <w:t>therefore this court can vary</w:t>
      </w:r>
      <w:r>
        <w:rPr>
          <w:sz w:val="28"/>
          <w:szCs w:val="28"/>
        </w:rPr>
        <w:t xml:space="preserve"> the arbitral order to cure the </w:t>
      </w:r>
    </w:p>
    <w:p w:rsidR="005E59E4" w:rsidRDefault="00BB06E5" w:rsidP="005E59E4">
      <w:pPr>
        <w:spacing w:after="0" w:line="360" w:lineRule="auto"/>
        <w:jc w:val="both"/>
        <w:rPr>
          <w:sz w:val="28"/>
          <w:szCs w:val="28"/>
        </w:rPr>
      </w:pPr>
      <w:proofErr w:type="gramStart"/>
      <w:r>
        <w:rPr>
          <w:sz w:val="28"/>
          <w:szCs w:val="28"/>
        </w:rPr>
        <w:t>p</w:t>
      </w:r>
      <w:r w:rsidR="005E59E4">
        <w:rPr>
          <w:sz w:val="28"/>
          <w:szCs w:val="28"/>
        </w:rPr>
        <w:t>rejudice</w:t>
      </w:r>
      <w:proofErr w:type="gramEnd"/>
      <w:r w:rsidR="005E59E4">
        <w:rPr>
          <w:sz w:val="28"/>
          <w:szCs w:val="28"/>
        </w:rPr>
        <w:t xml:space="preserve"> the respondent may </w:t>
      </w:r>
      <w:r>
        <w:rPr>
          <w:sz w:val="28"/>
          <w:szCs w:val="28"/>
        </w:rPr>
        <w:t xml:space="preserve">have </w:t>
      </w:r>
      <w:r w:rsidR="005E59E4">
        <w:rPr>
          <w:sz w:val="28"/>
          <w:szCs w:val="28"/>
        </w:rPr>
        <w:t>suffer</w:t>
      </w:r>
      <w:r>
        <w:rPr>
          <w:sz w:val="28"/>
          <w:szCs w:val="28"/>
        </w:rPr>
        <w:t>ed</w:t>
      </w:r>
      <w:r w:rsidR="005E59E4">
        <w:rPr>
          <w:sz w:val="28"/>
          <w:szCs w:val="28"/>
        </w:rPr>
        <w:t xml:space="preserve"> due to the date from which the </w:t>
      </w:r>
      <w:r w:rsidR="005C7362">
        <w:rPr>
          <w:sz w:val="28"/>
          <w:szCs w:val="28"/>
        </w:rPr>
        <w:t>award</w:t>
      </w:r>
      <w:r w:rsidR="005E59E4">
        <w:rPr>
          <w:sz w:val="28"/>
          <w:szCs w:val="28"/>
        </w:rPr>
        <w:t xml:space="preserve"> is to start operating.  However there is nothing on the </w:t>
      </w:r>
      <w:r>
        <w:rPr>
          <w:sz w:val="28"/>
          <w:szCs w:val="28"/>
        </w:rPr>
        <w:t>award</w:t>
      </w:r>
      <w:r w:rsidR="005E59E4">
        <w:rPr>
          <w:sz w:val="28"/>
          <w:szCs w:val="28"/>
        </w:rPr>
        <w:t xml:space="preserve"> to show that respondent was reinstated from which date.</w:t>
      </w:r>
    </w:p>
    <w:p w:rsidR="005E59E4" w:rsidRDefault="005E59E4" w:rsidP="005E59E4">
      <w:pPr>
        <w:spacing w:after="0" w:line="360" w:lineRule="auto"/>
        <w:jc w:val="both"/>
        <w:rPr>
          <w:sz w:val="28"/>
          <w:szCs w:val="28"/>
        </w:rPr>
      </w:pPr>
    </w:p>
    <w:p w:rsidR="005E59E4" w:rsidRDefault="005E59E4" w:rsidP="005E59E4">
      <w:pPr>
        <w:spacing w:after="0" w:line="360" w:lineRule="auto"/>
        <w:jc w:val="both"/>
        <w:rPr>
          <w:sz w:val="28"/>
          <w:szCs w:val="28"/>
        </w:rPr>
      </w:pPr>
      <w:r>
        <w:rPr>
          <w:sz w:val="28"/>
          <w:szCs w:val="28"/>
        </w:rPr>
        <w:tab/>
        <w:t xml:space="preserve">The other ground of appeal that has been raised is that the arbitrator erred by finding that the appellant should have kept records of proceedings for more than (3) three years.  It has been submitted that the dispute was taken to the Ministry of Labour for conciliation in January 2005.  It was registered under case number 050/50.  By the year 2013 the matter had not yet been concluded.  The respondent has </w:t>
      </w:r>
      <w:r w:rsidR="00BB06E5">
        <w:rPr>
          <w:sz w:val="28"/>
          <w:szCs w:val="28"/>
        </w:rPr>
        <w:t>told</w:t>
      </w:r>
      <w:r>
        <w:rPr>
          <w:sz w:val="28"/>
          <w:szCs w:val="28"/>
        </w:rPr>
        <w:t xml:space="preserve"> this court that the delay in concluding the matter was because of the appellant’s delaying tactics. The appellant was obliged to keep the respondent’s records beyond three years since the dispute had not yet been resolved.</w:t>
      </w:r>
    </w:p>
    <w:p w:rsidR="005E59E4" w:rsidRDefault="005E59E4" w:rsidP="005E59E4">
      <w:pPr>
        <w:spacing w:after="0" w:line="360" w:lineRule="auto"/>
        <w:jc w:val="both"/>
        <w:rPr>
          <w:sz w:val="28"/>
          <w:szCs w:val="28"/>
        </w:rPr>
      </w:pPr>
    </w:p>
    <w:p w:rsidR="005E59E4" w:rsidRDefault="005E59E4" w:rsidP="005E59E4">
      <w:pPr>
        <w:spacing w:after="0" w:line="360" w:lineRule="auto"/>
        <w:jc w:val="both"/>
        <w:rPr>
          <w:sz w:val="28"/>
          <w:szCs w:val="28"/>
        </w:rPr>
      </w:pPr>
      <w:r>
        <w:rPr>
          <w:sz w:val="28"/>
          <w:szCs w:val="28"/>
        </w:rPr>
        <w:tab/>
        <w:t xml:space="preserve">The other ground of appeal is that the arbitrator erred by finding that the minutes of the disciplinary hearing were inadmissible.   To start with if appellant had failed to keep respondent’s records there was no way they could </w:t>
      </w:r>
      <w:r>
        <w:rPr>
          <w:sz w:val="28"/>
          <w:szCs w:val="28"/>
        </w:rPr>
        <w:lastRenderedPageBreak/>
        <w:t>have kept records of the disciplinary hearing.  The unsigned affidavit by people w</w:t>
      </w:r>
      <w:r w:rsidR="008D41DA">
        <w:rPr>
          <w:sz w:val="28"/>
          <w:szCs w:val="28"/>
        </w:rPr>
        <w:t>ho claimed to be panel</w:t>
      </w:r>
      <w:r>
        <w:rPr>
          <w:sz w:val="28"/>
          <w:szCs w:val="28"/>
        </w:rPr>
        <w:t xml:space="preserve"> members </w:t>
      </w:r>
      <w:proofErr w:type="gramStart"/>
      <w:r>
        <w:rPr>
          <w:sz w:val="28"/>
          <w:szCs w:val="28"/>
        </w:rPr>
        <w:t>were</w:t>
      </w:r>
      <w:proofErr w:type="gramEnd"/>
      <w:r>
        <w:rPr>
          <w:sz w:val="28"/>
          <w:szCs w:val="28"/>
        </w:rPr>
        <w:t xml:space="preserve"> not </w:t>
      </w:r>
      <w:r w:rsidR="00BB06E5">
        <w:rPr>
          <w:sz w:val="28"/>
          <w:szCs w:val="28"/>
        </w:rPr>
        <w:t>authentic</w:t>
      </w:r>
      <w:r>
        <w:rPr>
          <w:sz w:val="28"/>
          <w:szCs w:val="28"/>
        </w:rPr>
        <w:t xml:space="preserve"> evidence.</w:t>
      </w:r>
    </w:p>
    <w:p w:rsidR="005E59E4" w:rsidRDefault="005E59E4" w:rsidP="005E59E4">
      <w:pPr>
        <w:spacing w:after="0" w:line="360" w:lineRule="auto"/>
        <w:jc w:val="both"/>
        <w:rPr>
          <w:sz w:val="28"/>
          <w:szCs w:val="28"/>
        </w:rPr>
      </w:pPr>
    </w:p>
    <w:p w:rsidR="005E59E4" w:rsidRDefault="005E59E4" w:rsidP="005E59E4">
      <w:pPr>
        <w:spacing w:after="0" w:line="360" w:lineRule="auto"/>
        <w:jc w:val="both"/>
        <w:rPr>
          <w:sz w:val="28"/>
          <w:szCs w:val="28"/>
        </w:rPr>
      </w:pPr>
      <w:r>
        <w:rPr>
          <w:sz w:val="28"/>
          <w:szCs w:val="28"/>
        </w:rPr>
        <w:tab/>
        <w:t>In the light of the foregoing this court find</w:t>
      </w:r>
      <w:r w:rsidR="00BB06E5">
        <w:rPr>
          <w:sz w:val="28"/>
          <w:szCs w:val="28"/>
        </w:rPr>
        <w:t>s</w:t>
      </w:r>
      <w:r>
        <w:rPr>
          <w:sz w:val="28"/>
          <w:szCs w:val="28"/>
        </w:rPr>
        <w:t xml:space="preserve"> that the appeal lacks merit.</w:t>
      </w:r>
    </w:p>
    <w:p w:rsidR="005E59E4" w:rsidRDefault="005E59E4" w:rsidP="005E59E4">
      <w:pPr>
        <w:spacing w:after="0" w:line="360" w:lineRule="auto"/>
        <w:jc w:val="both"/>
        <w:rPr>
          <w:sz w:val="28"/>
          <w:szCs w:val="28"/>
        </w:rPr>
      </w:pPr>
    </w:p>
    <w:p w:rsidR="005E59E4" w:rsidRDefault="005E59E4" w:rsidP="005E59E4">
      <w:pPr>
        <w:spacing w:after="0" w:line="360" w:lineRule="auto"/>
        <w:jc w:val="both"/>
        <w:rPr>
          <w:sz w:val="28"/>
          <w:szCs w:val="28"/>
        </w:rPr>
      </w:pPr>
      <w:r>
        <w:rPr>
          <w:sz w:val="28"/>
          <w:szCs w:val="28"/>
        </w:rPr>
        <w:tab/>
        <w:t>Accordingly it is ordered that</w:t>
      </w:r>
    </w:p>
    <w:p w:rsidR="008D41DA" w:rsidRDefault="008D41DA" w:rsidP="005E59E4">
      <w:pPr>
        <w:spacing w:after="0" w:line="360" w:lineRule="auto"/>
        <w:jc w:val="both"/>
        <w:rPr>
          <w:sz w:val="28"/>
          <w:szCs w:val="28"/>
        </w:rPr>
      </w:pPr>
    </w:p>
    <w:p w:rsidR="008D41DA" w:rsidRDefault="008D41DA" w:rsidP="008D41DA">
      <w:pPr>
        <w:pStyle w:val="ListParagraph"/>
        <w:numPr>
          <w:ilvl w:val="0"/>
          <w:numId w:val="4"/>
        </w:numPr>
        <w:spacing w:after="0" w:line="360" w:lineRule="auto"/>
        <w:jc w:val="both"/>
        <w:rPr>
          <w:sz w:val="28"/>
          <w:szCs w:val="28"/>
        </w:rPr>
      </w:pPr>
      <w:r>
        <w:rPr>
          <w:sz w:val="28"/>
          <w:szCs w:val="28"/>
        </w:rPr>
        <w:t xml:space="preserve"> The appeal be and is hereby dismissed.</w:t>
      </w:r>
    </w:p>
    <w:p w:rsidR="008D41DA" w:rsidRDefault="008D41DA" w:rsidP="008D41DA">
      <w:pPr>
        <w:pStyle w:val="ListParagraph"/>
        <w:numPr>
          <w:ilvl w:val="0"/>
          <w:numId w:val="4"/>
        </w:numPr>
        <w:spacing w:after="0" w:line="360" w:lineRule="auto"/>
        <w:jc w:val="both"/>
        <w:rPr>
          <w:sz w:val="28"/>
          <w:szCs w:val="28"/>
        </w:rPr>
      </w:pPr>
      <w:r>
        <w:rPr>
          <w:sz w:val="28"/>
          <w:szCs w:val="28"/>
        </w:rPr>
        <w:t>The respondent be and is hereby reinstated to his former position from the date of dismissal.</w:t>
      </w:r>
    </w:p>
    <w:p w:rsidR="008D41DA" w:rsidRDefault="008D41DA" w:rsidP="008D41DA">
      <w:pPr>
        <w:spacing w:after="0" w:line="360" w:lineRule="auto"/>
        <w:jc w:val="both"/>
        <w:rPr>
          <w:sz w:val="28"/>
          <w:szCs w:val="28"/>
        </w:rPr>
      </w:pPr>
    </w:p>
    <w:p w:rsidR="008D41DA" w:rsidRDefault="008D41DA" w:rsidP="008D41DA">
      <w:pPr>
        <w:spacing w:after="0" w:line="360" w:lineRule="auto"/>
        <w:jc w:val="both"/>
        <w:rPr>
          <w:sz w:val="28"/>
          <w:szCs w:val="28"/>
        </w:rPr>
      </w:pPr>
    </w:p>
    <w:p w:rsidR="008D41DA" w:rsidRPr="008D41DA" w:rsidRDefault="008D41DA" w:rsidP="008D41DA">
      <w:pPr>
        <w:spacing w:after="0" w:line="360" w:lineRule="auto"/>
        <w:jc w:val="both"/>
        <w:rPr>
          <w:sz w:val="24"/>
          <w:szCs w:val="24"/>
        </w:rPr>
      </w:pPr>
      <w:proofErr w:type="spellStart"/>
      <w:r>
        <w:rPr>
          <w:b/>
          <w:i/>
          <w:sz w:val="24"/>
          <w:szCs w:val="24"/>
        </w:rPr>
        <w:t>Mtetwa</w:t>
      </w:r>
      <w:proofErr w:type="spellEnd"/>
      <w:r>
        <w:rPr>
          <w:b/>
          <w:i/>
          <w:sz w:val="24"/>
          <w:szCs w:val="24"/>
        </w:rPr>
        <w:t xml:space="preserve">, </w:t>
      </w:r>
      <w:proofErr w:type="spellStart"/>
      <w:r>
        <w:rPr>
          <w:b/>
          <w:i/>
          <w:sz w:val="24"/>
          <w:szCs w:val="24"/>
        </w:rPr>
        <w:t>Nyambirai</w:t>
      </w:r>
      <w:proofErr w:type="spellEnd"/>
      <w:r>
        <w:rPr>
          <w:b/>
          <w:i/>
          <w:sz w:val="24"/>
          <w:szCs w:val="24"/>
        </w:rPr>
        <w:t xml:space="preserve">, </w:t>
      </w:r>
      <w:r>
        <w:rPr>
          <w:sz w:val="24"/>
          <w:szCs w:val="24"/>
        </w:rPr>
        <w:t>appellant’s legal practitioners</w:t>
      </w:r>
    </w:p>
    <w:p w:rsidR="00BF0FE1" w:rsidRPr="008B309E" w:rsidRDefault="00BF0FE1" w:rsidP="00BF0FE1">
      <w:pPr>
        <w:spacing w:after="0" w:line="360" w:lineRule="auto"/>
        <w:jc w:val="both"/>
        <w:rPr>
          <w:sz w:val="28"/>
          <w:szCs w:val="28"/>
        </w:rPr>
      </w:pPr>
    </w:p>
    <w:p w:rsidR="008B309E" w:rsidRPr="008B309E" w:rsidRDefault="008B309E" w:rsidP="008B309E">
      <w:pPr>
        <w:spacing w:line="360" w:lineRule="auto"/>
        <w:ind w:left="720"/>
        <w:jc w:val="both"/>
        <w:rPr>
          <w:i/>
          <w:sz w:val="24"/>
          <w:szCs w:val="24"/>
        </w:rPr>
      </w:pPr>
    </w:p>
    <w:p w:rsidR="00B776D6" w:rsidRPr="00B776D6" w:rsidRDefault="00B776D6" w:rsidP="00B776D6">
      <w:pPr>
        <w:spacing w:line="360" w:lineRule="auto"/>
        <w:jc w:val="both"/>
        <w:rPr>
          <w:sz w:val="28"/>
          <w:szCs w:val="28"/>
        </w:rPr>
      </w:pPr>
    </w:p>
    <w:p w:rsidR="00B776D6" w:rsidRDefault="00B776D6" w:rsidP="00B776D6">
      <w:pPr>
        <w:spacing w:line="360" w:lineRule="auto"/>
        <w:jc w:val="both"/>
        <w:rPr>
          <w:b/>
          <w:sz w:val="28"/>
          <w:szCs w:val="28"/>
        </w:rPr>
      </w:pPr>
    </w:p>
    <w:p w:rsidR="00B776D6" w:rsidRDefault="00B776D6" w:rsidP="00B776D6">
      <w:pPr>
        <w:spacing w:line="360" w:lineRule="auto"/>
        <w:jc w:val="both"/>
        <w:rPr>
          <w:b/>
          <w:sz w:val="28"/>
          <w:szCs w:val="28"/>
        </w:rPr>
      </w:pPr>
    </w:p>
    <w:p w:rsidR="00B776D6" w:rsidRPr="00B776D6" w:rsidRDefault="00B776D6" w:rsidP="00B776D6">
      <w:pPr>
        <w:spacing w:line="360" w:lineRule="auto"/>
        <w:jc w:val="both"/>
        <w:rPr>
          <w:b/>
          <w:sz w:val="28"/>
          <w:szCs w:val="28"/>
        </w:rPr>
      </w:pPr>
    </w:p>
    <w:sectPr w:rsidR="00B776D6" w:rsidRPr="00B776D6" w:rsidSect="00B776D6">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833" w:rsidRDefault="00EA0833" w:rsidP="00B776D6">
      <w:pPr>
        <w:spacing w:after="0" w:line="240" w:lineRule="auto"/>
      </w:pPr>
      <w:r>
        <w:separator/>
      </w:r>
    </w:p>
  </w:endnote>
  <w:endnote w:type="continuationSeparator" w:id="0">
    <w:p w:rsidR="00EA0833" w:rsidRDefault="00EA0833" w:rsidP="00B7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93611"/>
      <w:docPartObj>
        <w:docPartGallery w:val="Page Numbers (Bottom of Page)"/>
        <w:docPartUnique/>
      </w:docPartObj>
    </w:sdtPr>
    <w:sdtEndPr>
      <w:rPr>
        <w:noProof/>
      </w:rPr>
    </w:sdtEndPr>
    <w:sdtContent>
      <w:p w:rsidR="003B1D3E" w:rsidRDefault="003B1D3E">
        <w:pPr>
          <w:pStyle w:val="Footer"/>
          <w:jc w:val="right"/>
        </w:pPr>
        <w:r>
          <w:fldChar w:fldCharType="begin"/>
        </w:r>
        <w:r>
          <w:instrText xml:space="preserve"> PAGE   \* MERGEFORMAT </w:instrText>
        </w:r>
        <w:r>
          <w:fldChar w:fldCharType="separate"/>
        </w:r>
        <w:r w:rsidR="004A00C4">
          <w:rPr>
            <w:noProof/>
          </w:rPr>
          <w:t>4</w:t>
        </w:r>
        <w:r>
          <w:rPr>
            <w:noProof/>
          </w:rPr>
          <w:fldChar w:fldCharType="end"/>
        </w:r>
      </w:p>
    </w:sdtContent>
  </w:sdt>
  <w:p w:rsidR="003B1D3E" w:rsidRDefault="003B1D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757108"/>
      <w:docPartObj>
        <w:docPartGallery w:val="Page Numbers (Bottom of Page)"/>
        <w:docPartUnique/>
      </w:docPartObj>
    </w:sdtPr>
    <w:sdtEndPr>
      <w:rPr>
        <w:noProof/>
      </w:rPr>
    </w:sdtEndPr>
    <w:sdtContent>
      <w:p w:rsidR="005C7362" w:rsidRDefault="005C7362">
        <w:pPr>
          <w:pStyle w:val="Footer"/>
          <w:jc w:val="right"/>
        </w:pPr>
        <w:r>
          <w:fldChar w:fldCharType="begin"/>
        </w:r>
        <w:r>
          <w:instrText xml:space="preserve"> PAGE   \* MERGEFORMAT </w:instrText>
        </w:r>
        <w:r>
          <w:fldChar w:fldCharType="separate"/>
        </w:r>
        <w:r w:rsidR="004A00C4">
          <w:rPr>
            <w:noProof/>
          </w:rPr>
          <w:t>1</w:t>
        </w:r>
        <w:r>
          <w:rPr>
            <w:noProof/>
          </w:rPr>
          <w:fldChar w:fldCharType="end"/>
        </w:r>
      </w:p>
    </w:sdtContent>
  </w:sdt>
  <w:p w:rsidR="00612D85" w:rsidRDefault="00612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833" w:rsidRDefault="00EA0833" w:rsidP="00B776D6">
      <w:pPr>
        <w:spacing w:after="0" w:line="240" w:lineRule="auto"/>
      </w:pPr>
      <w:r>
        <w:separator/>
      </w:r>
    </w:p>
  </w:footnote>
  <w:footnote w:type="continuationSeparator" w:id="0">
    <w:p w:rsidR="00EA0833" w:rsidRDefault="00EA0833" w:rsidP="00B77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6D6" w:rsidRDefault="004A00C4" w:rsidP="004A00C4">
    <w:pPr>
      <w:spacing w:line="360" w:lineRule="auto"/>
      <w:ind w:left="5040"/>
      <w:jc w:val="both"/>
      <w:rPr>
        <w:b/>
        <w:sz w:val="28"/>
        <w:szCs w:val="28"/>
      </w:rPr>
    </w:pPr>
    <w:r>
      <w:rPr>
        <w:b/>
        <w:sz w:val="28"/>
        <w:szCs w:val="28"/>
      </w:rPr>
      <w:t xml:space="preserve">        </w:t>
    </w:r>
    <w:r w:rsidR="00B776D6">
      <w:rPr>
        <w:b/>
        <w:sz w:val="28"/>
        <w:szCs w:val="28"/>
      </w:rPr>
      <w:t>JUDGMENT NO LC/H/</w:t>
    </w:r>
    <w:r>
      <w:rPr>
        <w:b/>
        <w:sz w:val="28"/>
        <w:szCs w:val="28"/>
      </w:rPr>
      <w:t>493</w:t>
    </w:r>
    <w:r w:rsidR="00B776D6">
      <w:rPr>
        <w:b/>
        <w:sz w:val="28"/>
        <w:szCs w:val="28"/>
      </w:rPr>
      <w:t>/14</w:t>
    </w:r>
  </w:p>
  <w:p w:rsidR="00B776D6" w:rsidRDefault="00B776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F2581"/>
    <w:multiLevelType w:val="hybridMultilevel"/>
    <w:tmpl w:val="D5D03D3A"/>
    <w:lvl w:ilvl="0" w:tplc="6906766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9924C14"/>
    <w:multiLevelType w:val="hybridMultilevel"/>
    <w:tmpl w:val="C5C0F6A6"/>
    <w:lvl w:ilvl="0" w:tplc="C396E5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CB62A40"/>
    <w:multiLevelType w:val="hybridMultilevel"/>
    <w:tmpl w:val="35EAC7B8"/>
    <w:lvl w:ilvl="0" w:tplc="99641886">
      <w:start w:val="1"/>
      <w:numFmt w:val="lowerRoman"/>
      <w:lvlText w:val="%1)"/>
      <w:lvlJc w:val="left"/>
      <w:pPr>
        <w:ind w:left="1080" w:hanging="360"/>
      </w:pPr>
      <w:rPr>
        <w:rFonts w:asciiTheme="minorHAnsi" w:eastAsiaTheme="minorHAnsi" w:hAnsiTheme="minorHAnsi" w:cstheme="minorBid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3AB2D82"/>
    <w:multiLevelType w:val="hybridMultilevel"/>
    <w:tmpl w:val="F1CE04B2"/>
    <w:lvl w:ilvl="0" w:tplc="06E2691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D6"/>
    <w:rsid w:val="00193D74"/>
    <w:rsid w:val="001B44D2"/>
    <w:rsid w:val="003B1D3E"/>
    <w:rsid w:val="004A00C4"/>
    <w:rsid w:val="004A3A83"/>
    <w:rsid w:val="005C7362"/>
    <w:rsid w:val="005E59E4"/>
    <w:rsid w:val="00612D85"/>
    <w:rsid w:val="00797B47"/>
    <w:rsid w:val="008B309E"/>
    <w:rsid w:val="008D3911"/>
    <w:rsid w:val="008D41DA"/>
    <w:rsid w:val="009C7703"/>
    <w:rsid w:val="00AD51BD"/>
    <w:rsid w:val="00B008EA"/>
    <w:rsid w:val="00B776D6"/>
    <w:rsid w:val="00BB06E5"/>
    <w:rsid w:val="00BB7319"/>
    <w:rsid w:val="00BF0FE1"/>
    <w:rsid w:val="00EA0833"/>
    <w:rsid w:val="00F940E4"/>
    <w:rsid w:val="00F96A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6D6"/>
  </w:style>
  <w:style w:type="paragraph" w:styleId="Footer">
    <w:name w:val="footer"/>
    <w:basedOn w:val="Normal"/>
    <w:link w:val="FooterChar"/>
    <w:uiPriority w:val="99"/>
    <w:unhideWhenUsed/>
    <w:rsid w:val="00B77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6D6"/>
  </w:style>
  <w:style w:type="paragraph" w:styleId="ListParagraph">
    <w:name w:val="List Paragraph"/>
    <w:basedOn w:val="Normal"/>
    <w:uiPriority w:val="34"/>
    <w:qFormat/>
    <w:rsid w:val="00BB7319"/>
    <w:pPr>
      <w:ind w:left="720"/>
      <w:contextualSpacing/>
    </w:pPr>
  </w:style>
  <w:style w:type="paragraph" w:styleId="BalloonText">
    <w:name w:val="Balloon Text"/>
    <w:basedOn w:val="Normal"/>
    <w:link w:val="BalloonTextChar"/>
    <w:uiPriority w:val="99"/>
    <w:semiHidden/>
    <w:unhideWhenUsed/>
    <w:rsid w:val="00AD5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1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6D6"/>
  </w:style>
  <w:style w:type="paragraph" w:styleId="Footer">
    <w:name w:val="footer"/>
    <w:basedOn w:val="Normal"/>
    <w:link w:val="FooterChar"/>
    <w:uiPriority w:val="99"/>
    <w:unhideWhenUsed/>
    <w:rsid w:val="00B77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6D6"/>
  </w:style>
  <w:style w:type="paragraph" w:styleId="ListParagraph">
    <w:name w:val="List Paragraph"/>
    <w:basedOn w:val="Normal"/>
    <w:uiPriority w:val="34"/>
    <w:qFormat/>
    <w:rsid w:val="00BB7319"/>
    <w:pPr>
      <w:ind w:left="720"/>
      <w:contextualSpacing/>
    </w:pPr>
  </w:style>
  <w:style w:type="paragraph" w:styleId="BalloonText">
    <w:name w:val="Balloon Text"/>
    <w:basedOn w:val="Normal"/>
    <w:link w:val="BalloonTextChar"/>
    <w:uiPriority w:val="99"/>
    <w:semiHidden/>
    <w:unhideWhenUsed/>
    <w:rsid w:val="00AD5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1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10</cp:revision>
  <cp:lastPrinted>2014-07-25T09:43:00Z</cp:lastPrinted>
  <dcterms:created xsi:type="dcterms:W3CDTF">2014-07-21T08:32:00Z</dcterms:created>
  <dcterms:modified xsi:type="dcterms:W3CDTF">2014-07-28T07:13:00Z</dcterms:modified>
</cp:coreProperties>
</file>