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B5A0E" w14:textId="77777777" w:rsidR="00F73D09" w:rsidRPr="00543A7E" w:rsidRDefault="00F73D09" w:rsidP="00543A7E">
      <w:pPr>
        <w:pStyle w:val="NoSpacing"/>
        <w:rPr>
          <w:rFonts w:ascii="Times New Roman" w:hAnsi="Times New Roman" w:cs="Times New Roman"/>
          <w:sz w:val="24"/>
          <w:szCs w:val="24"/>
        </w:rPr>
      </w:pPr>
      <w:r w:rsidRPr="00543A7E">
        <w:rPr>
          <w:rFonts w:ascii="Times New Roman" w:hAnsi="Times New Roman" w:cs="Times New Roman"/>
          <w:sz w:val="24"/>
          <w:szCs w:val="24"/>
        </w:rPr>
        <w:t>E</w:t>
      </w:r>
      <w:bookmarkStart w:id="0" w:name="_GoBack"/>
      <w:bookmarkEnd w:id="0"/>
      <w:r w:rsidRPr="00543A7E">
        <w:rPr>
          <w:rFonts w:ascii="Times New Roman" w:hAnsi="Times New Roman" w:cs="Times New Roman"/>
          <w:sz w:val="24"/>
          <w:szCs w:val="24"/>
        </w:rPr>
        <w:t xml:space="preserve">COBANK ZIMBABWE LIMITED </w:t>
      </w:r>
    </w:p>
    <w:p w14:paraId="7954B9AF" w14:textId="593EF753" w:rsidR="004822F5" w:rsidRPr="00543A7E" w:rsidRDefault="00E86589" w:rsidP="00543A7E">
      <w:pPr>
        <w:pStyle w:val="NoSpacing"/>
        <w:rPr>
          <w:rFonts w:ascii="Times New Roman" w:hAnsi="Times New Roman" w:cs="Times New Roman"/>
          <w:sz w:val="24"/>
          <w:szCs w:val="24"/>
        </w:rPr>
      </w:pPr>
      <w:r>
        <w:rPr>
          <w:rFonts w:ascii="Times New Roman" w:hAnsi="Times New Roman" w:cs="Times New Roman"/>
          <w:sz w:val="24"/>
          <w:szCs w:val="24"/>
        </w:rPr>
        <w:t xml:space="preserve">Versus </w:t>
      </w:r>
      <w:r w:rsidR="00F73D09" w:rsidRPr="00543A7E">
        <w:rPr>
          <w:rFonts w:ascii="Times New Roman" w:hAnsi="Times New Roman" w:cs="Times New Roman"/>
          <w:sz w:val="24"/>
          <w:szCs w:val="24"/>
        </w:rPr>
        <w:t xml:space="preserve"> </w:t>
      </w:r>
    </w:p>
    <w:p w14:paraId="6E7C3014" w14:textId="40D653AC" w:rsidR="00F73D09" w:rsidRPr="00543A7E" w:rsidRDefault="00F73D09" w:rsidP="00543A7E">
      <w:pPr>
        <w:pStyle w:val="NoSpacing"/>
        <w:rPr>
          <w:rFonts w:ascii="Times New Roman" w:hAnsi="Times New Roman" w:cs="Times New Roman"/>
          <w:sz w:val="24"/>
          <w:szCs w:val="24"/>
        </w:rPr>
      </w:pPr>
      <w:r w:rsidRPr="00543A7E">
        <w:rPr>
          <w:rFonts w:ascii="Times New Roman" w:hAnsi="Times New Roman" w:cs="Times New Roman"/>
          <w:sz w:val="24"/>
          <w:szCs w:val="24"/>
        </w:rPr>
        <w:t xml:space="preserve">SOLGAS (PRIVATE) LIMITED </w:t>
      </w:r>
    </w:p>
    <w:p w14:paraId="0AF16C00" w14:textId="3A558E59" w:rsidR="00F73D09" w:rsidRPr="00543A7E" w:rsidRDefault="00F73D09" w:rsidP="00543A7E">
      <w:pPr>
        <w:pStyle w:val="NoSpacing"/>
        <w:rPr>
          <w:rFonts w:ascii="Times New Roman" w:hAnsi="Times New Roman" w:cs="Times New Roman"/>
          <w:sz w:val="24"/>
          <w:szCs w:val="24"/>
        </w:rPr>
      </w:pPr>
      <w:r w:rsidRPr="00543A7E">
        <w:rPr>
          <w:rFonts w:ascii="Times New Roman" w:hAnsi="Times New Roman" w:cs="Times New Roman"/>
          <w:sz w:val="24"/>
          <w:szCs w:val="24"/>
        </w:rPr>
        <w:t>A</w:t>
      </w:r>
      <w:r w:rsidR="000F4407">
        <w:rPr>
          <w:rFonts w:ascii="Times New Roman" w:hAnsi="Times New Roman" w:cs="Times New Roman"/>
          <w:sz w:val="24"/>
          <w:szCs w:val="24"/>
        </w:rPr>
        <w:t>nd</w:t>
      </w:r>
      <w:r w:rsidRPr="00543A7E">
        <w:rPr>
          <w:rFonts w:ascii="Times New Roman" w:hAnsi="Times New Roman" w:cs="Times New Roman"/>
          <w:sz w:val="24"/>
          <w:szCs w:val="24"/>
        </w:rPr>
        <w:t xml:space="preserve"> </w:t>
      </w:r>
    </w:p>
    <w:p w14:paraId="3CC56865" w14:textId="77777777" w:rsidR="00F73D09" w:rsidRPr="00543A7E" w:rsidRDefault="00F73D09" w:rsidP="00543A7E">
      <w:pPr>
        <w:pStyle w:val="NoSpacing"/>
        <w:rPr>
          <w:rFonts w:ascii="Times New Roman" w:hAnsi="Times New Roman" w:cs="Times New Roman"/>
          <w:sz w:val="24"/>
          <w:szCs w:val="24"/>
        </w:rPr>
      </w:pPr>
      <w:r w:rsidRPr="00543A7E">
        <w:rPr>
          <w:rFonts w:ascii="Times New Roman" w:hAnsi="Times New Roman" w:cs="Times New Roman"/>
          <w:sz w:val="24"/>
          <w:szCs w:val="24"/>
        </w:rPr>
        <w:t>TAFADZWA MUNDICHA</w:t>
      </w:r>
    </w:p>
    <w:p w14:paraId="261EC23D" w14:textId="156BF381" w:rsidR="00F73D09" w:rsidRPr="00543A7E" w:rsidRDefault="00F73D09" w:rsidP="00543A7E">
      <w:pPr>
        <w:pStyle w:val="NoSpacing"/>
        <w:rPr>
          <w:rFonts w:ascii="Times New Roman" w:hAnsi="Times New Roman" w:cs="Times New Roman"/>
          <w:sz w:val="24"/>
          <w:szCs w:val="24"/>
        </w:rPr>
      </w:pPr>
      <w:r w:rsidRPr="00543A7E">
        <w:rPr>
          <w:rFonts w:ascii="Times New Roman" w:hAnsi="Times New Roman" w:cs="Times New Roman"/>
          <w:sz w:val="24"/>
          <w:szCs w:val="24"/>
        </w:rPr>
        <w:t>A</w:t>
      </w:r>
      <w:r w:rsidR="000F4407">
        <w:rPr>
          <w:rFonts w:ascii="Times New Roman" w:hAnsi="Times New Roman" w:cs="Times New Roman"/>
          <w:sz w:val="24"/>
          <w:szCs w:val="24"/>
        </w:rPr>
        <w:t>nd</w:t>
      </w:r>
    </w:p>
    <w:p w14:paraId="148387AE" w14:textId="7BE046DA" w:rsidR="00F73D09" w:rsidRPr="00543A7E" w:rsidRDefault="00F73D09" w:rsidP="00543A7E">
      <w:pPr>
        <w:pStyle w:val="NoSpacing"/>
        <w:rPr>
          <w:rFonts w:ascii="Times New Roman" w:hAnsi="Times New Roman" w:cs="Times New Roman"/>
          <w:sz w:val="24"/>
          <w:szCs w:val="24"/>
        </w:rPr>
      </w:pPr>
      <w:r w:rsidRPr="00543A7E">
        <w:rPr>
          <w:rFonts w:ascii="Times New Roman" w:hAnsi="Times New Roman" w:cs="Times New Roman"/>
          <w:sz w:val="24"/>
          <w:szCs w:val="24"/>
        </w:rPr>
        <w:t xml:space="preserve">KINGSTON GAMUCHIRAI LEON KAMBA </w:t>
      </w:r>
    </w:p>
    <w:p w14:paraId="280CE48F" w14:textId="34C72B5E" w:rsidR="00F73D09" w:rsidRPr="00543A7E" w:rsidRDefault="00F73D09" w:rsidP="00543A7E">
      <w:pPr>
        <w:pStyle w:val="NoSpacing"/>
        <w:rPr>
          <w:rFonts w:ascii="Times New Roman" w:hAnsi="Times New Roman" w:cs="Times New Roman"/>
          <w:sz w:val="24"/>
          <w:szCs w:val="24"/>
        </w:rPr>
      </w:pPr>
      <w:r w:rsidRPr="00543A7E">
        <w:rPr>
          <w:rFonts w:ascii="Times New Roman" w:hAnsi="Times New Roman" w:cs="Times New Roman"/>
          <w:sz w:val="24"/>
          <w:szCs w:val="24"/>
        </w:rPr>
        <w:t>A</w:t>
      </w:r>
      <w:r w:rsidR="000F4407">
        <w:rPr>
          <w:rFonts w:ascii="Times New Roman" w:hAnsi="Times New Roman" w:cs="Times New Roman"/>
          <w:sz w:val="24"/>
          <w:szCs w:val="24"/>
        </w:rPr>
        <w:t>nd</w:t>
      </w:r>
      <w:r w:rsidRPr="00543A7E">
        <w:rPr>
          <w:rFonts w:ascii="Times New Roman" w:hAnsi="Times New Roman" w:cs="Times New Roman"/>
          <w:sz w:val="24"/>
          <w:szCs w:val="24"/>
        </w:rPr>
        <w:t xml:space="preserve"> </w:t>
      </w:r>
    </w:p>
    <w:p w14:paraId="577B3989" w14:textId="36F9ECCC" w:rsidR="00543A7E" w:rsidRPr="00543A7E" w:rsidRDefault="00F73D09" w:rsidP="00543A7E">
      <w:pPr>
        <w:pStyle w:val="NoSpacing"/>
        <w:rPr>
          <w:rFonts w:ascii="Times New Roman" w:hAnsi="Times New Roman" w:cs="Times New Roman"/>
          <w:sz w:val="24"/>
          <w:szCs w:val="24"/>
        </w:rPr>
      </w:pPr>
      <w:r w:rsidRPr="00543A7E">
        <w:rPr>
          <w:rFonts w:ascii="Times New Roman" w:hAnsi="Times New Roman" w:cs="Times New Roman"/>
          <w:sz w:val="24"/>
          <w:szCs w:val="24"/>
        </w:rPr>
        <w:t>PETROS KAZUNG</w:t>
      </w:r>
      <w:r w:rsidR="004822F5" w:rsidRPr="00543A7E">
        <w:rPr>
          <w:rFonts w:ascii="Times New Roman" w:hAnsi="Times New Roman" w:cs="Times New Roman"/>
          <w:sz w:val="24"/>
          <w:szCs w:val="24"/>
        </w:rPr>
        <w:t>U</w:t>
      </w:r>
    </w:p>
    <w:p w14:paraId="2E1E5DA4" w14:textId="77777777" w:rsidR="00543A7E" w:rsidRPr="00543A7E" w:rsidRDefault="00543A7E" w:rsidP="00543A7E">
      <w:pPr>
        <w:spacing w:line="360" w:lineRule="auto"/>
        <w:jc w:val="both"/>
        <w:rPr>
          <w:rFonts w:ascii="Times New Roman" w:hAnsi="Times New Roman" w:cs="Times New Roman"/>
          <w:sz w:val="24"/>
          <w:szCs w:val="24"/>
        </w:rPr>
      </w:pPr>
    </w:p>
    <w:p w14:paraId="056E8209" w14:textId="21C05256" w:rsidR="004822F5" w:rsidRPr="00543A7E" w:rsidRDefault="004822F5" w:rsidP="00543A7E">
      <w:pPr>
        <w:pStyle w:val="NoSpacing"/>
        <w:rPr>
          <w:rFonts w:ascii="Times New Roman" w:hAnsi="Times New Roman" w:cs="Times New Roman"/>
          <w:sz w:val="24"/>
          <w:szCs w:val="24"/>
        </w:rPr>
      </w:pPr>
      <w:r w:rsidRPr="00543A7E">
        <w:rPr>
          <w:rFonts w:ascii="Times New Roman" w:hAnsi="Times New Roman" w:cs="Times New Roman"/>
          <w:sz w:val="24"/>
          <w:szCs w:val="24"/>
        </w:rPr>
        <w:t>HIGH COURT OF ZIMBABWE</w:t>
      </w:r>
    </w:p>
    <w:p w14:paraId="6D1F4389" w14:textId="1AA2F1F0" w:rsidR="004822F5" w:rsidRPr="00543A7E" w:rsidRDefault="004822F5" w:rsidP="00543A7E">
      <w:pPr>
        <w:pStyle w:val="NoSpacing"/>
        <w:rPr>
          <w:rFonts w:ascii="Times New Roman" w:hAnsi="Times New Roman" w:cs="Times New Roman"/>
          <w:sz w:val="24"/>
          <w:szCs w:val="24"/>
        </w:rPr>
      </w:pPr>
      <w:r w:rsidRPr="00543A7E">
        <w:rPr>
          <w:rFonts w:ascii="Times New Roman" w:hAnsi="Times New Roman" w:cs="Times New Roman"/>
          <w:sz w:val="24"/>
          <w:szCs w:val="24"/>
        </w:rPr>
        <w:t>COMMERCIAL DIVISION</w:t>
      </w:r>
    </w:p>
    <w:p w14:paraId="3C84488E" w14:textId="3E463894" w:rsidR="004822F5" w:rsidRPr="00543A7E" w:rsidRDefault="004822F5" w:rsidP="00543A7E">
      <w:pPr>
        <w:pStyle w:val="NoSpacing"/>
        <w:rPr>
          <w:rFonts w:ascii="Times New Roman" w:hAnsi="Times New Roman" w:cs="Times New Roman"/>
          <w:sz w:val="24"/>
          <w:szCs w:val="24"/>
        </w:rPr>
      </w:pPr>
      <w:r w:rsidRPr="00543A7E">
        <w:rPr>
          <w:rFonts w:ascii="Times New Roman" w:hAnsi="Times New Roman" w:cs="Times New Roman"/>
          <w:sz w:val="24"/>
          <w:szCs w:val="24"/>
        </w:rPr>
        <w:t>CHILIMBE J</w:t>
      </w:r>
    </w:p>
    <w:p w14:paraId="78AE65EB" w14:textId="06C6001C" w:rsidR="004822F5" w:rsidRPr="00543A7E" w:rsidRDefault="004822F5" w:rsidP="00543A7E">
      <w:pPr>
        <w:pStyle w:val="NoSpacing"/>
        <w:rPr>
          <w:rFonts w:ascii="Times New Roman" w:hAnsi="Times New Roman" w:cs="Times New Roman"/>
          <w:sz w:val="24"/>
          <w:szCs w:val="24"/>
        </w:rPr>
      </w:pPr>
      <w:r w:rsidRPr="00543A7E">
        <w:rPr>
          <w:rFonts w:ascii="Times New Roman" w:hAnsi="Times New Roman" w:cs="Times New Roman"/>
          <w:sz w:val="24"/>
          <w:szCs w:val="24"/>
        </w:rPr>
        <w:t>HARARE 13 November 2024 and 14 February 2025</w:t>
      </w:r>
    </w:p>
    <w:p w14:paraId="1C483BC9" w14:textId="77777777" w:rsidR="00543A7E" w:rsidRPr="00543A7E" w:rsidRDefault="00543A7E" w:rsidP="00543A7E">
      <w:pPr>
        <w:pStyle w:val="NoSpacing"/>
        <w:spacing w:line="360" w:lineRule="auto"/>
        <w:rPr>
          <w:rFonts w:ascii="Times New Roman" w:hAnsi="Times New Roman" w:cs="Times New Roman"/>
          <w:sz w:val="24"/>
          <w:szCs w:val="24"/>
        </w:rPr>
      </w:pPr>
    </w:p>
    <w:p w14:paraId="003DE1EE" w14:textId="48144B37" w:rsidR="004822F5" w:rsidRPr="00543A7E" w:rsidRDefault="004822F5" w:rsidP="00543A7E">
      <w:pPr>
        <w:spacing w:line="360" w:lineRule="auto"/>
        <w:jc w:val="both"/>
        <w:rPr>
          <w:rFonts w:ascii="Times New Roman" w:hAnsi="Times New Roman" w:cs="Times New Roman"/>
          <w:b/>
          <w:bCs/>
          <w:sz w:val="24"/>
          <w:szCs w:val="24"/>
        </w:rPr>
      </w:pPr>
      <w:r w:rsidRPr="00543A7E">
        <w:rPr>
          <w:rFonts w:ascii="Times New Roman" w:hAnsi="Times New Roman" w:cs="Times New Roman"/>
          <w:b/>
          <w:bCs/>
          <w:sz w:val="24"/>
          <w:szCs w:val="24"/>
        </w:rPr>
        <w:t>Provisional sentence summons</w:t>
      </w:r>
    </w:p>
    <w:p w14:paraId="4F187613" w14:textId="7A0613CD" w:rsidR="004822F5" w:rsidRPr="00543A7E" w:rsidRDefault="004822F5" w:rsidP="00543A7E">
      <w:pPr>
        <w:pStyle w:val="NoSpacing"/>
        <w:rPr>
          <w:rFonts w:ascii="Times New Roman" w:hAnsi="Times New Roman" w:cs="Times New Roman"/>
          <w:sz w:val="24"/>
          <w:szCs w:val="24"/>
        </w:rPr>
      </w:pPr>
      <w:r w:rsidRPr="00543A7E">
        <w:rPr>
          <w:rFonts w:ascii="Times New Roman" w:hAnsi="Times New Roman" w:cs="Times New Roman"/>
          <w:i/>
          <w:iCs/>
          <w:sz w:val="24"/>
          <w:szCs w:val="24"/>
        </w:rPr>
        <w:t>N. Mugandiwa</w:t>
      </w:r>
      <w:r w:rsidRPr="00543A7E">
        <w:rPr>
          <w:rFonts w:ascii="Times New Roman" w:hAnsi="Times New Roman" w:cs="Times New Roman"/>
          <w:sz w:val="24"/>
          <w:szCs w:val="24"/>
        </w:rPr>
        <w:t xml:space="preserve"> with </w:t>
      </w:r>
      <w:r w:rsidRPr="00543A7E">
        <w:rPr>
          <w:rFonts w:ascii="Times New Roman" w:hAnsi="Times New Roman" w:cs="Times New Roman"/>
          <w:i/>
          <w:iCs/>
          <w:sz w:val="24"/>
          <w:szCs w:val="24"/>
        </w:rPr>
        <w:t>S.M. Bhebhe</w:t>
      </w:r>
      <w:r w:rsidRPr="00543A7E">
        <w:rPr>
          <w:rFonts w:ascii="Times New Roman" w:hAnsi="Times New Roman" w:cs="Times New Roman"/>
          <w:sz w:val="24"/>
          <w:szCs w:val="24"/>
        </w:rPr>
        <w:t xml:space="preserve"> for plaintiff </w:t>
      </w:r>
    </w:p>
    <w:p w14:paraId="03C4F62E" w14:textId="04893ED2" w:rsidR="004822F5" w:rsidRPr="00543A7E" w:rsidRDefault="004822F5" w:rsidP="00543A7E">
      <w:pPr>
        <w:pStyle w:val="NoSpacing"/>
        <w:rPr>
          <w:rFonts w:ascii="Times New Roman" w:hAnsi="Times New Roman" w:cs="Times New Roman"/>
          <w:sz w:val="24"/>
          <w:szCs w:val="24"/>
        </w:rPr>
      </w:pPr>
      <w:r w:rsidRPr="00543A7E">
        <w:rPr>
          <w:rFonts w:ascii="Times New Roman" w:hAnsi="Times New Roman" w:cs="Times New Roman"/>
          <w:i/>
          <w:iCs/>
          <w:sz w:val="24"/>
          <w:szCs w:val="24"/>
        </w:rPr>
        <w:t>M.A. Masona</w:t>
      </w:r>
      <w:r w:rsidRPr="00543A7E">
        <w:rPr>
          <w:rFonts w:ascii="Times New Roman" w:hAnsi="Times New Roman" w:cs="Times New Roman"/>
          <w:sz w:val="24"/>
          <w:szCs w:val="24"/>
        </w:rPr>
        <w:t> for first, second, third and fourth defendant</w:t>
      </w:r>
    </w:p>
    <w:p w14:paraId="4410B515" w14:textId="77777777" w:rsidR="004822F5" w:rsidRPr="00543A7E" w:rsidRDefault="004822F5" w:rsidP="00543A7E">
      <w:pPr>
        <w:spacing w:line="360" w:lineRule="auto"/>
        <w:jc w:val="both"/>
        <w:rPr>
          <w:rFonts w:ascii="Times New Roman" w:hAnsi="Times New Roman" w:cs="Times New Roman"/>
          <w:sz w:val="24"/>
          <w:szCs w:val="24"/>
        </w:rPr>
      </w:pPr>
    </w:p>
    <w:p w14:paraId="2184AD66" w14:textId="7FE7B21D" w:rsidR="004822F5" w:rsidRPr="00543A7E" w:rsidRDefault="004822F5" w:rsidP="00543A7E">
      <w:pPr>
        <w:spacing w:line="360" w:lineRule="auto"/>
        <w:jc w:val="both"/>
        <w:rPr>
          <w:rFonts w:ascii="Times New Roman" w:hAnsi="Times New Roman" w:cs="Times New Roman"/>
          <w:sz w:val="24"/>
          <w:szCs w:val="24"/>
        </w:rPr>
      </w:pPr>
      <w:r w:rsidRPr="00543A7E">
        <w:rPr>
          <w:rFonts w:ascii="Times New Roman" w:hAnsi="Times New Roman" w:cs="Times New Roman"/>
          <w:sz w:val="24"/>
          <w:szCs w:val="24"/>
        </w:rPr>
        <w:t>CHILIMBE J</w:t>
      </w:r>
    </w:p>
    <w:p w14:paraId="4C4E04D2" w14:textId="02341D9D" w:rsidR="004822F5" w:rsidRPr="00543A7E" w:rsidRDefault="004822F5" w:rsidP="00543A7E">
      <w:pPr>
        <w:spacing w:line="360" w:lineRule="auto"/>
        <w:jc w:val="both"/>
        <w:rPr>
          <w:rFonts w:ascii="Times New Roman" w:hAnsi="Times New Roman" w:cs="Times New Roman"/>
        </w:rPr>
      </w:pPr>
      <w:r w:rsidRPr="00543A7E">
        <w:rPr>
          <w:rFonts w:ascii="Times New Roman" w:hAnsi="Times New Roman" w:cs="Times New Roman"/>
        </w:rPr>
        <w:t>BACKGROUND</w:t>
      </w:r>
    </w:p>
    <w:p w14:paraId="311811BD" w14:textId="3913994F" w:rsidR="00B03C92" w:rsidRDefault="004822F5" w:rsidP="00543A7E">
      <w:pPr>
        <w:spacing w:line="360" w:lineRule="auto"/>
        <w:jc w:val="both"/>
        <w:rPr>
          <w:rFonts w:ascii="Times New Roman" w:hAnsi="Times New Roman" w:cs="Times New Roman"/>
          <w:sz w:val="24"/>
          <w:szCs w:val="24"/>
        </w:rPr>
      </w:pPr>
      <w:r w:rsidRPr="00543A7E">
        <w:rPr>
          <w:rFonts w:ascii="Times New Roman" w:hAnsi="Times New Roman" w:cs="Times New Roman"/>
          <w:sz w:val="24"/>
          <w:szCs w:val="24"/>
        </w:rPr>
        <w:t>[1] I furnish here</w:t>
      </w:r>
      <w:r w:rsidR="00B32E6F">
        <w:rPr>
          <w:rFonts w:ascii="Times New Roman" w:hAnsi="Times New Roman" w:cs="Times New Roman"/>
          <w:sz w:val="24"/>
          <w:szCs w:val="24"/>
        </w:rPr>
        <w:t xml:space="preserve">under </w:t>
      </w:r>
      <w:r w:rsidRPr="00543A7E">
        <w:rPr>
          <w:rFonts w:ascii="Times New Roman" w:hAnsi="Times New Roman" w:cs="Times New Roman"/>
          <w:sz w:val="24"/>
          <w:szCs w:val="24"/>
        </w:rPr>
        <w:t xml:space="preserve">on request, the reasons for my </w:t>
      </w:r>
      <w:r w:rsidR="00FA23C9">
        <w:rPr>
          <w:rFonts w:ascii="Times New Roman" w:hAnsi="Times New Roman" w:cs="Times New Roman"/>
          <w:sz w:val="24"/>
          <w:szCs w:val="24"/>
        </w:rPr>
        <w:t>ruling in</w:t>
      </w:r>
      <w:r w:rsidR="00420683">
        <w:rPr>
          <w:rFonts w:ascii="Times New Roman" w:hAnsi="Times New Roman" w:cs="Times New Roman"/>
          <w:sz w:val="24"/>
          <w:szCs w:val="24"/>
        </w:rPr>
        <w:t xml:space="preserve"> </w:t>
      </w:r>
      <w:r w:rsidR="00FA23C9">
        <w:rPr>
          <w:rFonts w:ascii="Times New Roman" w:hAnsi="Times New Roman" w:cs="Times New Roman"/>
          <w:sz w:val="24"/>
          <w:szCs w:val="24"/>
        </w:rPr>
        <w:t>granting a</w:t>
      </w:r>
      <w:r w:rsidRPr="00543A7E">
        <w:rPr>
          <w:rFonts w:ascii="Times New Roman" w:hAnsi="Times New Roman" w:cs="Times New Roman"/>
          <w:sz w:val="24"/>
          <w:szCs w:val="24"/>
        </w:rPr>
        <w:t xml:space="preserve"> provisional sentence order after </w:t>
      </w:r>
      <w:r w:rsidR="00E86589">
        <w:rPr>
          <w:rFonts w:ascii="Times New Roman" w:hAnsi="Times New Roman" w:cs="Times New Roman"/>
          <w:sz w:val="24"/>
          <w:szCs w:val="24"/>
        </w:rPr>
        <w:t xml:space="preserve">appearance of the parties on </w:t>
      </w:r>
      <w:r w:rsidRPr="00543A7E">
        <w:rPr>
          <w:rFonts w:ascii="Times New Roman" w:hAnsi="Times New Roman" w:cs="Times New Roman"/>
          <w:sz w:val="24"/>
          <w:szCs w:val="24"/>
        </w:rPr>
        <w:t xml:space="preserve">13 November 2024.The order </w:t>
      </w:r>
      <w:r w:rsidR="00B03C92" w:rsidRPr="00543A7E">
        <w:rPr>
          <w:rFonts w:ascii="Times New Roman" w:hAnsi="Times New Roman" w:cs="Times New Roman"/>
          <w:sz w:val="24"/>
          <w:szCs w:val="24"/>
        </w:rPr>
        <w:t>directed the defendants jointly or severally to pay plaintiff the sum of US$568,930.27 plus interest and costs.</w:t>
      </w:r>
    </w:p>
    <w:p w14:paraId="4CB29091" w14:textId="2D2D39AF" w:rsidR="002544AE" w:rsidRDefault="00B32E6F" w:rsidP="00543A7E">
      <w:pPr>
        <w:spacing w:line="360" w:lineRule="auto"/>
        <w:jc w:val="both"/>
        <w:rPr>
          <w:rFonts w:ascii="Times New Roman" w:hAnsi="Times New Roman" w:cs="Times New Roman"/>
          <w:sz w:val="24"/>
          <w:szCs w:val="24"/>
        </w:rPr>
      </w:pPr>
      <w:r>
        <w:rPr>
          <w:rFonts w:ascii="Times New Roman" w:hAnsi="Times New Roman" w:cs="Times New Roman"/>
          <w:sz w:val="24"/>
          <w:szCs w:val="24"/>
        </w:rPr>
        <w:t>[2] I may state at the outset that once a notice of opposition is filed before the set down date of a provisional sentence summons, the matter automatically converts to an opposed application. This is the direction in r 14 (7) of the High Court Rules, SI 123/2021 (“the High Court Rules”)</w:t>
      </w:r>
      <w:r w:rsidR="00DC7D8E">
        <w:rPr>
          <w:rFonts w:ascii="Times New Roman" w:hAnsi="Times New Roman" w:cs="Times New Roman"/>
          <w:sz w:val="24"/>
          <w:szCs w:val="24"/>
        </w:rPr>
        <w:t xml:space="preserve"> which governs the provisional sentence procedure</w:t>
      </w:r>
      <w:r>
        <w:rPr>
          <w:rFonts w:ascii="Times New Roman" w:hAnsi="Times New Roman" w:cs="Times New Roman"/>
          <w:sz w:val="24"/>
          <w:szCs w:val="24"/>
        </w:rPr>
        <w:t>. It is the responsibility of the plaintiff to have the matter re</w:t>
      </w:r>
      <w:r w:rsidR="001A5FD7">
        <w:rPr>
          <w:rFonts w:ascii="Times New Roman" w:hAnsi="Times New Roman" w:cs="Times New Roman"/>
          <w:sz w:val="24"/>
          <w:szCs w:val="24"/>
        </w:rPr>
        <w:t>ferred to the opposed roll</w:t>
      </w:r>
      <w:r>
        <w:rPr>
          <w:rFonts w:ascii="Times New Roman" w:hAnsi="Times New Roman" w:cs="Times New Roman"/>
          <w:sz w:val="24"/>
          <w:szCs w:val="24"/>
        </w:rPr>
        <w:t xml:space="preserve">. </w:t>
      </w:r>
    </w:p>
    <w:p w14:paraId="42EEE047" w14:textId="5330CAA1" w:rsidR="002544AE" w:rsidRDefault="002544AE" w:rsidP="00543A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B32E6F">
        <w:rPr>
          <w:rFonts w:ascii="Times New Roman" w:hAnsi="Times New Roman" w:cs="Times New Roman"/>
          <w:sz w:val="24"/>
          <w:szCs w:val="24"/>
        </w:rPr>
        <w:t xml:space="preserve">Secondly, the defendant`s options on the set down date are limited to admitting </w:t>
      </w:r>
      <w:r w:rsidR="001A5FD7">
        <w:rPr>
          <w:rFonts w:ascii="Times New Roman" w:hAnsi="Times New Roman" w:cs="Times New Roman"/>
          <w:sz w:val="24"/>
          <w:szCs w:val="24"/>
        </w:rPr>
        <w:t xml:space="preserve">to </w:t>
      </w:r>
      <w:r w:rsidR="00B32E6F">
        <w:rPr>
          <w:rFonts w:ascii="Times New Roman" w:hAnsi="Times New Roman" w:cs="Times New Roman"/>
          <w:sz w:val="24"/>
          <w:szCs w:val="24"/>
        </w:rPr>
        <w:t>the claim, confirming validity of his signature on the liquid document or disputing the claim</w:t>
      </w:r>
      <w:r>
        <w:rPr>
          <w:rFonts w:ascii="Times New Roman" w:hAnsi="Times New Roman" w:cs="Times New Roman"/>
          <w:sz w:val="24"/>
          <w:szCs w:val="24"/>
        </w:rPr>
        <w:t xml:space="preserve"> [rr 14 (8) and 14 (9)</w:t>
      </w:r>
      <w:r w:rsidR="00E22BA4">
        <w:rPr>
          <w:rFonts w:ascii="Times New Roman" w:hAnsi="Times New Roman" w:cs="Times New Roman"/>
          <w:sz w:val="24"/>
          <w:szCs w:val="24"/>
        </w:rPr>
        <w:t>]</w:t>
      </w:r>
      <w:r>
        <w:rPr>
          <w:rFonts w:ascii="Times New Roman" w:hAnsi="Times New Roman" w:cs="Times New Roman"/>
          <w:sz w:val="24"/>
          <w:szCs w:val="24"/>
        </w:rPr>
        <w:t>.</w:t>
      </w:r>
      <w:r w:rsidR="00B32E6F">
        <w:rPr>
          <w:rFonts w:ascii="Times New Roman" w:hAnsi="Times New Roman" w:cs="Times New Roman"/>
          <w:sz w:val="24"/>
          <w:szCs w:val="24"/>
        </w:rPr>
        <w:t xml:space="preserve"> Lastly, it must at all times be remembered that provisional sentence offers </w:t>
      </w:r>
      <w:r>
        <w:rPr>
          <w:rFonts w:ascii="Times New Roman" w:hAnsi="Times New Roman" w:cs="Times New Roman"/>
          <w:sz w:val="24"/>
          <w:szCs w:val="24"/>
        </w:rPr>
        <w:t>a “</w:t>
      </w:r>
      <w:r w:rsidR="00B32E6F" w:rsidRPr="001A5FD7">
        <w:rPr>
          <w:rFonts w:ascii="Times New Roman" w:hAnsi="Times New Roman" w:cs="Times New Roman"/>
          <w:i/>
          <w:iCs/>
          <w:sz w:val="24"/>
          <w:szCs w:val="24"/>
        </w:rPr>
        <w:t xml:space="preserve">brisk and robust </w:t>
      </w:r>
      <w:r w:rsidRPr="001A5FD7">
        <w:rPr>
          <w:rFonts w:ascii="Times New Roman" w:hAnsi="Times New Roman" w:cs="Times New Roman"/>
          <w:i/>
          <w:iCs/>
          <w:sz w:val="24"/>
          <w:szCs w:val="24"/>
        </w:rPr>
        <w:t>remedy”</w:t>
      </w:r>
      <w:r w:rsidR="00E22BA4">
        <w:rPr>
          <w:rStyle w:val="FootnoteReference"/>
          <w:rFonts w:ascii="Times New Roman" w:hAnsi="Times New Roman" w:cs="Times New Roman"/>
          <w:sz w:val="24"/>
          <w:szCs w:val="24"/>
        </w:rPr>
        <w:footnoteReference w:id="1"/>
      </w:r>
      <w:r>
        <w:rPr>
          <w:rFonts w:ascii="Times New Roman" w:hAnsi="Times New Roman" w:cs="Times New Roman"/>
          <w:sz w:val="24"/>
          <w:szCs w:val="24"/>
        </w:rPr>
        <w:t>. It</w:t>
      </w:r>
      <w:r w:rsidR="00B32E6F">
        <w:rPr>
          <w:rFonts w:ascii="Times New Roman" w:hAnsi="Times New Roman" w:cs="Times New Roman"/>
          <w:sz w:val="24"/>
          <w:szCs w:val="24"/>
        </w:rPr>
        <w:t xml:space="preserve"> is both summary and </w:t>
      </w:r>
      <w:r>
        <w:rPr>
          <w:rFonts w:ascii="Times New Roman" w:hAnsi="Times New Roman" w:cs="Times New Roman"/>
          <w:sz w:val="24"/>
          <w:szCs w:val="24"/>
        </w:rPr>
        <w:t>provisional</w:t>
      </w:r>
      <w:r w:rsidR="00E22BA4">
        <w:rPr>
          <w:rFonts w:ascii="Times New Roman" w:hAnsi="Times New Roman" w:cs="Times New Roman"/>
          <w:sz w:val="24"/>
          <w:szCs w:val="24"/>
        </w:rPr>
        <w:t xml:space="preserve"> as </w:t>
      </w:r>
      <w:r w:rsidR="005F69FF">
        <w:rPr>
          <w:rFonts w:ascii="Times New Roman" w:hAnsi="Times New Roman" w:cs="Times New Roman"/>
          <w:sz w:val="24"/>
          <w:szCs w:val="24"/>
        </w:rPr>
        <w:t>per r</w:t>
      </w:r>
      <w:r>
        <w:rPr>
          <w:rFonts w:ascii="Times New Roman" w:hAnsi="Times New Roman" w:cs="Times New Roman"/>
          <w:sz w:val="24"/>
          <w:szCs w:val="24"/>
        </w:rPr>
        <w:t xml:space="preserve"> 14 (6)</w:t>
      </w:r>
      <w:r w:rsidR="00E22BA4">
        <w:rPr>
          <w:rFonts w:ascii="Times New Roman" w:hAnsi="Times New Roman" w:cs="Times New Roman"/>
          <w:sz w:val="24"/>
          <w:szCs w:val="24"/>
        </w:rPr>
        <w:t xml:space="preserve"> which provides </w:t>
      </w:r>
      <w:r w:rsidR="005F69FF">
        <w:rPr>
          <w:rFonts w:ascii="Times New Roman" w:hAnsi="Times New Roman" w:cs="Times New Roman"/>
          <w:sz w:val="24"/>
          <w:szCs w:val="24"/>
        </w:rPr>
        <w:t>that; -</w:t>
      </w:r>
    </w:p>
    <w:p w14:paraId="51C96508" w14:textId="2701B8B9" w:rsidR="00B32E6F" w:rsidRDefault="005F69FF" w:rsidP="005F69FF">
      <w:pPr>
        <w:spacing w:line="360" w:lineRule="auto"/>
        <w:ind w:left="851"/>
        <w:jc w:val="both"/>
        <w:rPr>
          <w:rFonts w:ascii="Times New Roman" w:hAnsi="Times New Roman" w:cs="Times New Roman"/>
          <w:sz w:val="24"/>
          <w:szCs w:val="24"/>
          <w:u w:val="single"/>
        </w:rPr>
      </w:pPr>
      <w:r w:rsidRPr="005F69FF">
        <w:rPr>
          <w:rFonts w:ascii="Times New Roman" w:hAnsi="Times New Roman" w:cs="Times New Roman"/>
          <w:sz w:val="24"/>
          <w:szCs w:val="24"/>
        </w:rPr>
        <w:lastRenderedPageBreak/>
        <w:t xml:space="preserve">14(6) Matters for provisional sentence shall be set down on a roll assigned for such matters not being a day assigned for unopposed matters </w:t>
      </w:r>
      <w:r w:rsidRPr="005F69FF">
        <w:rPr>
          <w:rFonts w:ascii="Times New Roman" w:hAnsi="Times New Roman" w:cs="Times New Roman"/>
          <w:sz w:val="24"/>
          <w:szCs w:val="24"/>
          <w:u w:val="single"/>
        </w:rPr>
        <w:t>and shall be disposed of as expeditiously as possible having regard to the nature of the remedy of provisional sentence.</w:t>
      </w:r>
      <w:r w:rsidR="002544AE" w:rsidRPr="005F69FF">
        <w:rPr>
          <w:rFonts w:ascii="Times New Roman" w:hAnsi="Times New Roman" w:cs="Times New Roman"/>
          <w:sz w:val="24"/>
          <w:szCs w:val="24"/>
          <w:u w:val="single"/>
        </w:rPr>
        <w:t xml:space="preserve"> </w:t>
      </w:r>
    </w:p>
    <w:p w14:paraId="13AD6075" w14:textId="076E6126" w:rsidR="00DC7D8E" w:rsidRPr="005F69FF" w:rsidRDefault="00DC7D8E" w:rsidP="00DC7D8E">
      <w:pPr>
        <w:spacing w:line="360" w:lineRule="auto"/>
        <w:jc w:val="both"/>
        <w:rPr>
          <w:rFonts w:ascii="Times New Roman" w:hAnsi="Times New Roman" w:cs="Times New Roman"/>
          <w:sz w:val="24"/>
          <w:szCs w:val="24"/>
          <w:u w:val="single"/>
        </w:rPr>
      </w:pPr>
      <w:r w:rsidRPr="00543A7E">
        <w:rPr>
          <w:rFonts w:ascii="Times New Roman" w:hAnsi="Times New Roman" w:cs="Times New Roman"/>
          <w:sz w:val="24"/>
          <w:szCs w:val="24"/>
        </w:rPr>
        <w:t xml:space="preserve"> </w:t>
      </w:r>
      <w:r>
        <w:rPr>
          <w:rFonts w:ascii="Times New Roman" w:hAnsi="Times New Roman" w:cs="Times New Roman"/>
          <w:sz w:val="24"/>
          <w:szCs w:val="24"/>
        </w:rPr>
        <w:t>I shall discuss r 14- together with the authorities on the matter in greater detail hereunder.  Meanwhile, I turn to the facts on the dispute</w:t>
      </w:r>
    </w:p>
    <w:p w14:paraId="655C72F9" w14:textId="67520249" w:rsidR="00B03C92" w:rsidRPr="00543A7E" w:rsidRDefault="00B03C92" w:rsidP="00543A7E">
      <w:pPr>
        <w:spacing w:line="360" w:lineRule="auto"/>
        <w:jc w:val="both"/>
        <w:rPr>
          <w:rFonts w:ascii="Times New Roman" w:hAnsi="Times New Roman" w:cs="Times New Roman"/>
        </w:rPr>
      </w:pPr>
      <w:r w:rsidRPr="00543A7E">
        <w:rPr>
          <w:rFonts w:ascii="Times New Roman" w:hAnsi="Times New Roman" w:cs="Times New Roman"/>
        </w:rPr>
        <w:t xml:space="preserve">THE </w:t>
      </w:r>
      <w:r w:rsidR="00AE1736">
        <w:rPr>
          <w:rFonts w:ascii="Times New Roman" w:hAnsi="Times New Roman" w:cs="Times New Roman"/>
        </w:rPr>
        <w:t xml:space="preserve">LOAN AND SECURITY AGREEMENTS </w:t>
      </w:r>
    </w:p>
    <w:p w14:paraId="001705E4" w14:textId="122BC414" w:rsidR="00661A21" w:rsidRPr="00543A7E" w:rsidRDefault="00B03C92" w:rsidP="00543A7E">
      <w:pPr>
        <w:spacing w:line="360" w:lineRule="auto"/>
        <w:jc w:val="both"/>
        <w:rPr>
          <w:rFonts w:ascii="Times New Roman" w:hAnsi="Times New Roman" w:cs="Times New Roman"/>
          <w:sz w:val="24"/>
          <w:szCs w:val="24"/>
        </w:rPr>
      </w:pPr>
      <w:r w:rsidRPr="00543A7E">
        <w:rPr>
          <w:rFonts w:ascii="Times New Roman" w:hAnsi="Times New Roman" w:cs="Times New Roman"/>
          <w:sz w:val="24"/>
          <w:szCs w:val="24"/>
        </w:rPr>
        <w:t>[</w:t>
      </w:r>
      <w:r w:rsidR="00BB398C">
        <w:rPr>
          <w:rFonts w:ascii="Times New Roman" w:hAnsi="Times New Roman" w:cs="Times New Roman"/>
          <w:sz w:val="24"/>
          <w:szCs w:val="24"/>
        </w:rPr>
        <w:t>4</w:t>
      </w:r>
      <w:r w:rsidR="00DC7D8E">
        <w:rPr>
          <w:rFonts w:ascii="Times New Roman" w:hAnsi="Times New Roman" w:cs="Times New Roman"/>
          <w:sz w:val="24"/>
          <w:szCs w:val="24"/>
        </w:rPr>
        <w:t xml:space="preserve">] </w:t>
      </w:r>
      <w:r w:rsidRPr="00543A7E">
        <w:rPr>
          <w:rFonts w:ascii="Times New Roman" w:hAnsi="Times New Roman" w:cs="Times New Roman"/>
          <w:sz w:val="24"/>
          <w:szCs w:val="24"/>
        </w:rPr>
        <w:t xml:space="preserve">The plaintiff </w:t>
      </w:r>
      <w:r w:rsidR="00661A21" w:rsidRPr="00543A7E">
        <w:rPr>
          <w:rFonts w:ascii="Times New Roman" w:hAnsi="Times New Roman" w:cs="Times New Roman"/>
          <w:sz w:val="24"/>
          <w:szCs w:val="24"/>
        </w:rPr>
        <w:t xml:space="preserve">(“Ecobank”) </w:t>
      </w:r>
      <w:r w:rsidRPr="00543A7E">
        <w:rPr>
          <w:rFonts w:ascii="Times New Roman" w:hAnsi="Times New Roman" w:cs="Times New Roman"/>
          <w:sz w:val="24"/>
          <w:szCs w:val="24"/>
        </w:rPr>
        <w:t xml:space="preserve">is a bank registered and licenced in terms of the laws of Zimbabwe. In that capacity, it offers loans, advances and other such credit facilities to borrowers. The first defendant </w:t>
      </w:r>
      <w:r w:rsidR="00661A21" w:rsidRPr="00543A7E">
        <w:rPr>
          <w:rFonts w:ascii="Times New Roman" w:hAnsi="Times New Roman" w:cs="Times New Roman"/>
          <w:sz w:val="24"/>
          <w:szCs w:val="24"/>
        </w:rPr>
        <w:t>(“Solgas”) is also a registered entity in terms of the laws of Zimbabwe. It is in the business of solar power generation.</w:t>
      </w:r>
    </w:p>
    <w:p w14:paraId="483D0637" w14:textId="404CE74A" w:rsidR="00857AB4" w:rsidRPr="00543A7E" w:rsidRDefault="00BB398C" w:rsidP="00543A7E">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661A21" w:rsidRPr="00543A7E">
        <w:rPr>
          <w:rFonts w:ascii="Times New Roman" w:hAnsi="Times New Roman" w:cs="Times New Roman"/>
          <w:sz w:val="24"/>
          <w:szCs w:val="24"/>
        </w:rPr>
        <w:t xml:space="preserve">] By written agreement dated </w:t>
      </w:r>
      <w:r w:rsidR="00857AB4" w:rsidRPr="00543A7E">
        <w:rPr>
          <w:rFonts w:ascii="Times New Roman" w:hAnsi="Times New Roman" w:cs="Times New Roman"/>
          <w:sz w:val="24"/>
          <w:szCs w:val="24"/>
        </w:rPr>
        <w:t>27 July</w:t>
      </w:r>
      <w:r w:rsidR="00661A21" w:rsidRPr="00543A7E">
        <w:rPr>
          <w:rFonts w:ascii="Times New Roman" w:hAnsi="Times New Roman" w:cs="Times New Roman"/>
          <w:sz w:val="24"/>
          <w:szCs w:val="24"/>
        </w:rPr>
        <w:t xml:space="preserve"> 2023, </w:t>
      </w:r>
      <w:r w:rsidR="00857AB4" w:rsidRPr="00543A7E">
        <w:rPr>
          <w:rFonts w:ascii="Times New Roman" w:hAnsi="Times New Roman" w:cs="Times New Roman"/>
          <w:sz w:val="24"/>
          <w:szCs w:val="24"/>
        </w:rPr>
        <w:t xml:space="preserve">Ecobank extended loan for capital expenditure in the sum of US$450,000.00 </w:t>
      </w:r>
      <w:r w:rsidR="00661A21" w:rsidRPr="00543A7E">
        <w:rPr>
          <w:rFonts w:ascii="Times New Roman" w:hAnsi="Times New Roman" w:cs="Times New Roman"/>
          <w:sz w:val="24"/>
          <w:szCs w:val="24"/>
        </w:rPr>
        <w:t>t</w:t>
      </w:r>
      <w:r w:rsidR="00857AB4" w:rsidRPr="00543A7E">
        <w:rPr>
          <w:rFonts w:ascii="Times New Roman" w:hAnsi="Times New Roman" w:cs="Times New Roman"/>
          <w:sz w:val="24"/>
          <w:szCs w:val="24"/>
        </w:rPr>
        <w:t>o Solgas. In terms of that agreement, tiled “</w:t>
      </w:r>
      <w:r w:rsidR="00661A21" w:rsidRPr="00543A7E">
        <w:rPr>
          <w:rFonts w:ascii="Times New Roman" w:hAnsi="Times New Roman" w:cs="Times New Roman"/>
          <w:sz w:val="24"/>
          <w:szCs w:val="24"/>
        </w:rPr>
        <w:t xml:space="preserve">Working Capital Facility </w:t>
      </w:r>
      <w:r w:rsidR="00857AB4" w:rsidRPr="00543A7E">
        <w:rPr>
          <w:rFonts w:ascii="Times New Roman" w:hAnsi="Times New Roman" w:cs="Times New Roman"/>
          <w:sz w:val="24"/>
          <w:szCs w:val="24"/>
        </w:rPr>
        <w:t>Agreement” (referred herein as the “loan a</w:t>
      </w:r>
      <w:r w:rsidR="00661A21" w:rsidRPr="00543A7E">
        <w:rPr>
          <w:rFonts w:ascii="Times New Roman" w:hAnsi="Times New Roman" w:cs="Times New Roman"/>
          <w:sz w:val="24"/>
          <w:szCs w:val="24"/>
        </w:rPr>
        <w:t>greement”</w:t>
      </w:r>
      <w:r w:rsidR="00857AB4" w:rsidRPr="00543A7E">
        <w:rPr>
          <w:rFonts w:ascii="Times New Roman" w:hAnsi="Times New Roman" w:cs="Times New Roman"/>
          <w:sz w:val="24"/>
          <w:szCs w:val="24"/>
        </w:rPr>
        <w:t>), Solgas undertook to liquidate the principal and interest due in 24 monthly instalments commencing 25 September 2023.</w:t>
      </w:r>
    </w:p>
    <w:p w14:paraId="5A22D4D0" w14:textId="1C2ABC99" w:rsidR="00760D59" w:rsidRDefault="00857AB4" w:rsidP="00543A7E">
      <w:pPr>
        <w:spacing w:line="360" w:lineRule="auto"/>
        <w:jc w:val="both"/>
        <w:rPr>
          <w:rFonts w:ascii="Times New Roman" w:hAnsi="Times New Roman" w:cs="Times New Roman"/>
          <w:sz w:val="24"/>
          <w:szCs w:val="24"/>
        </w:rPr>
      </w:pPr>
      <w:r w:rsidRPr="00543A7E">
        <w:rPr>
          <w:rFonts w:ascii="Times New Roman" w:hAnsi="Times New Roman" w:cs="Times New Roman"/>
          <w:sz w:val="24"/>
          <w:szCs w:val="24"/>
        </w:rPr>
        <w:t xml:space="preserve">[ </w:t>
      </w:r>
      <w:r w:rsidR="00BB398C">
        <w:rPr>
          <w:rFonts w:ascii="Times New Roman" w:hAnsi="Times New Roman" w:cs="Times New Roman"/>
          <w:sz w:val="24"/>
          <w:szCs w:val="24"/>
        </w:rPr>
        <w:t>6</w:t>
      </w:r>
      <w:r w:rsidRPr="00543A7E">
        <w:rPr>
          <w:rFonts w:ascii="Times New Roman" w:hAnsi="Times New Roman" w:cs="Times New Roman"/>
          <w:sz w:val="24"/>
          <w:szCs w:val="24"/>
        </w:rPr>
        <w:t xml:space="preserve">] </w:t>
      </w:r>
      <w:r w:rsidR="00543CB7" w:rsidRPr="00543A7E">
        <w:rPr>
          <w:rFonts w:ascii="Times New Roman" w:hAnsi="Times New Roman" w:cs="Times New Roman"/>
          <w:sz w:val="24"/>
          <w:szCs w:val="24"/>
        </w:rPr>
        <w:t>It was a further term of the loan agreement that interest would accrue on the loan facility at Ecobank`s base minimum lending rate (“</w:t>
      </w:r>
      <w:r w:rsidR="00543CB7" w:rsidRPr="00407E1F">
        <w:rPr>
          <w:rFonts w:ascii="Times New Roman" w:hAnsi="Times New Roman" w:cs="Times New Roman"/>
        </w:rPr>
        <w:t>BMLR</w:t>
      </w:r>
      <w:r w:rsidR="00543CB7" w:rsidRPr="00543A7E">
        <w:rPr>
          <w:rFonts w:ascii="Times New Roman" w:hAnsi="Times New Roman" w:cs="Times New Roman"/>
          <w:sz w:val="24"/>
          <w:szCs w:val="24"/>
        </w:rPr>
        <w:t xml:space="preserve">) plus 1%. In the event of default on any instalment, interest would accrue on the balance at a rate of 8% above Ecobank`s said </w:t>
      </w:r>
      <w:r w:rsidR="00543CB7" w:rsidRPr="00407E1F">
        <w:rPr>
          <w:rFonts w:ascii="Times New Roman" w:hAnsi="Times New Roman" w:cs="Times New Roman"/>
        </w:rPr>
        <w:t>BMLR</w:t>
      </w:r>
      <w:r w:rsidR="00543CB7" w:rsidRPr="00543A7E">
        <w:rPr>
          <w:rFonts w:ascii="Times New Roman" w:hAnsi="Times New Roman" w:cs="Times New Roman"/>
          <w:sz w:val="24"/>
          <w:szCs w:val="24"/>
        </w:rPr>
        <w:t>.In addition, Solgas agreed to pay legal fees at an attorney client scale in the event of Ecobank instituting proceedings in terms of the loan agreement.</w:t>
      </w:r>
      <w:r w:rsidR="00760D59">
        <w:rPr>
          <w:rFonts w:ascii="Times New Roman" w:hAnsi="Times New Roman" w:cs="Times New Roman"/>
          <w:sz w:val="24"/>
          <w:szCs w:val="24"/>
        </w:rPr>
        <w:t xml:space="preserve"> </w:t>
      </w:r>
    </w:p>
    <w:p w14:paraId="07A69F24" w14:textId="0D7FB755" w:rsidR="00AE1736" w:rsidRDefault="00760D59" w:rsidP="00543A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B398C">
        <w:rPr>
          <w:rFonts w:ascii="Times New Roman" w:hAnsi="Times New Roman" w:cs="Times New Roman"/>
          <w:sz w:val="24"/>
          <w:szCs w:val="24"/>
        </w:rPr>
        <w:t>7</w:t>
      </w:r>
      <w:r>
        <w:rPr>
          <w:rFonts w:ascii="Times New Roman" w:hAnsi="Times New Roman" w:cs="Times New Roman"/>
          <w:sz w:val="24"/>
          <w:szCs w:val="24"/>
        </w:rPr>
        <w:t xml:space="preserve">] Ecobank </w:t>
      </w:r>
      <w:r w:rsidR="00B437E9">
        <w:rPr>
          <w:rFonts w:ascii="Times New Roman" w:hAnsi="Times New Roman" w:cs="Times New Roman"/>
          <w:sz w:val="24"/>
          <w:szCs w:val="24"/>
        </w:rPr>
        <w:t xml:space="preserve">secured the loan through </w:t>
      </w:r>
      <w:r>
        <w:rPr>
          <w:rFonts w:ascii="Times New Roman" w:hAnsi="Times New Roman" w:cs="Times New Roman"/>
          <w:sz w:val="24"/>
          <w:szCs w:val="24"/>
        </w:rPr>
        <w:t xml:space="preserve">separate guarantees issued </w:t>
      </w:r>
      <w:r w:rsidR="00B437E9">
        <w:rPr>
          <w:rFonts w:ascii="Times New Roman" w:hAnsi="Times New Roman" w:cs="Times New Roman"/>
          <w:sz w:val="24"/>
          <w:szCs w:val="24"/>
        </w:rPr>
        <w:t xml:space="preserve">on </w:t>
      </w:r>
      <w:r w:rsidR="00AE1736">
        <w:rPr>
          <w:rFonts w:ascii="Times New Roman" w:hAnsi="Times New Roman" w:cs="Times New Roman"/>
          <w:sz w:val="24"/>
          <w:szCs w:val="24"/>
        </w:rPr>
        <w:t xml:space="preserve">28 July 2023 </w:t>
      </w:r>
      <w:r>
        <w:rPr>
          <w:rFonts w:ascii="Times New Roman" w:hAnsi="Times New Roman" w:cs="Times New Roman"/>
          <w:sz w:val="24"/>
          <w:szCs w:val="24"/>
        </w:rPr>
        <w:t xml:space="preserve">in its </w:t>
      </w:r>
      <w:r w:rsidR="0068058C">
        <w:rPr>
          <w:rFonts w:ascii="Times New Roman" w:hAnsi="Times New Roman" w:cs="Times New Roman"/>
          <w:sz w:val="24"/>
          <w:szCs w:val="24"/>
        </w:rPr>
        <w:t>favour by</w:t>
      </w:r>
      <w:r>
        <w:rPr>
          <w:rFonts w:ascii="Times New Roman" w:hAnsi="Times New Roman" w:cs="Times New Roman"/>
          <w:sz w:val="24"/>
          <w:szCs w:val="24"/>
        </w:rPr>
        <w:t xml:space="preserve"> second, third and fourth defendants</w:t>
      </w:r>
      <w:r w:rsidR="00AE1736">
        <w:rPr>
          <w:rFonts w:ascii="Times New Roman" w:hAnsi="Times New Roman" w:cs="Times New Roman"/>
          <w:sz w:val="24"/>
          <w:szCs w:val="24"/>
        </w:rPr>
        <w:t xml:space="preserve"> in terms of clause 5.1.4 of the loan agreement</w:t>
      </w:r>
      <w:r>
        <w:rPr>
          <w:rFonts w:ascii="Times New Roman" w:hAnsi="Times New Roman" w:cs="Times New Roman"/>
          <w:sz w:val="24"/>
          <w:szCs w:val="24"/>
        </w:rPr>
        <w:t xml:space="preserve">. It also </w:t>
      </w:r>
      <w:r w:rsidR="00B437E9">
        <w:rPr>
          <w:rFonts w:ascii="Times New Roman" w:hAnsi="Times New Roman" w:cs="Times New Roman"/>
          <w:sz w:val="24"/>
          <w:szCs w:val="24"/>
        </w:rPr>
        <w:t xml:space="preserve">concluded on 2 August 2023, as </w:t>
      </w:r>
      <w:r w:rsidR="008E663B">
        <w:rPr>
          <w:rFonts w:ascii="Times New Roman" w:hAnsi="Times New Roman" w:cs="Times New Roman"/>
          <w:sz w:val="24"/>
          <w:szCs w:val="24"/>
        </w:rPr>
        <w:t>additional security</w:t>
      </w:r>
      <w:r w:rsidR="00B437E9">
        <w:rPr>
          <w:rFonts w:ascii="Times New Roman" w:hAnsi="Times New Roman" w:cs="Times New Roman"/>
          <w:sz w:val="24"/>
          <w:szCs w:val="24"/>
        </w:rPr>
        <w:t>, an</w:t>
      </w:r>
      <w:r w:rsidR="008E663B">
        <w:rPr>
          <w:rFonts w:ascii="Times New Roman" w:hAnsi="Times New Roman" w:cs="Times New Roman"/>
          <w:sz w:val="24"/>
          <w:szCs w:val="24"/>
        </w:rPr>
        <w:t xml:space="preserve"> agreement with Solgas titled “Movable Property Security Agreement” (“the security agreement”). </w:t>
      </w:r>
      <w:r w:rsidR="00953AF4">
        <w:rPr>
          <w:rFonts w:ascii="Times New Roman" w:hAnsi="Times New Roman" w:cs="Times New Roman"/>
          <w:sz w:val="24"/>
          <w:szCs w:val="24"/>
        </w:rPr>
        <w:t>This agreement was concluded as a condition precedent to the loan agreement per clause 5.1.1.</w:t>
      </w:r>
    </w:p>
    <w:p w14:paraId="01D69A59" w14:textId="766F2582" w:rsidR="008E663B" w:rsidRDefault="00AE1736" w:rsidP="00543A7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BB398C">
        <w:rPr>
          <w:rFonts w:ascii="Times New Roman" w:hAnsi="Times New Roman" w:cs="Times New Roman"/>
          <w:sz w:val="24"/>
          <w:szCs w:val="24"/>
        </w:rPr>
        <w:t>8</w:t>
      </w:r>
      <w:r>
        <w:rPr>
          <w:rFonts w:ascii="Times New Roman" w:hAnsi="Times New Roman" w:cs="Times New Roman"/>
          <w:sz w:val="24"/>
          <w:szCs w:val="24"/>
        </w:rPr>
        <w:t xml:space="preserve">] It was </w:t>
      </w:r>
      <w:r w:rsidR="008E663B">
        <w:rPr>
          <w:rFonts w:ascii="Times New Roman" w:hAnsi="Times New Roman" w:cs="Times New Roman"/>
          <w:sz w:val="24"/>
          <w:szCs w:val="24"/>
        </w:rPr>
        <w:t xml:space="preserve">executed </w:t>
      </w:r>
      <w:r w:rsidR="00953AF4">
        <w:rPr>
          <w:rFonts w:ascii="Times New Roman" w:hAnsi="Times New Roman" w:cs="Times New Roman"/>
          <w:sz w:val="24"/>
          <w:szCs w:val="24"/>
        </w:rPr>
        <w:t xml:space="preserve">pursuant to, </w:t>
      </w:r>
      <w:r w:rsidR="008E663B">
        <w:rPr>
          <w:rFonts w:ascii="Times New Roman" w:hAnsi="Times New Roman" w:cs="Times New Roman"/>
          <w:sz w:val="24"/>
          <w:szCs w:val="24"/>
        </w:rPr>
        <w:t>and governed by the Movable Property Security Interest Act [ Chapter</w:t>
      </w:r>
      <w:r w:rsidR="00BB398C">
        <w:rPr>
          <w:rFonts w:ascii="Times New Roman" w:hAnsi="Times New Roman" w:cs="Times New Roman"/>
          <w:sz w:val="24"/>
          <w:szCs w:val="24"/>
        </w:rPr>
        <w:t xml:space="preserve"> 14:35</w:t>
      </w:r>
      <w:r w:rsidR="008E663B">
        <w:rPr>
          <w:rFonts w:ascii="Times New Roman" w:hAnsi="Times New Roman" w:cs="Times New Roman"/>
          <w:sz w:val="24"/>
          <w:szCs w:val="24"/>
        </w:rPr>
        <w:t>]</w:t>
      </w:r>
      <w:r w:rsidR="00052046">
        <w:rPr>
          <w:rFonts w:ascii="Times New Roman" w:hAnsi="Times New Roman" w:cs="Times New Roman"/>
          <w:sz w:val="24"/>
          <w:szCs w:val="24"/>
        </w:rPr>
        <w:t>, (</w:t>
      </w:r>
      <w:r w:rsidR="008E663B">
        <w:rPr>
          <w:rFonts w:ascii="Times New Roman" w:hAnsi="Times New Roman" w:cs="Times New Roman"/>
          <w:sz w:val="24"/>
          <w:szCs w:val="24"/>
        </w:rPr>
        <w:t>the “M</w:t>
      </w:r>
      <w:r w:rsidR="00BB398C">
        <w:rPr>
          <w:rFonts w:ascii="Times New Roman" w:hAnsi="Times New Roman" w:cs="Times New Roman"/>
          <w:sz w:val="24"/>
          <w:szCs w:val="24"/>
        </w:rPr>
        <w:t xml:space="preserve">ovable Property Security </w:t>
      </w:r>
      <w:r w:rsidR="008E663B">
        <w:rPr>
          <w:rFonts w:ascii="Times New Roman" w:hAnsi="Times New Roman" w:cs="Times New Roman"/>
          <w:sz w:val="24"/>
          <w:szCs w:val="24"/>
        </w:rPr>
        <w:t xml:space="preserve">Act”). It is this security agreement that founds the liquid document </w:t>
      </w:r>
      <w:r w:rsidR="00DC7D8E">
        <w:rPr>
          <w:rFonts w:ascii="Times New Roman" w:hAnsi="Times New Roman" w:cs="Times New Roman"/>
          <w:sz w:val="24"/>
          <w:szCs w:val="24"/>
        </w:rPr>
        <w:t xml:space="preserve">herein. It is common cause that Solgas and its three co-defendant failed to keep up with the loan instalments. Ecobank instituted present proceedings alleging breach by the defendants of their obligations under the </w:t>
      </w:r>
      <w:r>
        <w:rPr>
          <w:rFonts w:ascii="Times New Roman" w:hAnsi="Times New Roman" w:cs="Times New Roman"/>
          <w:sz w:val="24"/>
          <w:szCs w:val="24"/>
        </w:rPr>
        <w:t>loan and security agreements.</w:t>
      </w:r>
    </w:p>
    <w:p w14:paraId="14144962" w14:textId="62230B43" w:rsidR="00543CB7" w:rsidRPr="00407E1F" w:rsidRDefault="008E663B" w:rsidP="00543A7E">
      <w:pPr>
        <w:spacing w:line="360" w:lineRule="auto"/>
        <w:jc w:val="both"/>
        <w:rPr>
          <w:rFonts w:ascii="Times New Roman" w:hAnsi="Times New Roman" w:cs="Times New Roman"/>
        </w:rPr>
      </w:pPr>
      <w:r w:rsidRPr="00407E1F">
        <w:rPr>
          <w:rFonts w:ascii="Times New Roman" w:hAnsi="Times New Roman" w:cs="Times New Roman"/>
        </w:rPr>
        <w:lastRenderedPageBreak/>
        <w:t>THE NOTICE</w:t>
      </w:r>
      <w:r w:rsidR="00760D59" w:rsidRPr="00407E1F">
        <w:rPr>
          <w:rFonts w:ascii="Times New Roman" w:hAnsi="Times New Roman" w:cs="Times New Roman"/>
        </w:rPr>
        <w:t xml:space="preserve"> OF SECURITY INTEREST IN TERMS OF SECTION 8 OF THE MOVABLE</w:t>
      </w:r>
      <w:r w:rsidR="00407E1F" w:rsidRPr="00407E1F">
        <w:rPr>
          <w:rFonts w:ascii="Times New Roman" w:hAnsi="Times New Roman" w:cs="Times New Roman"/>
        </w:rPr>
        <w:t xml:space="preserve"> PROPERTY SECURITY ACT</w:t>
      </w:r>
    </w:p>
    <w:p w14:paraId="0ACE0887" w14:textId="64A1885A" w:rsidR="00497174" w:rsidRDefault="00857AB4" w:rsidP="00543A7E">
      <w:pPr>
        <w:spacing w:line="360" w:lineRule="auto"/>
        <w:jc w:val="both"/>
        <w:rPr>
          <w:rFonts w:ascii="Times New Roman" w:hAnsi="Times New Roman" w:cs="Times New Roman"/>
          <w:sz w:val="24"/>
          <w:szCs w:val="24"/>
        </w:rPr>
      </w:pPr>
      <w:r w:rsidRPr="00543A7E">
        <w:rPr>
          <w:rFonts w:ascii="Times New Roman" w:hAnsi="Times New Roman" w:cs="Times New Roman"/>
          <w:sz w:val="24"/>
          <w:szCs w:val="24"/>
        </w:rPr>
        <w:t xml:space="preserve"> </w:t>
      </w:r>
      <w:r w:rsidR="0068058C">
        <w:rPr>
          <w:rFonts w:ascii="Times New Roman" w:hAnsi="Times New Roman" w:cs="Times New Roman"/>
          <w:sz w:val="24"/>
          <w:szCs w:val="24"/>
        </w:rPr>
        <w:t>[</w:t>
      </w:r>
      <w:r w:rsidR="00BB398C">
        <w:rPr>
          <w:rFonts w:ascii="Times New Roman" w:hAnsi="Times New Roman" w:cs="Times New Roman"/>
          <w:sz w:val="24"/>
          <w:szCs w:val="24"/>
        </w:rPr>
        <w:t>9</w:t>
      </w:r>
      <w:r w:rsidR="0068058C">
        <w:rPr>
          <w:rFonts w:ascii="Times New Roman" w:hAnsi="Times New Roman" w:cs="Times New Roman"/>
          <w:sz w:val="24"/>
          <w:szCs w:val="24"/>
        </w:rPr>
        <w:t xml:space="preserve">] </w:t>
      </w:r>
      <w:r w:rsidR="00B07215">
        <w:rPr>
          <w:rFonts w:ascii="Times New Roman" w:hAnsi="Times New Roman" w:cs="Times New Roman"/>
          <w:sz w:val="24"/>
          <w:szCs w:val="24"/>
        </w:rPr>
        <w:t xml:space="preserve">I now address the </w:t>
      </w:r>
      <w:r w:rsidR="0068058C">
        <w:rPr>
          <w:rFonts w:ascii="Times New Roman" w:hAnsi="Times New Roman" w:cs="Times New Roman"/>
          <w:sz w:val="24"/>
          <w:szCs w:val="24"/>
        </w:rPr>
        <w:t xml:space="preserve">security </w:t>
      </w:r>
      <w:r w:rsidR="00B07215">
        <w:rPr>
          <w:rFonts w:ascii="Times New Roman" w:hAnsi="Times New Roman" w:cs="Times New Roman"/>
          <w:sz w:val="24"/>
          <w:szCs w:val="24"/>
        </w:rPr>
        <w:t>agreement. Under th</w:t>
      </w:r>
      <w:r w:rsidR="00420683">
        <w:rPr>
          <w:rFonts w:ascii="Times New Roman" w:hAnsi="Times New Roman" w:cs="Times New Roman"/>
          <w:sz w:val="24"/>
          <w:szCs w:val="24"/>
        </w:rPr>
        <w:t>at contract</w:t>
      </w:r>
      <w:r w:rsidR="00B07215">
        <w:rPr>
          <w:rFonts w:ascii="Times New Roman" w:hAnsi="Times New Roman" w:cs="Times New Roman"/>
          <w:sz w:val="24"/>
          <w:szCs w:val="24"/>
        </w:rPr>
        <w:t xml:space="preserve">, Solgas offered </w:t>
      </w:r>
      <w:r w:rsidR="00FA23C9">
        <w:rPr>
          <w:rFonts w:ascii="Times New Roman" w:hAnsi="Times New Roman" w:cs="Times New Roman"/>
          <w:sz w:val="24"/>
          <w:szCs w:val="24"/>
        </w:rPr>
        <w:t xml:space="preserve">to Ecobank </w:t>
      </w:r>
      <w:r w:rsidR="00420683">
        <w:rPr>
          <w:rFonts w:ascii="Times New Roman" w:hAnsi="Times New Roman" w:cs="Times New Roman"/>
          <w:sz w:val="24"/>
          <w:szCs w:val="24"/>
        </w:rPr>
        <w:t xml:space="preserve">as movable security, a   solar power generation plant. </w:t>
      </w:r>
      <w:r w:rsidR="00FA23C9">
        <w:rPr>
          <w:rFonts w:ascii="Times New Roman" w:hAnsi="Times New Roman" w:cs="Times New Roman"/>
          <w:sz w:val="24"/>
          <w:szCs w:val="24"/>
        </w:rPr>
        <w:t>The asset was r</w:t>
      </w:r>
      <w:r w:rsidR="00420683">
        <w:rPr>
          <w:rFonts w:ascii="Times New Roman" w:hAnsi="Times New Roman" w:cs="Times New Roman"/>
          <w:sz w:val="24"/>
          <w:szCs w:val="24"/>
        </w:rPr>
        <w:t xml:space="preserve">egistered under a Generation and Supply Licence Number 0046/2026, </w:t>
      </w:r>
      <w:r w:rsidR="00FA23C9">
        <w:rPr>
          <w:rFonts w:ascii="Times New Roman" w:hAnsi="Times New Roman" w:cs="Times New Roman"/>
          <w:sz w:val="24"/>
          <w:szCs w:val="24"/>
        </w:rPr>
        <w:t xml:space="preserve">and </w:t>
      </w:r>
      <w:r w:rsidR="00420683">
        <w:rPr>
          <w:rFonts w:ascii="Times New Roman" w:hAnsi="Times New Roman" w:cs="Times New Roman"/>
          <w:sz w:val="24"/>
          <w:szCs w:val="24"/>
        </w:rPr>
        <w:t xml:space="preserve">known as the </w:t>
      </w:r>
      <w:r w:rsidR="00B07215">
        <w:rPr>
          <w:rFonts w:ascii="Times New Roman" w:hAnsi="Times New Roman" w:cs="Times New Roman"/>
          <w:sz w:val="24"/>
          <w:szCs w:val="24"/>
        </w:rPr>
        <w:t xml:space="preserve">Cross Mobale Power </w:t>
      </w:r>
      <w:r w:rsidR="00000B27">
        <w:rPr>
          <w:rFonts w:ascii="Times New Roman" w:hAnsi="Times New Roman" w:cs="Times New Roman"/>
          <w:sz w:val="24"/>
          <w:szCs w:val="24"/>
        </w:rPr>
        <w:t>Plant in Hwange</w:t>
      </w:r>
      <w:r w:rsidR="00B07215">
        <w:rPr>
          <w:rFonts w:ascii="Times New Roman" w:hAnsi="Times New Roman" w:cs="Times New Roman"/>
          <w:sz w:val="24"/>
          <w:szCs w:val="24"/>
        </w:rPr>
        <w:t xml:space="preserve">. </w:t>
      </w:r>
      <w:r w:rsidR="00B333AB">
        <w:rPr>
          <w:rFonts w:ascii="Times New Roman" w:hAnsi="Times New Roman" w:cs="Times New Roman"/>
          <w:sz w:val="24"/>
          <w:szCs w:val="24"/>
        </w:rPr>
        <w:t>As noted above, t</w:t>
      </w:r>
      <w:r w:rsidR="00497174">
        <w:rPr>
          <w:rFonts w:ascii="Times New Roman" w:hAnsi="Times New Roman" w:cs="Times New Roman"/>
          <w:sz w:val="24"/>
          <w:szCs w:val="24"/>
        </w:rPr>
        <w:t xml:space="preserve">he obligation was created and formalised in terms of the </w:t>
      </w:r>
      <w:bookmarkStart w:id="1" w:name="_Hlk189996207"/>
      <w:r w:rsidR="00497174" w:rsidRPr="00BB398C">
        <w:rPr>
          <w:rFonts w:ascii="Times New Roman" w:hAnsi="Times New Roman" w:cs="Times New Roman"/>
          <w:sz w:val="24"/>
          <w:szCs w:val="24"/>
        </w:rPr>
        <w:t xml:space="preserve">Movable Property Security </w:t>
      </w:r>
      <w:bookmarkEnd w:id="1"/>
      <w:r w:rsidR="00497174" w:rsidRPr="00BB398C">
        <w:rPr>
          <w:rFonts w:ascii="Times New Roman" w:hAnsi="Times New Roman" w:cs="Times New Roman"/>
          <w:sz w:val="24"/>
          <w:szCs w:val="24"/>
        </w:rPr>
        <w:t>Act</w:t>
      </w:r>
      <w:r w:rsidR="00497174">
        <w:rPr>
          <w:rFonts w:ascii="Times New Roman" w:hAnsi="Times New Roman" w:cs="Times New Roman"/>
          <w:sz w:val="24"/>
          <w:szCs w:val="24"/>
        </w:rPr>
        <w:t xml:space="preserve">. </w:t>
      </w:r>
      <w:r w:rsidR="00000B27">
        <w:rPr>
          <w:rFonts w:ascii="Times New Roman" w:hAnsi="Times New Roman" w:cs="Times New Roman"/>
          <w:sz w:val="24"/>
          <w:szCs w:val="24"/>
        </w:rPr>
        <w:t xml:space="preserve">Clause 3 of the </w:t>
      </w:r>
      <w:r w:rsidR="00B07215">
        <w:rPr>
          <w:rFonts w:ascii="Times New Roman" w:hAnsi="Times New Roman" w:cs="Times New Roman"/>
          <w:sz w:val="24"/>
          <w:szCs w:val="24"/>
        </w:rPr>
        <w:t xml:space="preserve">security agreement </w:t>
      </w:r>
      <w:r w:rsidR="00000B27">
        <w:rPr>
          <w:rFonts w:ascii="Times New Roman" w:hAnsi="Times New Roman" w:cs="Times New Roman"/>
          <w:sz w:val="24"/>
          <w:szCs w:val="24"/>
        </w:rPr>
        <w:t xml:space="preserve">provided for the registration of that agreement with the </w:t>
      </w:r>
      <w:r w:rsidR="00B07215">
        <w:rPr>
          <w:rFonts w:ascii="Times New Roman" w:hAnsi="Times New Roman" w:cs="Times New Roman"/>
          <w:sz w:val="24"/>
          <w:szCs w:val="24"/>
        </w:rPr>
        <w:t>Collateral Registry</w:t>
      </w:r>
      <w:r w:rsidR="00497174">
        <w:rPr>
          <w:rFonts w:ascii="Times New Roman" w:hAnsi="Times New Roman" w:cs="Times New Roman"/>
          <w:sz w:val="24"/>
          <w:szCs w:val="24"/>
        </w:rPr>
        <w:t xml:space="preserve"> in terms of </w:t>
      </w:r>
      <w:r w:rsidR="00000B27">
        <w:rPr>
          <w:rFonts w:ascii="Times New Roman" w:hAnsi="Times New Roman" w:cs="Times New Roman"/>
          <w:sz w:val="24"/>
          <w:szCs w:val="24"/>
        </w:rPr>
        <w:t>the Movable</w:t>
      </w:r>
      <w:r w:rsidR="00420683">
        <w:rPr>
          <w:rFonts w:ascii="Times New Roman" w:hAnsi="Times New Roman" w:cs="Times New Roman"/>
          <w:sz w:val="24"/>
          <w:szCs w:val="24"/>
        </w:rPr>
        <w:t xml:space="preserve"> Property Security Act</w:t>
      </w:r>
      <w:r w:rsidR="00D546FE" w:rsidRPr="00BB398C">
        <w:rPr>
          <w:rFonts w:ascii="Times New Roman" w:hAnsi="Times New Roman" w:cs="Times New Roman"/>
          <w:sz w:val="24"/>
          <w:szCs w:val="24"/>
        </w:rPr>
        <w:t xml:space="preserve">. </w:t>
      </w:r>
    </w:p>
    <w:p w14:paraId="12B73167" w14:textId="019D46D9" w:rsidR="00D546FE" w:rsidRDefault="00497174" w:rsidP="00543A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[10 I may state that the Movable Property Security Act is a recent </w:t>
      </w:r>
      <w:r w:rsidR="00756BA4">
        <w:rPr>
          <w:rFonts w:ascii="Times New Roman" w:hAnsi="Times New Roman" w:cs="Times New Roman"/>
          <w:sz w:val="24"/>
          <w:szCs w:val="24"/>
        </w:rPr>
        <w:t xml:space="preserve">piece of </w:t>
      </w:r>
      <w:r>
        <w:rPr>
          <w:rFonts w:ascii="Times New Roman" w:hAnsi="Times New Roman" w:cs="Times New Roman"/>
          <w:sz w:val="24"/>
          <w:szCs w:val="24"/>
        </w:rPr>
        <w:t>legislation in the jurisdiction</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It introduces</w:t>
      </w:r>
      <w:r w:rsidR="00D546FE">
        <w:rPr>
          <w:rFonts w:ascii="Times New Roman" w:hAnsi="Times New Roman" w:cs="Times New Roman"/>
          <w:sz w:val="24"/>
          <w:szCs w:val="24"/>
        </w:rPr>
        <w:t xml:space="preserve"> new perspectives in the identification, definition, registration, perfection, preservation and realisation of </w:t>
      </w:r>
      <w:r w:rsidR="00EE630E">
        <w:rPr>
          <w:rFonts w:ascii="Times New Roman" w:hAnsi="Times New Roman" w:cs="Times New Roman"/>
          <w:sz w:val="24"/>
          <w:szCs w:val="24"/>
        </w:rPr>
        <w:t xml:space="preserve">movable </w:t>
      </w:r>
      <w:r w:rsidR="00756BA4">
        <w:rPr>
          <w:rFonts w:ascii="Times New Roman" w:hAnsi="Times New Roman" w:cs="Times New Roman"/>
          <w:sz w:val="24"/>
          <w:szCs w:val="24"/>
        </w:rPr>
        <w:t>security. I will thus dwell on it briefly.</w:t>
      </w:r>
      <w:r w:rsidR="00ED4006">
        <w:rPr>
          <w:rFonts w:ascii="Times New Roman" w:hAnsi="Times New Roman" w:cs="Times New Roman"/>
          <w:sz w:val="24"/>
          <w:szCs w:val="24"/>
        </w:rPr>
        <w:t xml:space="preserve"> By </w:t>
      </w:r>
      <w:r w:rsidR="00D546FE">
        <w:rPr>
          <w:rFonts w:ascii="Times New Roman" w:hAnsi="Times New Roman" w:cs="Times New Roman"/>
          <w:sz w:val="24"/>
          <w:szCs w:val="24"/>
        </w:rPr>
        <w:t xml:space="preserve">s </w:t>
      </w:r>
      <w:r w:rsidR="00ED4006">
        <w:rPr>
          <w:rFonts w:ascii="Times New Roman" w:hAnsi="Times New Roman" w:cs="Times New Roman"/>
          <w:sz w:val="24"/>
          <w:szCs w:val="24"/>
        </w:rPr>
        <w:t>4, the</w:t>
      </w:r>
      <w:r w:rsidR="00D546FE">
        <w:rPr>
          <w:rFonts w:ascii="Times New Roman" w:hAnsi="Times New Roman" w:cs="Times New Roman"/>
          <w:sz w:val="24"/>
          <w:szCs w:val="24"/>
        </w:rPr>
        <w:t xml:space="preserve"> </w:t>
      </w:r>
      <w:bookmarkStart w:id="2" w:name="_Hlk189997403"/>
      <w:r w:rsidR="00D546FE">
        <w:rPr>
          <w:rFonts w:ascii="Times New Roman" w:hAnsi="Times New Roman" w:cs="Times New Roman"/>
          <w:sz w:val="24"/>
          <w:szCs w:val="24"/>
        </w:rPr>
        <w:t>M</w:t>
      </w:r>
      <w:r w:rsidR="00ED4006">
        <w:rPr>
          <w:rFonts w:ascii="Times New Roman" w:hAnsi="Times New Roman" w:cs="Times New Roman"/>
          <w:sz w:val="24"/>
          <w:szCs w:val="24"/>
        </w:rPr>
        <w:t xml:space="preserve">ovable Property Security Act </w:t>
      </w:r>
      <w:bookmarkEnd w:id="2"/>
      <w:r w:rsidR="00ED4006">
        <w:rPr>
          <w:rFonts w:ascii="Times New Roman" w:hAnsi="Times New Roman" w:cs="Times New Roman"/>
          <w:sz w:val="24"/>
          <w:szCs w:val="24"/>
        </w:rPr>
        <w:t>provides</w:t>
      </w:r>
      <w:r w:rsidR="00D546FE">
        <w:rPr>
          <w:rFonts w:ascii="Times New Roman" w:hAnsi="Times New Roman" w:cs="Times New Roman"/>
          <w:sz w:val="24"/>
          <w:szCs w:val="24"/>
        </w:rPr>
        <w:t xml:space="preserve"> for the creation of a</w:t>
      </w:r>
      <w:r w:rsidR="00420683">
        <w:rPr>
          <w:rFonts w:ascii="Times New Roman" w:hAnsi="Times New Roman" w:cs="Times New Roman"/>
          <w:sz w:val="24"/>
          <w:szCs w:val="24"/>
        </w:rPr>
        <w:t xml:space="preserve"> facility for the registration of movable collateral </w:t>
      </w:r>
      <w:r w:rsidR="00D546FE">
        <w:rPr>
          <w:rFonts w:ascii="Times New Roman" w:hAnsi="Times New Roman" w:cs="Times New Roman"/>
          <w:sz w:val="24"/>
          <w:szCs w:val="24"/>
        </w:rPr>
        <w:t>under the auspices of the Reserve Bank of Zimbabwe (RBZ). The collateral registry</w:t>
      </w:r>
      <w:r w:rsidR="00420683">
        <w:rPr>
          <w:rFonts w:ascii="Times New Roman" w:hAnsi="Times New Roman" w:cs="Times New Roman"/>
          <w:sz w:val="24"/>
          <w:szCs w:val="24"/>
        </w:rPr>
        <w:t>`s purpose and functions are set</w:t>
      </w:r>
      <w:r w:rsidR="00D546FE">
        <w:rPr>
          <w:rFonts w:ascii="Times New Roman" w:hAnsi="Times New Roman" w:cs="Times New Roman"/>
          <w:sz w:val="24"/>
          <w:szCs w:val="24"/>
        </w:rPr>
        <w:t xml:space="preserve"> out </w:t>
      </w:r>
      <w:r w:rsidR="00420683">
        <w:rPr>
          <w:rFonts w:ascii="Times New Roman" w:hAnsi="Times New Roman" w:cs="Times New Roman"/>
          <w:sz w:val="24"/>
          <w:szCs w:val="24"/>
        </w:rPr>
        <w:t xml:space="preserve">in part </w:t>
      </w:r>
      <w:r w:rsidR="00D546FE">
        <w:rPr>
          <w:rFonts w:ascii="Times New Roman" w:hAnsi="Times New Roman" w:cs="Times New Roman"/>
          <w:sz w:val="24"/>
          <w:szCs w:val="24"/>
        </w:rPr>
        <w:t>as follows in s 5; -</w:t>
      </w:r>
    </w:p>
    <w:p w14:paraId="470EA286" w14:textId="77777777" w:rsidR="00D546FE" w:rsidRPr="00D546FE" w:rsidRDefault="00D546FE" w:rsidP="00D546FE">
      <w:pPr>
        <w:spacing w:line="360" w:lineRule="auto"/>
        <w:ind w:left="851"/>
        <w:jc w:val="both"/>
        <w:rPr>
          <w:rFonts w:ascii="Times New Roman" w:hAnsi="Times New Roman" w:cs="Times New Roman"/>
          <w:sz w:val="24"/>
          <w:szCs w:val="24"/>
          <w:u w:val="single"/>
        </w:rPr>
      </w:pPr>
      <w:r w:rsidRPr="00D546FE">
        <w:rPr>
          <w:rFonts w:ascii="Times New Roman" w:hAnsi="Times New Roman" w:cs="Times New Roman"/>
          <w:sz w:val="24"/>
          <w:szCs w:val="24"/>
          <w:u w:val="single"/>
        </w:rPr>
        <w:t xml:space="preserve">5. Purpose and functions of Registry </w:t>
      </w:r>
    </w:p>
    <w:p w14:paraId="177DD4BC" w14:textId="77777777" w:rsidR="00D546FE" w:rsidRPr="00D546FE" w:rsidRDefault="00D546FE" w:rsidP="00D546FE">
      <w:pPr>
        <w:spacing w:line="360" w:lineRule="auto"/>
        <w:ind w:left="851"/>
        <w:jc w:val="both"/>
        <w:rPr>
          <w:rFonts w:ascii="Times New Roman" w:hAnsi="Times New Roman" w:cs="Times New Roman"/>
          <w:sz w:val="24"/>
          <w:szCs w:val="24"/>
        </w:rPr>
      </w:pPr>
      <w:r w:rsidRPr="00D546FE">
        <w:rPr>
          <w:rFonts w:ascii="Times New Roman" w:hAnsi="Times New Roman" w:cs="Times New Roman"/>
          <w:sz w:val="24"/>
          <w:szCs w:val="24"/>
        </w:rPr>
        <w:t xml:space="preserve">(1) The purpose of the Registry is to facilitate commerce, industry and other socio-economic activities by enabling individuals and businesses to utilise their movable property as collateral for credit. </w:t>
      </w:r>
    </w:p>
    <w:p w14:paraId="5156F2E8" w14:textId="356BDD70" w:rsidR="00D546FE" w:rsidRPr="00D546FE" w:rsidRDefault="00D546FE" w:rsidP="00D546FE">
      <w:pPr>
        <w:spacing w:line="360" w:lineRule="auto"/>
        <w:ind w:left="851"/>
        <w:jc w:val="both"/>
        <w:rPr>
          <w:rFonts w:ascii="Times New Roman" w:hAnsi="Times New Roman" w:cs="Times New Roman"/>
          <w:sz w:val="24"/>
          <w:szCs w:val="24"/>
        </w:rPr>
      </w:pPr>
      <w:r w:rsidRPr="00D546FE">
        <w:rPr>
          <w:rFonts w:ascii="Times New Roman" w:hAnsi="Times New Roman" w:cs="Times New Roman"/>
          <w:sz w:val="24"/>
          <w:szCs w:val="24"/>
        </w:rPr>
        <w:t xml:space="preserve">(2) </w:t>
      </w:r>
      <w:r w:rsidR="001A5FD7" w:rsidRPr="00D546FE">
        <w:rPr>
          <w:rFonts w:ascii="Times New Roman" w:hAnsi="Times New Roman" w:cs="Times New Roman"/>
          <w:sz w:val="24"/>
          <w:szCs w:val="24"/>
        </w:rPr>
        <w:t>Accordingly,</w:t>
      </w:r>
      <w:r w:rsidRPr="00D546FE">
        <w:rPr>
          <w:rFonts w:ascii="Times New Roman" w:hAnsi="Times New Roman" w:cs="Times New Roman"/>
          <w:sz w:val="24"/>
          <w:szCs w:val="24"/>
        </w:rPr>
        <w:t xml:space="preserve"> the functions of the Registry are— </w:t>
      </w:r>
    </w:p>
    <w:p w14:paraId="0FB19A7B" w14:textId="77777777" w:rsidR="00D546FE" w:rsidRPr="00D546FE" w:rsidRDefault="00D546FE" w:rsidP="00D546FE">
      <w:pPr>
        <w:spacing w:line="360" w:lineRule="auto"/>
        <w:ind w:left="851"/>
        <w:jc w:val="both"/>
        <w:rPr>
          <w:rFonts w:ascii="Times New Roman" w:hAnsi="Times New Roman" w:cs="Times New Roman"/>
          <w:sz w:val="24"/>
          <w:szCs w:val="24"/>
        </w:rPr>
      </w:pPr>
      <w:r w:rsidRPr="00D546FE">
        <w:rPr>
          <w:rFonts w:ascii="Times New Roman" w:hAnsi="Times New Roman" w:cs="Times New Roman"/>
          <w:sz w:val="24"/>
          <w:szCs w:val="24"/>
        </w:rPr>
        <w:t xml:space="preserve">(a) to enable security interests over movable property to be perfected by receiving and storing registered notices with respect to security interests; and </w:t>
      </w:r>
    </w:p>
    <w:p w14:paraId="2B801F40" w14:textId="77777777" w:rsidR="00D546FE" w:rsidRPr="00D546FE" w:rsidRDefault="00D546FE" w:rsidP="00D546FE">
      <w:pPr>
        <w:spacing w:line="360" w:lineRule="auto"/>
        <w:ind w:left="851"/>
        <w:jc w:val="both"/>
        <w:rPr>
          <w:rFonts w:ascii="Times New Roman" w:hAnsi="Times New Roman" w:cs="Times New Roman"/>
          <w:sz w:val="24"/>
          <w:szCs w:val="24"/>
        </w:rPr>
      </w:pPr>
      <w:r w:rsidRPr="00D546FE">
        <w:rPr>
          <w:rFonts w:ascii="Times New Roman" w:hAnsi="Times New Roman" w:cs="Times New Roman"/>
          <w:sz w:val="24"/>
          <w:szCs w:val="24"/>
        </w:rPr>
        <w:t xml:space="preserve">(b) to amend or cancel the registered notices of security interests in movable property; and </w:t>
      </w:r>
    </w:p>
    <w:p w14:paraId="6D3BA76C" w14:textId="77777777" w:rsidR="00D546FE" w:rsidRPr="00D546FE" w:rsidRDefault="00D546FE" w:rsidP="00D546FE">
      <w:pPr>
        <w:spacing w:line="360" w:lineRule="auto"/>
        <w:ind w:left="851"/>
        <w:jc w:val="both"/>
        <w:rPr>
          <w:rFonts w:ascii="Times New Roman" w:hAnsi="Times New Roman" w:cs="Times New Roman"/>
          <w:sz w:val="24"/>
          <w:szCs w:val="24"/>
        </w:rPr>
      </w:pPr>
      <w:r w:rsidRPr="00D546FE">
        <w:rPr>
          <w:rFonts w:ascii="Times New Roman" w:hAnsi="Times New Roman" w:cs="Times New Roman"/>
          <w:sz w:val="24"/>
          <w:szCs w:val="24"/>
        </w:rPr>
        <w:t xml:space="preserve">(c) to make accessible to the public information in registered notices with respect to security interests; and </w:t>
      </w:r>
    </w:p>
    <w:p w14:paraId="2492DDE3" w14:textId="77777777" w:rsidR="00D546FE" w:rsidRPr="00D546FE" w:rsidRDefault="00D546FE" w:rsidP="00D546FE">
      <w:pPr>
        <w:spacing w:line="360" w:lineRule="auto"/>
        <w:ind w:left="851"/>
        <w:jc w:val="both"/>
        <w:rPr>
          <w:rFonts w:ascii="Times New Roman" w:hAnsi="Times New Roman" w:cs="Times New Roman"/>
          <w:sz w:val="24"/>
          <w:szCs w:val="24"/>
        </w:rPr>
      </w:pPr>
      <w:r w:rsidRPr="00D546FE">
        <w:rPr>
          <w:rFonts w:ascii="Times New Roman" w:hAnsi="Times New Roman" w:cs="Times New Roman"/>
          <w:sz w:val="24"/>
          <w:szCs w:val="24"/>
        </w:rPr>
        <w:t xml:space="preserve">(d) to maintain a database of— </w:t>
      </w:r>
    </w:p>
    <w:p w14:paraId="3157067D" w14:textId="77777777" w:rsidR="00D546FE" w:rsidRPr="00D546FE" w:rsidRDefault="00D546FE" w:rsidP="00D546FE">
      <w:pPr>
        <w:spacing w:line="360" w:lineRule="auto"/>
        <w:ind w:left="851"/>
        <w:jc w:val="both"/>
        <w:rPr>
          <w:rFonts w:ascii="Times New Roman" w:hAnsi="Times New Roman" w:cs="Times New Roman"/>
          <w:sz w:val="24"/>
          <w:szCs w:val="24"/>
        </w:rPr>
      </w:pPr>
      <w:r w:rsidRPr="00D546FE">
        <w:rPr>
          <w:rFonts w:ascii="Times New Roman" w:hAnsi="Times New Roman" w:cs="Times New Roman"/>
          <w:sz w:val="24"/>
          <w:szCs w:val="24"/>
        </w:rPr>
        <w:lastRenderedPageBreak/>
        <w:t xml:space="preserve">(i) relevant information on debtors and secured creditors identified in registered notices; and </w:t>
      </w:r>
    </w:p>
    <w:p w14:paraId="72A0A5A6" w14:textId="77777777" w:rsidR="00D546FE" w:rsidRPr="00D546FE" w:rsidRDefault="00D546FE" w:rsidP="00D546FE">
      <w:pPr>
        <w:spacing w:line="360" w:lineRule="auto"/>
        <w:ind w:left="851"/>
        <w:jc w:val="both"/>
        <w:rPr>
          <w:rFonts w:ascii="Times New Roman" w:hAnsi="Times New Roman" w:cs="Times New Roman"/>
          <w:sz w:val="24"/>
          <w:szCs w:val="24"/>
        </w:rPr>
      </w:pPr>
      <w:r w:rsidRPr="00D546FE">
        <w:rPr>
          <w:rFonts w:ascii="Times New Roman" w:hAnsi="Times New Roman" w:cs="Times New Roman"/>
          <w:sz w:val="24"/>
          <w:szCs w:val="24"/>
        </w:rPr>
        <w:t>(ii) relevant information on any movable property subject to registered notices of security interests</w:t>
      </w:r>
    </w:p>
    <w:p w14:paraId="0ACDF09F" w14:textId="3B48B1A0" w:rsidR="00497174" w:rsidRDefault="00ED4006" w:rsidP="00543A7E">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52046">
        <w:rPr>
          <w:rFonts w:ascii="Times New Roman" w:hAnsi="Times New Roman" w:cs="Times New Roman"/>
          <w:sz w:val="24"/>
          <w:szCs w:val="24"/>
        </w:rPr>
        <w:t>11</w:t>
      </w:r>
      <w:r w:rsidR="00497174">
        <w:rPr>
          <w:rFonts w:ascii="Times New Roman" w:hAnsi="Times New Roman" w:cs="Times New Roman"/>
          <w:sz w:val="24"/>
          <w:szCs w:val="24"/>
        </w:rPr>
        <w:t xml:space="preserve">] </w:t>
      </w:r>
      <w:r w:rsidR="00000B27">
        <w:rPr>
          <w:rFonts w:ascii="Times New Roman" w:hAnsi="Times New Roman" w:cs="Times New Roman"/>
          <w:sz w:val="24"/>
          <w:szCs w:val="24"/>
        </w:rPr>
        <w:t xml:space="preserve">The security agreement was duly registered </w:t>
      </w:r>
      <w:r w:rsidR="00EE630E">
        <w:rPr>
          <w:rFonts w:ascii="Times New Roman" w:hAnsi="Times New Roman" w:cs="Times New Roman"/>
          <w:sz w:val="24"/>
          <w:szCs w:val="24"/>
        </w:rPr>
        <w:t>with the Collateral Registry</w:t>
      </w:r>
      <w:r w:rsidR="00000B27">
        <w:rPr>
          <w:rFonts w:ascii="Times New Roman" w:hAnsi="Times New Roman" w:cs="Times New Roman"/>
          <w:sz w:val="24"/>
          <w:szCs w:val="24"/>
        </w:rPr>
        <w:t>. The Collateral Registry in turn, issued a c</w:t>
      </w:r>
      <w:r w:rsidR="00EE630E">
        <w:rPr>
          <w:rFonts w:ascii="Times New Roman" w:hAnsi="Times New Roman" w:cs="Times New Roman"/>
          <w:sz w:val="24"/>
          <w:szCs w:val="24"/>
        </w:rPr>
        <w:t xml:space="preserve">onfirmation </w:t>
      </w:r>
      <w:r w:rsidR="00000B27">
        <w:rPr>
          <w:rFonts w:ascii="Times New Roman" w:hAnsi="Times New Roman" w:cs="Times New Roman"/>
          <w:sz w:val="24"/>
          <w:szCs w:val="24"/>
        </w:rPr>
        <w:t xml:space="preserve">(of registration of security) </w:t>
      </w:r>
      <w:r w:rsidR="00315178">
        <w:rPr>
          <w:rFonts w:ascii="Times New Roman" w:hAnsi="Times New Roman" w:cs="Times New Roman"/>
          <w:sz w:val="24"/>
          <w:szCs w:val="24"/>
        </w:rPr>
        <w:t>s</w:t>
      </w:r>
      <w:r w:rsidR="00EE630E">
        <w:rPr>
          <w:rFonts w:ascii="Times New Roman" w:hAnsi="Times New Roman" w:cs="Times New Roman"/>
          <w:sz w:val="24"/>
          <w:szCs w:val="24"/>
        </w:rPr>
        <w:t>tatement</w:t>
      </w:r>
      <w:r w:rsidR="00000B27">
        <w:rPr>
          <w:rFonts w:ascii="Times New Roman" w:hAnsi="Times New Roman" w:cs="Times New Roman"/>
          <w:sz w:val="24"/>
          <w:szCs w:val="24"/>
        </w:rPr>
        <w:t xml:space="preserve"> on 31 August 2023</w:t>
      </w:r>
      <w:r w:rsidR="00EE630E">
        <w:rPr>
          <w:rFonts w:ascii="Times New Roman" w:hAnsi="Times New Roman" w:cs="Times New Roman"/>
          <w:sz w:val="24"/>
          <w:szCs w:val="24"/>
        </w:rPr>
        <w:t xml:space="preserve">. </w:t>
      </w:r>
      <w:r w:rsidR="00000B27">
        <w:rPr>
          <w:rFonts w:ascii="Times New Roman" w:hAnsi="Times New Roman" w:cs="Times New Roman"/>
          <w:sz w:val="24"/>
          <w:szCs w:val="24"/>
        </w:rPr>
        <w:t xml:space="preserve"> The confirmation statement</w:t>
      </w:r>
      <w:r w:rsidR="00EE630E">
        <w:rPr>
          <w:rFonts w:ascii="Times New Roman" w:hAnsi="Times New Roman" w:cs="Times New Roman"/>
          <w:sz w:val="24"/>
          <w:szCs w:val="24"/>
        </w:rPr>
        <w:t xml:space="preserve"> recorded Ecobank and Solgas as debtor and creditor respectively</w:t>
      </w:r>
      <w:r w:rsidR="00000B27">
        <w:rPr>
          <w:rFonts w:ascii="Times New Roman" w:hAnsi="Times New Roman" w:cs="Times New Roman"/>
          <w:sz w:val="24"/>
          <w:szCs w:val="24"/>
        </w:rPr>
        <w:t xml:space="preserve">. In addition, it set out </w:t>
      </w:r>
      <w:r w:rsidR="00EE630E">
        <w:rPr>
          <w:rFonts w:ascii="Times New Roman" w:hAnsi="Times New Roman" w:cs="Times New Roman"/>
          <w:sz w:val="24"/>
          <w:szCs w:val="24"/>
        </w:rPr>
        <w:t xml:space="preserve">the </w:t>
      </w:r>
      <w:r w:rsidR="00000B27">
        <w:rPr>
          <w:rFonts w:ascii="Times New Roman" w:hAnsi="Times New Roman" w:cs="Times New Roman"/>
          <w:sz w:val="24"/>
          <w:szCs w:val="24"/>
        </w:rPr>
        <w:t xml:space="preserve">two </w:t>
      </w:r>
      <w:r w:rsidR="00EE630E">
        <w:rPr>
          <w:rFonts w:ascii="Times New Roman" w:hAnsi="Times New Roman" w:cs="Times New Roman"/>
          <w:sz w:val="24"/>
          <w:szCs w:val="24"/>
        </w:rPr>
        <w:t xml:space="preserve">parties` particulars, details of the primary indebtedness as well as the asset secured. </w:t>
      </w:r>
      <w:r w:rsidR="00052046">
        <w:rPr>
          <w:rFonts w:ascii="Times New Roman" w:hAnsi="Times New Roman" w:cs="Times New Roman"/>
          <w:sz w:val="24"/>
          <w:szCs w:val="24"/>
        </w:rPr>
        <w:t xml:space="preserve">The maximum enforceable amount (based on the formula of </w:t>
      </w:r>
      <w:r w:rsidR="00052046" w:rsidRPr="00052046">
        <w:rPr>
          <w:rFonts w:ascii="Times New Roman" w:hAnsi="Times New Roman" w:cs="Times New Roman"/>
          <w:sz w:val="24"/>
          <w:szCs w:val="24"/>
        </w:rPr>
        <w:t xml:space="preserve">Principal Amount + Interest + Other Costs) was </w:t>
      </w:r>
      <w:r w:rsidR="00000B27">
        <w:rPr>
          <w:rFonts w:ascii="Times New Roman" w:hAnsi="Times New Roman" w:cs="Times New Roman"/>
          <w:sz w:val="24"/>
          <w:szCs w:val="24"/>
        </w:rPr>
        <w:t xml:space="preserve">marked as </w:t>
      </w:r>
      <w:r w:rsidR="00000B27" w:rsidRPr="00052046">
        <w:rPr>
          <w:rFonts w:ascii="Times New Roman" w:hAnsi="Times New Roman" w:cs="Times New Roman"/>
          <w:sz w:val="24"/>
          <w:szCs w:val="24"/>
        </w:rPr>
        <w:t>US</w:t>
      </w:r>
      <w:r w:rsidR="00052046" w:rsidRPr="00052046">
        <w:rPr>
          <w:rFonts w:ascii="Times New Roman" w:hAnsi="Times New Roman" w:cs="Times New Roman"/>
          <w:sz w:val="24"/>
          <w:szCs w:val="24"/>
        </w:rPr>
        <w:t>$611,325,00.</w:t>
      </w:r>
    </w:p>
    <w:p w14:paraId="67670200" w14:textId="65F49BF5" w:rsidR="00497174" w:rsidRDefault="00497174" w:rsidP="00964902">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r w:rsidR="00052046" w:rsidRPr="00052046">
        <w:rPr>
          <w:rFonts w:ascii="Times New Roman" w:hAnsi="Times New Roman" w:cs="Times New Roman"/>
          <w:sz w:val="24"/>
          <w:szCs w:val="24"/>
        </w:rPr>
        <w:t xml:space="preserve"> </w:t>
      </w:r>
      <w:r w:rsidR="005F69FF">
        <w:rPr>
          <w:rFonts w:ascii="Times New Roman" w:hAnsi="Times New Roman" w:cs="Times New Roman"/>
          <w:sz w:val="24"/>
          <w:szCs w:val="24"/>
        </w:rPr>
        <w:t>T</w:t>
      </w:r>
      <w:r w:rsidR="00EE630E" w:rsidRPr="00052046">
        <w:rPr>
          <w:rFonts w:ascii="Times New Roman" w:hAnsi="Times New Roman" w:cs="Times New Roman"/>
          <w:sz w:val="24"/>
          <w:szCs w:val="24"/>
        </w:rPr>
        <w:t xml:space="preserve">he </w:t>
      </w:r>
      <w:r w:rsidR="00315178">
        <w:rPr>
          <w:rFonts w:ascii="Times New Roman" w:hAnsi="Times New Roman" w:cs="Times New Roman"/>
          <w:sz w:val="24"/>
          <w:szCs w:val="24"/>
        </w:rPr>
        <w:t>c</w:t>
      </w:r>
      <w:r w:rsidR="00964902" w:rsidRPr="00052046">
        <w:rPr>
          <w:rFonts w:ascii="Times New Roman" w:hAnsi="Times New Roman" w:cs="Times New Roman"/>
          <w:sz w:val="24"/>
          <w:szCs w:val="24"/>
        </w:rPr>
        <w:t>onfirmation</w:t>
      </w:r>
      <w:r w:rsidR="00EE630E" w:rsidRPr="00052046">
        <w:rPr>
          <w:rFonts w:ascii="Times New Roman" w:hAnsi="Times New Roman" w:cs="Times New Roman"/>
          <w:sz w:val="24"/>
          <w:szCs w:val="24"/>
        </w:rPr>
        <w:t xml:space="preserve"> </w:t>
      </w:r>
      <w:r w:rsidR="00315178">
        <w:rPr>
          <w:rFonts w:ascii="Times New Roman" w:hAnsi="Times New Roman" w:cs="Times New Roman"/>
          <w:sz w:val="24"/>
          <w:szCs w:val="24"/>
        </w:rPr>
        <w:t>s</w:t>
      </w:r>
      <w:r w:rsidR="00EE630E" w:rsidRPr="00052046">
        <w:rPr>
          <w:rFonts w:ascii="Times New Roman" w:hAnsi="Times New Roman" w:cs="Times New Roman"/>
          <w:sz w:val="24"/>
          <w:szCs w:val="24"/>
        </w:rPr>
        <w:t xml:space="preserve">tatement </w:t>
      </w:r>
      <w:r w:rsidR="00315178">
        <w:rPr>
          <w:rFonts w:ascii="Times New Roman" w:hAnsi="Times New Roman" w:cs="Times New Roman"/>
          <w:sz w:val="24"/>
          <w:szCs w:val="24"/>
        </w:rPr>
        <w:t xml:space="preserve">or registered notice </w:t>
      </w:r>
      <w:r w:rsidR="00E86589" w:rsidRPr="00052046">
        <w:rPr>
          <w:rFonts w:ascii="Times New Roman" w:hAnsi="Times New Roman" w:cs="Times New Roman"/>
          <w:sz w:val="24"/>
          <w:szCs w:val="24"/>
        </w:rPr>
        <w:t xml:space="preserve">is </w:t>
      </w:r>
      <w:r w:rsidR="005F69FF">
        <w:rPr>
          <w:rFonts w:ascii="Times New Roman" w:hAnsi="Times New Roman" w:cs="Times New Roman"/>
          <w:sz w:val="24"/>
          <w:szCs w:val="24"/>
        </w:rPr>
        <w:t xml:space="preserve">a simple document issued in an electronic or dematerialised state. It departs greatly in format from the traditional </w:t>
      </w:r>
      <w:r w:rsidR="00000B27">
        <w:rPr>
          <w:rFonts w:ascii="Times New Roman" w:hAnsi="Times New Roman" w:cs="Times New Roman"/>
          <w:sz w:val="24"/>
          <w:szCs w:val="24"/>
        </w:rPr>
        <w:t xml:space="preserve">types of </w:t>
      </w:r>
      <w:r w:rsidR="005F69FF">
        <w:rPr>
          <w:rFonts w:ascii="Times New Roman" w:hAnsi="Times New Roman" w:cs="Times New Roman"/>
          <w:sz w:val="24"/>
          <w:szCs w:val="24"/>
        </w:rPr>
        <w:t xml:space="preserve">registered </w:t>
      </w:r>
      <w:r w:rsidR="00964902">
        <w:rPr>
          <w:rFonts w:ascii="Times New Roman" w:hAnsi="Times New Roman" w:cs="Times New Roman"/>
          <w:sz w:val="24"/>
          <w:szCs w:val="24"/>
        </w:rPr>
        <w:t>encumbrances</w:t>
      </w:r>
      <w:r w:rsidR="00A905EF">
        <w:rPr>
          <w:rFonts w:ascii="Times New Roman" w:hAnsi="Times New Roman" w:cs="Times New Roman"/>
          <w:sz w:val="24"/>
          <w:szCs w:val="24"/>
        </w:rPr>
        <w:t>.</w:t>
      </w:r>
      <w:r w:rsidR="00964902">
        <w:rPr>
          <w:rFonts w:ascii="Times New Roman" w:hAnsi="Times New Roman" w:cs="Times New Roman"/>
          <w:sz w:val="24"/>
          <w:szCs w:val="24"/>
        </w:rPr>
        <w:t xml:space="preserve"> </w:t>
      </w:r>
      <w:r w:rsidR="005F69FF">
        <w:rPr>
          <w:rFonts w:ascii="Times New Roman" w:hAnsi="Times New Roman" w:cs="Times New Roman"/>
          <w:sz w:val="24"/>
          <w:szCs w:val="24"/>
        </w:rPr>
        <w:t xml:space="preserve">More </w:t>
      </w:r>
      <w:r w:rsidR="005F69FF" w:rsidRPr="00315178">
        <w:rPr>
          <w:rFonts w:ascii="Times New Roman" w:hAnsi="Times New Roman" w:cs="Times New Roman"/>
          <w:sz w:val="24"/>
          <w:szCs w:val="24"/>
        </w:rPr>
        <w:t>substantively,</w:t>
      </w:r>
      <w:r w:rsidR="00315178" w:rsidRPr="00315178">
        <w:rPr>
          <w:rFonts w:ascii="Times New Roman" w:hAnsi="Times New Roman" w:cs="Times New Roman"/>
          <w:sz w:val="24"/>
          <w:szCs w:val="24"/>
        </w:rPr>
        <w:t xml:space="preserve"> </w:t>
      </w:r>
      <w:r w:rsidR="005F69FF" w:rsidRPr="00315178">
        <w:rPr>
          <w:rFonts w:ascii="Times New Roman" w:hAnsi="Times New Roman" w:cs="Times New Roman"/>
          <w:sz w:val="24"/>
          <w:szCs w:val="24"/>
        </w:rPr>
        <w:t>t</w:t>
      </w:r>
      <w:r w:rsidR="00CE451F" w:rsidRPr="00315178">
        <w:rPr>
          <w:rFonts w:ascii="Times New Roman" w:hAnsi="Times New Roman" w:cs="Times New Roman"/>
          <w:sz w:val="24"/>
          <w:szCs w:val="24"/>
        </w:rPr>
        <w:t xml:space="preserve">he </w:t>
      </w:r>
      <w:r w:rsidR="00315178">
        <w:rPr>
          <w:rFonts w:ascii="Times New Roman" w:hAnsi="Times New Roman" w:cs="Times New Roman"/>
          <w:sz w:val="24"/>
          <w:szCs w:val="24"/>
        </w:rPr>
        <w:t>c</w:t>
      </w:r>
      <w:r w:rsidR="00315178" w:rsidRPr="00315178">
        <w:rPr>
          <w:rFonts w:ascii="Times New Roman" w:hAnsi="Times New Roman" w:cs="Times New Roman"/>
          <w:sz w:val="24"/>
          <w:szCs w:val="24"/>
        </w:rPr>
        <w:t xml:space="preserve">onfirmation </w:t>
      </w:r>
      <w:r w:rsidR="00315178">
        <w:rPr>
          <w:rFonts w:ascii="Times New Roman" w:hAnsi="Times New Roman" w:cs="Times New Roman"/>
          <w:sz w:val="24"/>
          <w:szCs w:val="24"/>
        </w:rPr>
        <w:t>s</w:t>
      </w:r>
      <w:r w:rsidR="00315178" w:rsidRPr="00315178">
        <w:rPr>
          <w:rFonts w:ascii="Times New Roman" w:hAnsi="Times New Roman" w:cs="Times New Roman"/>
          <w:sz w:val="24"/>
          <w:szCs w:val="24"/>
        </w:rPr>
        <w:t xml:space="preserve">tatement </w:t>
      </w:r>
      <w:r w:rsidR="00315178">
        <w:rPr>
          <w:rFonts w:ascii="Times New Roman" w:hAnsi="Times New Roman" w:cs="Times New Roman"/>
          <w:sz w:val="24"/>
          <w:szCs w:val="24"/>
        </w:rPr>
        <w:t xml:space="preserve">becomes, </w:t>
      </w:r>
      <w:r w:rsidR="00FA23C9" w:rsidRPr="00315178">
        <w:rPr>
          <w:rFonts w:ascii="Times New Roman" w:hAnsi="Times New Roman" w:cs="Times New Roman"/>
          <w:sz w:val="24"/>
          <w:szCs w:val="24"/>
        </w:rPr>
        <w:t xml:space="preserve">by </w:t>
      </w:r>
      <w:r w:rsidR="00FA23C9">
        <w:rPr>
          <w:rFonts w:ascii="Times New Roman" w:hAnsi="Times New Roman" w:cs="Times New Roman"/>
          <w:sz w:val="24"/>
          <w:szCs w:val="24"/>
        </w:rPr>
        <w:t>virtue</w:t>
      </w:r>
      <w:r w:rsidR="00315178">
        <w:rPr>
          <w:rFonts w:ascii="Times New Roman" w:hAnsi="Times New Roman" w:cs="Times New Roman"/>
          <w:sz w:val="24"/>
          <w:szCs w:val="24"/>
        </w:rPr>
        <w:t xml:space="preserve"> of s 8 of the </w:t>
      </w:r>
      <w:r w:rsidR="00315178" w:rsidRPr="00BB398C">
        <w:rPr>
          <w:rFonts w:ascii="Times New Roman" w:hAnsi="Times New Roman" w:cs="Times New Roman"/>
          <w:sz w:val="24"/>
          <w:szCs w:val="24"/>
        </w:rPr>
        <w:t>Movable Property Security Act</w:t>
      </w:r>
      <w:r w:rsidR="00315178">
        <w:rPr>
          <w:rFonts w:ascii="Times New Roman" w:hAnsi="Times New Roman" w:cs="Times New Roman"/>
          <w:sz w:val="24"/>
          <w:szCs w:val="24"/>
        </w:rPr>
        <w:t xml:space="preserve">, a statutory liquid document. </w:t>
      </w:r>
    </w:p>
    <w:p w14:paraId="3843987A" w14:textId="16189446" w:rsidR="00964902" w:rsidRDefault="00497174" w:rsidP="009649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00CE451F" w:rsidRPr="00315178">
        <w:rPr>
          <w:rFonts w:ascii="Times New Roman" w:hAnsi="Times New Roman" w:cs="Times New Roman"/>
          <w:sz w:val="24"/>
          <w:szCs w:val="24"/>
        </w:rPr>
        <w:t xml:space="preserve">This </w:t>
      </w:r>
      <w:r>
        <w:rPr>
          <w:rFonts w:ascii="Times New Roman" w:hAnsi="Times New Roman" w:cs="Times New Roman"/>
          <w:sz w:val="24"/>
          <w:szCs w:val="24"/>
        </w:rPr>
        <w:t xml:space="preserve">status </w:t>
      </w:r>
      <w:r w:rsidR="00CE451F" w:rsidRPr="00315178">
        <w:rPr>
          <w:rFonts w:ascii="Times New Roman" w:hAnsi="Times New Roman" w:cs="Times New Roman"/>
          <w:sz w:val="24"/>
          <w:szCs w:val="24"/>
        </w:rPr>
        <w:t>separates the registered notice of a security interest from ordinary liquid documents</w:t>
      </w:r>
      <w:r w:rsidR="00953AF4">
        <w:rPr>
          <w:rFonts w:ascii="Times New Roman" w:hAnsi="Times New Roman" w:cs="Times New Roman"/>
          <w:sz w:val="24"/>
          <w:szCs w:val="24"/>
        </w:rPr>
        <w:t xml:space="preserve"> executed privately between individual</w:t>
      </w:r>
      <w:r w:rsidR="00315178">
        <w:rPr>
          <w:rFonts w:ascii="Times New Roman" w:hAnsi="Times New Roman" w:cs="Times New Roman"/>
          <w:sz w:val="24"/>
          <w:szCs w:val="24"/>
        </w:rPr>
        <w:t xml:space="preserve"> creditors and their </w:t>
      </w:r>
      <w:r w:rsidR="00407E1F">
        <w:rPr>
          <w:rFonts w:ascii="Times New Roman" w:hAnsi="Times New Roman" w:cs="Times New Roman"/>
          <w:sz w:val="24"/>
          <w:szCs w:val="24"/>
        </w:rPr>
        <w:t>debtors. I set out s</w:t>
      </w:r>
      <w:r w:rsidR="00964902">
        <w:rPr>
          <w:rFonts w:ascii="Times New Roman" w:hAnsi="Times New Roman" w:cs="Times New Roman"/>
          <w:sz w:val="24"/>
          <w:szCs w:val="24"/>
        </w:rPr>
        <w:t xml:space="preserve"> 8 of the Movable Property Security Act </w:t>
      </w:r>
      <w:r w:rsidR="00407E1F">
        <w:rPr>
          <w:rFonts w:ascii="Times New Roman" w:hAnsi="Times New Roman" w:cs="Times New Roman"/>
          <w:sz w:val="24"/>
          <w:szCs w:val="24"/>
        </w:rPr>
        <w:t>below</w:t>
      </w:r>
      <w:r w:rsidR="00964902">
        <w:rPr>
          <w:rFonts w:ascii="Times New Roman" w:hAnsi="Times New Roman" w:cs="Times New Roman"/>
          <w:sz w:val="24"/>
          <w:szCs w:val="24"/>
        </w:rPr>
        <w:t>; -</w:t>
      </w:r>
    </w:p>
    <w:p w14:paraId="5A72C731" w14:textId="77777777" w:rsidR="00964902" w:rsidRPr="00964902" w:rsidRDefault="00964902" w:rsidP="00964902">
      <w:pPr>
        <w:spacing w:line="360" w:lineRule="auto"/>
        <w:ind w:left="851"/>
        <w:jc w:val="both"/>
        <w:rPr>
          <w:rFonts w:ascii="Times New Roman" w:hAnsi="Times New Roman" w:cs="Times New Roman"/>
          <w:sz w:val="24"/>
          <w:szCs w:val="24"/>
          <w:u w:val="single"/>
        </w:rPr>
      </w:pPr>
      <w:r w:rsidRPr="00964902">
        <w:rPr>
          <w:rFonts w:ascii="Times New Roman" w:hAnsi="Times New Roman" w:cs="Times New Roman"/>
          <w:sz w:val="24"/>
          <w:szCs w:val="24"/>
          <w:u w:val="single"/>
        </w:rPr>
        <w:t xml:space="preserve">8. Enforcement of registered notices relating to security interests </w:t>
      </w:r>
    </w:p>
    <w:p w14:paraId="00509239" w14:textId="77777777" w:rsidR="00964902" w:rsidRPr="00964902" w:rsidRDefault="00964902" w:rsidP="00964902">
      <w:pPr>
        <w:spacing w:line="360" w:lineRule="auto"/>
        <w:ind w:left="851"/>
        <w:jc w:val="both"/>
        <w:rPr>
          <w:rFonts w:ascii="Times New Roman" w:hAnsi="Times New Roman" w:cs="Times New Roman"/>
          <w:sz w:val="24"/>
          <w:szCs w:val="24"/>
        </w:rPr>
      </w:pPr>
      <w:r w:rsidRPr="00964902">
        <w:rPr>
          <w:rFonts w:ascii="Times New Roman" w:hAnsi="Times New Roman" w:cs="Times New Roman"/>
          <w:sz w:val="24"/>
          <w:szCs w:val="24"/>
        </w:rPr>
        <w:t xml:space="preserve">(1) Every registered notice of a security interest is deemed to be a liquid document enforceable by way of provisional sentence proceedings. </w:t>
      </w:r>
    </w:p>
    <w:p w14:paraId="2E064C01" w14:textId="77777777" w:rsidR="00964902" w:rsidRPr="00964902" w:rsidRDefault="00964902" w:rsidP="00964902">
      <w:pPr>
        <w:spacing w:line="360" w:lineRule="auto"/>
        <w:ind w:left="851"/>
        <w:jc w:val="both"/>
        <w:rPr>
          <w:rFonts w:ascii="Times New Roman" w:hAnsi="Times New Roman" w:cs="Times New Roman"/>
          <w:sz w:val="24"/>
          <w:szCs w:val="24"/>
        </w:rPr>
      </w:pPr>
      <w:r w:rsidRPr="00964902">
        <w:rPr>
          <w:rFonts w:ascii="Times New Roman" w:hAnsi="Times New Roman" w:cs="Times New Roman"/>
          <w:sz w:val="24"/>
          <w:szCs w:val="24"/>
        </w:rPr>
        <w:t xml:space="preserve">(2) If the terms of a security agreement creating a security interest so allow, the secured creditor may seize and take custody of the movable asset subjected to the security agreement pending the grant of provisional sentence in relation thereto. </w:t>
      </w:r>
    </w:p>
    <w:p w14:paraId="429E9E27" w14:textId="77777777" w:rsidR="00964902" w:rsidRDefault="00964902" w:rsidP="00964902">
      <w:pPr>
        <w:spacing w:line="360" w:lineRule="auto"/>
        <w:ind w:left="851"/>
        <w:jc w:val="both"/>
        <w:rPr>
          <w:rFonts w:ascii="Times New Roman" w:hAnsi="Times New Roman" w:cs="Times New Roman"/>
          <w:sz w:val="24"/>
          <w:szCs w:val="24"/>
        </w:rPr>
      </w:pPr>
      <w:r w:rsidRPr="00964902">
        <w:rPr>
          <w:rFonts w:ascii="Times New Roman" w:hAnsi="Times New Roman" w:cs="Times New Roman"/>
          <w:sz w:val="24"/>
          <w:szCs w:val="24"/>
        </w:rPr>
        <w:t>(3) Additional provisions on the enforcement of security interests are set forth in Part V of the Second Schedule.</w:t>
      </w:r>
    </w:p>
    <w:p w14:paraId="33AB9E0A" w14:textId="1D645D25" w:rsidR="00964902" w:rsidRPr="00953AF4" w:rsidRDefault="00964902" w:rsidP="00964902">
      <w:pPr>
        <w:spacing w:line="360" w:lineRule="auto"/>
        <w:jc w:val="both"/>
        <w:rPr>
          <w:rFonts w:ascii="Times New Roman" w:hAnsi="Times New Roman" w:cs="Times New Roman"/>
        </w:rPr>
      </w:pPr>
      <w:r w:rsidRPr="00953AF4">
        <w:rPr>
          <w:rFonts w:ascii="Times New Roman" w:hAnsi="Times New Roman" w:cs="Times New Roman"/>
        </w:rPr>
        <w:t>THE PROVISIONAL SENTENCE PROCEEDINGS</w:t>
      </w:r>
    </w:p>
    <w:p w14:paraId="4CC96C6D" w14:textId="4E7D51BC" w:rsidR="001D36FF" w:rsidRDefault="00964902" w:rsidP="00964902">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052046">
        <w:rPr>
          <w:rFonts w:ascii="Times New Roman" w:hAnsi="Times New Roman" w:cs="Times New Roman"/>
          <w:sz w:val="24"/>
          <w:szCs w:val="24"/>
        </w:rPr>
        <w:t>4</w:t>
      </w:r>
      <w:r>
        <w:rPr>
          <w:rFonts w:ascii="Times New Roman" w:hAnsi="Times New Roman" w:cs="Times New Roman"/>
          <w:sz w:val="24"/>
          <w:szCs w:val="24"/>
        </w:rPr>
        <w:t xml:space="preserve">] </w:t>
      </w:r>
      <w:r w:rsidR="00641BA8">
        <w:rPr>
          <w:rFonts w:ascii="Times New Roman" w:hAnsi="Times New Roman" w:cs="Times New Roman"/>
          <w:sz w:val="24"/>
          <w:szCs w:val="24"/>
        </w:rPr>
        <w:t xml:space="preserve">The provisional sentence summons </w:t>
      </w:r>
      <w:r w:rsidR="001A5FD7">
        <w:rPr>
          <w:rFonts w:ascii="Times New Roman" w:hAnsi="Times New Roman" w:cs="Times New Roman"/>
          <w:sz w:val="24"/>
          <w:szCs w:val="24"/>
        </w:rPr>
        <w:t>was</w:t>
      </w:r>
      <w:r w:rsidR="00051A3E">
        <w:rPr>
          <w:rFonts w:ascii="Times New Roman" w:hAnsi="Times New Roman" w:cs="Times New Roman"/>
          <w:sz w:val="24"/>
          <w:szCs w:val="24"/>
        </w:rPr>
        <w:t xml:space="preserve"> </w:t>
      </w:r>
      <w:r w:rsidR="00641BA8">
        <w:rPr>
          <w:rFonts w:ascii="Times New Roman" w:hAnsi="Times New Roman" w:cs="Times New Roman"/>
          <w:sz w:val="24"/>
          <w:szCs w:val="24"/>
        </w:rPr>
        <w:t xml:space="preserve">set down </w:t>
      </w:r>
      <w:r w:rsidR="00051A3E">
        <w:rPr>
          <w:rFonts w:ascii="Times New Roman" w:hAnsi="Times New Roman" w:cs="Times New Roman"/>
          <w:sz w:val="24"/>
          <w:szCs w:val="24"/>
        </w:rPr>
        <w:t xml:space="preserve">on </w:t>
      </w:r>
      <w:r w:rsidR="00052046">
        <w:rPr>
          <w:rFonts w:ascii="Times New Roman" w:hAnsi="Times New Roman" w:cs="Times New Roman"/>
          <w:sz w:val="24"/>
          <w:szCs w:val="24"/>
        </w:rPr>
        <w:t xml:space="preserve">the unopposed motion roll on </w:t>
      </w:r>
      <w:r w:rsidR="00641BA8">
        <w:rPr>
          <w:rFonts w:ascii="Times New Roman" w:hAnsi="Times New Roman" w:cs="Times New Roman"/>
          <w:sz w:val="24"/>
          <w:szCs w:val="24"/>
        </w:rPr>
        <w:t xml:space="preserve">13 November 2024. The defendants filed a notice of opposition just the day before on 12 November 2024. </w:t>
      </w:r>
      <w:r w:rsidR="001D36FF">
        <w:rPr>
          <w:rFonts w:ascii="Times New Roman" w:hAnsi="Times New Roman" w:cs="Times New Roman"/>
          <w:sz w:val="24"/>
          <w:szCs w:val="24"/>
        </w:rPr>
        <w:t xml:space="preserve">Mr. </w:t>
      </w:r>
      <w:r w:rsidR="001D36FF" w:rsidRPr="00051A3E">
        <w:rPr>
          <w:rFonts w:ascii="Times New Roman" w:hAnsi="Times New Roman" w:cs="Times New Roman"/>
          <w:i/>
          <w:iCs/>
          <w:sz w:val="24"/>
          <w:szCs w:val="24"/>
        </w:rPr>
        <w:t>Mugandiwa</w:t>
      </w:r>
      <w:r w:rsidR="001D36FF">
        <w:rPr>
          <w:rFonts w:ascii="Times New Roman" w:hAnsi="Times New Roman" w:cs="Times New Roman"/>
          <w:sz w:val="24"/>
          <w:szCs w:val="24"/>
        </w:rPr>
        <w:t xml:space="preserve">, for Ecobank </w:t>
      </w:r>
      <w:r w:rsidR="00051A3E">
        <w:rPr>
          <w:rFonts w:ascii="Times New Roman" w:hAnsi="Times New Roman" w:cs="Times New Roman"/>
          <w:sz w:val="24"/>
          <w:szCs w:val="24"/>
        </w:rPr>
        <w:t xml:space="preserve">contended that </w:t>
      </w:r>
      <w:r w:rsidR="001D36FF">
        <w:rPr>
          <w:rFonts w:ascii="Times New Roman" w:hAnsi="Times New Roman" w:cs="Times New Roman"/>
          <w:sz w:val="24"/>
          <w:szCs w:val="24"/>
        </w:rPr>
        <w:t>the opposition was irregular</w:t>
      </w:r>
      <w:r w:rsidR="00051A3E">
        <w:rPr>
          <w:rFonts w:ascii="Times New Roman" w:hAnsi="Times New Roman" w:cs="Times New Roman"/>
          <w:sz w:val="24"/>
          <w:szCs w:val="24"/>
        </w:rPr>
        <w:t xml:space="preserve">. It </w:t>
      </w:r>
      <w:r w:rsidR="001D36FF">
        <w:rPr>
          <w:rFonts w:ascii="Times New Roman" w:hAnsi="Times New Roman" w:cs="Times New Roman"/>
          <w:sz w:val="24"/>
          <w:szCs w:val="24"/>
        </w:rPr>
        <w:lastRenderedPageBreak/>
        <w:t>ought</w:t>
      </w:r>
      <w:r w:rsidR="00000B27">
        <w:rPr>
          <w:rFonts w:ascii="Times New Roman" w:hAnsi="Times New Roman" w:cs="Times New Roman"/>
          <w:sz w:val="24"/>
          <w:szCs w:val="24"/>
        </w:rPr>
        <w:t>, according to him,</w:t>
      </w:r>
      <w:r w:rsidR="001D36FF">
        <w:rPr>
          <w:rFonts w:ascii="Times New Roman" w:hAnsi="Times New Roman" w:cs="Times New Roman"/>
          <w:sz w:val="24"/>
          <w:szCs w:val="24"/>
        </w:rPr>
        <w:t xml:space="preserve"> to have been filed at least 10 days before the set down date. That submission was incorrect and misleading. Rule 14 (7) permits a defendant to file its notice of opposition prior to the appointed </w:t>
      </w:r>
      <w:r w:rsidR="00BB398C">
        <w:rPr>
          <w:rFonts w:ascii="Times New Roman" w:hAnsi="Times New Roman" w:cs="Times New Roman"/>
          <w:sz w:val="24"/>
          <w:szCs w:val="24"/>
        </w:rPr>
        <w:t>day. It provides thus; -</w:t>
      </w:r>
    </w:p>
    <w:p w14:paraId="2300489E" w14:textId="6F5F2E5F" w:rsidR="00BB398C" w:rsidRPr="00BB398C" w:rsidRDefault="00BB398C" w:rsidP="00BB398C">
      <w:pPr>
        <w:spacing w:line="360" w:lineRule="auto"/>
        <w:ind w:left="851"/>
        <w:jc w:val="both"/>
        <w:rPr>
          <w:rFonts w:ascii="Times New Roman" w:hAnsi="Times New Roman" w:cs="Times New Roman"/>
          <w:sz w:val="24"/>
          <w:szCs w:val="24"/>
          <w:u w:val="single"/>
        </w:rPr>
      </w:pPr>
      <w:r w:rsidRPr="00BB398C">
        <w:rPr>
          <w:rFonts w:ascii="Times New Roman" w:hAnsi="Times New Roman" w:cs="Times New Roman"/>
          <w:sz w:val="24"/>
          <w:szCs w:val="24"/>
        </w:rPr>
        <w:t xml:space="preserve">14 (7) Prior to the date stated in the summons for appearance to answer the plaintiff’s claim, the defendant may file a notice of opposition in Form No. 24, together with one or more supporting affidavits </w:t>
      </w:r>
      <w:r w:rsidRPr="00BB398C">
        <w:rPr>
          <w:rFonts w:ascii="Times New Roman" w:hAnsi="Times New Roman" w:cs="Times New Roman"/>
          <w:sz w:val="24"/>
          <w:szCs w:val="24"/>
          <w:u w:val="single"/>
        </w:rPr>
        <w:t>in which event the provisions of these rules s</w:t>
      </w:r>
      <w:r w:rsidRPr="00BB398C">
        <w:rPr>
          <w:rFonts w:ascii="Times New Roman" w:hAnsi="Times New Roman" w:cs="Times New Roman"/>
          <w:b/>
          <w:bCs/>
          <w:sz w:val="24"/>
          <w:szCs w:val="24"/>
          <w:u w:val="single"/>
        </w:rPr>
        <w:t xml:space="preserve">hall </w:t>
      </w:r>
      <w:r w:rsidRPr="00BB398C">
        <w:rPr>
          <w:rFonts w:ascii="Times New Roman" w:hAnsi="Times New Roman" w:cs="Times New Roman"/>
          <w:sz w:val="24"/>
          <w:szCs w:val="24"/>
          <w:u w:val="single"/>
        </w:rPr>
        <w:t>apply</w:t>
      </w:r>
      <w:r w:rsidRPr="00BB398C">
        <w:rPr>
          <w:rFonts w:ascii="Times New Roman" w:hAnsi="Times New Roman" w:cs="Times New Roman"/>
          <w:sz w:val="24"/>
          <w:szCs w:val="24"/>
        </w:rPr>
        <w:t xml:space="preserve">, with the necessary changes </w:t>
      </w:r>
      <w:r w:rsidRPr="00BB398C">
        <w:rPr>
          <w:rFonts w:ascii="Times New Roman" w:hAnsi="Times New Roman" w:cs="Times New Roman"/>
          <w:sz w:val="24"/>
          <w:szCs w:val="24"/>
          <w:u w:val="single"/>
        </w:rPr>
        <w:t>to the service of a notice of opposition in terms of this subrule and to the filing and service of any answering affidavits or further affidavits by the parties.</w:t>
      </w:r>
    </w:p>
    <w:p w14:paraId="5455383E" w14:textId="4C18DF82" w:rsidR="00564651" w:rsidRDefault="001D36FF" w:rsidP="009649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B398C">
        <w:rPr>
          <w:rFonts w:ascii="Times New Roman" w:hAnsi="Times New Roman" w:cs="Times New Roman"/>
          <w:sz w:val="24"/>
          <w:szCs w:val="24"/>
        </w:rPr>
        <w:t>1</w:t>
      </w:r>
      <w:r w:rsidR="00052046">
        <w:rPr>
          <w:rFonts w:ascii="Times New Roman" w:hAnsi="Times New Roman" w:cs="Times New Roman"/>
          <w:sz w:val="24"/>
          <w:szCs w:val="24"/>
        </w:rPr>
        <w:t>5</w:t>
      </w:r>
      <w:r w:rsidR="00BB398C">
        <w:rPr>
          <w:rFonts w:ascii="Times New Roman" w:hAnsi="Times New Roman" w:cs="Times New Roman"/>
          <w:sz w:val="24"/>
          <w:szCs w:val="24"/>
        </w:rPr>
        <w:t>] The notice of opposition was therefore validly before the court. This</w:t>
      </w:r>
      <w:r>
        <w:rPr>
          <w:rFonts w:ascii="Times New Roman" w:hAnsi="Times New Roman" w:cs="Times New Roman"/>
          <w:sz w:val="24"/>
          <w:szCs w:val="24"/>
        </w:rPr>
        <w:t xml:space="preserve"> error was </w:t>
      </w:r>
      <w:r w:rsidR="001C4BAF">
        <w:rPr>
          <w:rFonts w:ascii="Times New Roman" w:hAnsi="Times New Roman" w:cs="Times New Roman"/>
          <w:sz w:val="24"/>
          <w:szCs w:val="24"/>
        </w:rPr>
        <w:t xml:space="preserve">aggravated </w:t>
      </w:r>
      <w:r>
        <w:rPr>
          <w:rFonts w:ascii="Times New Roman" w:hAnsi="Times New Roman" w:cs="Times New Roman"/>
          <w:sz w:val="24"/>
          <w:szCs w:val="24"/>
        </w:rPr>
        <w:t xml:space="preserve">by </w:t>
      </w:r>
      <w:r w:rsidR="00000B27">
        <w:rPr>
          <w:rFonts w:ascii="Times New Roman" w:hAnsi="Times New Roman" w:cs="Times New Roman"/>
          <w:sz w:val="24"/>
          <w:szCs w:val="24"/>
        </w:rPr>
        <w:t xml:space="preserve">none other than the defendants` legal practitioner herself. </w:t>
      </w:r>
      <w:r>
        <w:rPr>
          <w:rFonts w:ascii="Times New Roman" w:hAnsi="Times New Roman" w:cs="Times New Roman"/>
          <w:sz w:val="24"/>
          <w:szCs w:val="24"/>
        </w:rPr>
        <w:t xml:space="preserve">Ms </w:t>
      </w:r>
      <w:r w:rsidR="00000B27" w:rsidRPr="001D36FF">
        <w:rPr>
          <w:rFonts w:ascii="Times New Roman" w:hAnsi="Times New Roman" w:cs="Times New Roman"/>
          <w:i/>
          <w:iCs/>
          <w:sz w:val="24"/>
          <w:szCs w:val="24"/>
        </w:rPr>
        <w:t xml:space="preserve">Masona </w:t>
      </w:r>
      <w:r w:rsidR="00000B27">
        <w:rPr>
          <w:rFonts w:ascii="Times New Roman" w:hAnsi="Times New Roman" w:cs="Times New Roman"/>
          <w:sz w:val="24"/>
          <w:szCs w:val="24"/>
        </w:rPr>
        <w:t>admitted</w:t>
      </w:r>
      <w:r w:rsidR="00BB398C">
        <w:rPr>
          <w:rFonts w:ascii="Times New Roman" w:hAnsi="Times New Roman" w:cs="Times New Roman"/>
          <w:sz w:val="24"/>
          <w:szCs w:val="24"/>
        </w:rPr>
        <w:t xml:space="preserve"> </w:t>
      </w:r>
      <w:r>
        <w:rPr>
          <w:rFonts w:ascii="Times New Roman" w:hAnsi="Times New Roman" w:cs="Times New Roman"/>
          <w:sz w:val="24"/>
          <w:szCs w:val="24"/>
        </w:rPr>
        <w:t xml:space="preserve">that the notice of opposition was </w:t>
      </w:r>
      <w:r w:rsidR="00051A3E">
        <w:rPr>
          <w:rFonts w:ascii="Times New Roman" w:hAnsi="Times New Roman" w:cs="Times New Roman"/>
          <w:sz w:val="24"/>
          <w:szCs w:val="24"/>
        </w:rPr>
        <w:t>improperly before the court</w:t>
      </w:r>
      <w:r>
        <w:rPr>
          <w:rFonts w:ascii="Times New Roman" w:hAnsi="Times New Roman" w:cs="Times New Roman"/>
          <w:sz w:val="24"/>
          <w:szCs w:val="24"/>
        </w:rPr>
        <w:t xml:space="preserve">. In fact, counsel went so far as to </w:t>
      </w:r>
      <w:r w:rsidR="00564651">
        <w:rPr>
          <w:rFonts w:ascii="Times New Roman" w:hAnsi="Times New Roman" w:cs="Times New Roman"/>
          <w:sz w:val="24"/>
          <w:szCs w:val="24"/>
        </w:rPr>
        <w:t>suggest that</w:t>
      </w:r>
      <w:r>
        <w:rPr>
          <w:rFonts w:ascii="Times New Roman" w:hAnsi="Times New Roman" w:cs="Times New Roman"/>
          <w:sz w:val="24"/>
          <w:szCs w:val="24"/>
        </w:rPr>
        <w:t xml:space="preserve"> an application for condonation was underway</w:t>
      </w:r>
      <w:r w:rsidR="00B333AB">
        <w:rPr>
          <w:rFonts w:ascii="Times New Roman" w:hAnsi="Times New Roman" w:cs="Times New Roman"/>
          <w:sz w:val="24"/>
          <w:szCs w:val="24"/>
        </w:rPr>
        <w:t xml:space="preserve"> to remedy the breach</w:t>
      </w:r>
      <w:r w:rsidR="00756BA4">
        <w:rPr>
          <w:rFonts w:ascii="Times New Roman" w:hAnsi="Times New Roman" w:cs="Times New Roman"/>
          <w:sz w:val="24"/>
          <w:szCs w:val="24"/>
        </w:rPr>
        <w:t>!</w:t>
      </w:r>
      <w:r>
        <w:rPr>
          <w:rFonts w:ascii="Times New Roman" w:hAnsi="Times New Roman" w:cs="Times New Roman"/>
          <w:sz w:val="24"/>
          <w:szCs w:val="24"/>
        </w:rPr>
        <w:t xml:space="preserve"> </w:t>
      </w:r>
      <w:r w:rsidR="00000B27">
        <w:rPr>
          <w:rFonts w:ascii="Times New Roman" w:hAnsi="Times New Roman" w:cs="Times New Roman"/>
          <w:sz w:val="24"/>
          <w:szCs w:val="24"/>
        </w:rPr>
        <w:t>Obviously that position was ill-</w:t>
      </w:r>
      <w:r w:rsidR="00955C91">
        <w:rPr>
          <w:rFonts w:ascii="Times New Roman" w:hAnsi="Times New Roman" w:cs="Times New Roman"/>
          <w:sz w:val="24"/>
          <w:szCs w:val="24"/>
        </w:rPr>
        <w:t>informed. The</w:t>
      </w:r>
      <w:r w:rsidR="00CC3494">
        <w:rPr>
          <w:rFonts w:ascii="Times New Roman" w:hAnsi="Times New Roman" w:cs="Times New Roman"/>
          <w:sz w:val="24"/>
          <w:szCs w:val="24"/>
        </w:rPr>
        <w:t xml:space="preserve"> proper procedure </w:t>
      </w:r>
      <w:r w:rsidR="00756BA4">
        <w:rPr>
          <w:rFonts w:ascii="Times New Roman" w:hAnsi="Times New Roman" w:cs="Times New Roman"/>
          <w:sz w:val="24"/>
          <w:szCs w:val="24"/>
        </w:rPr>
        <w:t xml:space="preserve">though in those circumstances, </w:t>
      </w:r>
      <w:r w:rsidR="00CC3494">
        <w:rPr>
          <w:rFonts w:ascii="Times New Roman" w:hAnsi="Times New Roman" w:cs="Times New Roman"/>
          <w:sz w:val="24"/>
          <w:szCs w:val="24"/>
        </w:rPr>
        <w:t xml:space="preserve">was for Messrs </w:t>
      </w:r>
      <w:r w:rsidR="00CC3494" w:rsidRPr="00CC3494">
        <w:rPr>
          <w:rFonts w:ascii="Times New Roman" w:hAnsi="Times New Roman" w:cs="Times New Roman"/>
          <w:i/>
          <w:iCs/>
          <w:sz w:val="24"/>
          <w:szCs w:val="24"/>
        </w:rPr>
        <w:t>Mugandiwa</w:t>
      </w:r>
      <w:r w:rsidR="00CC3494">
        <w:rPr>
          <w:rFonts w:ascii="Times New Roman" w:hAnsi="Times New Roman" w:cs="Times New Roman"/>
          <w:sz w:val="24"/>
          <w:szCs w:val="24"/>
        </w:rPr>
        <w:t xml:space="preserve"> and </w:t>
      </w:r>
      <w:r w:rsidR="00CC3494" w:rsidRPr="00CC3494">
        <w:rPr>
          <w:rFonts w:ascii="Times New Roman" w:hAnsi="Times New Roman" w:cs="Times New Roman"/>
          <w:i/>
          <w:iCs/>
          <w:sz w:val="24"/>
          <w:szCs w:val="24"/>
        </w:rPr>
        <w:t xml:space="preserve">Bhebhe </w:t>
      </w:r>
      <w:r w:rsidR="00CC3494">
        <w:rPr>
          <w:rFonts w:ascii="Times New Roman" w:hAnsi="Times New Roman" w:cs="Times New Roman"/>
          <w:sz w:val="24"/>
          <w:szCs w:val="24"/>
        </w:rPr>
        <w:t xml:space="preserve">to </w:t>
      </w:r>
      <w:r w:rsidR="00052046">
        <w:rPr>
          <w:rFonts w:ascii="Times New Roman" w:hAnsi="Times New Roman" w:cs="Times New Roman"/>
          <w:sz w:val="24"/>
          <w:szCs w:val="24"/>
        </w:rPr>
        <w:t xml:space="preserve">apply, as was their obligation, for </w:t>
      </w:r>
      <w:r w:rsidR="00052046" w:rsidRPr="00CC3494">
        <w:rPr>
          <w:rFonts w:ascii="Times New Roman" w:hAnsi="Times New Roman" w:cs="Times New Roman"/>
          <w:sz w:val="24"/>
          <w:szCs w:val="24"/>
        </w:rPr>
        <w:t>the</w:t>
      </w:r>
      <w:r w:rsidR="00CC3494" w:rsidRPr="00CC3494">
        <w:rPr>
          <w:rFonts w:ascii="Times New Roman" w:hAnsi="Times New Roman" w:cs="Times New Roman"/>
          <w:sz w:val="24"/>
          <w:szCs w:val="24"/>
        </w:rPr>
        <w:t xml:space="preserve"> removal of the matter from the unopposed roll.</w:t>
      </w:r>
    </w:p>
    <w:p w14:paraId="7FBCE157" w14:textId="2342B512" w:rsidR="00CC3494" w:rsidRDefault="00564651" w:rsidP="00964902">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052046">
        <w:rPr>
          <w:rFonts w:ascii="Times New Roman" w:hAnsi="Times New Roman" w:cs="Times New Roman"/>
          <w:sz w:val="24"/>
          <w:szCs w:val="24"/>
        </w:rPr>
        <w:t>6</w:t>
      </w:r>
      <w:r>
        <w:rPr>
          <w:rFonts w:ascii="Times New Roman" w:hAnsi="Times New Roman" w:cs="Times New Roman"/>
          <w:sz w:val="24"/>
          <w:szCs w:val="24"/>
        </w:rPr>
        <w:t xml:space="preserve">] </w:t>
      </w:r>
      <w:r w:rsidRPr="00CC3494">
        <w:rPr>
          <w:rFonts w:ascii="Times New Roman" w:hAnsi="Times New Roman" w:cs="Times New Roman"/>
          <w:sz w:val="24"/>
          <w:szCs w:val="24"/>
        </w:rPr>
        <w:t>This</w:t>
      </w:r>
      <w:r w:rsidR="00CC3494" w:rsidRPr="00CC3494">
        <w:rPr>
          <w:rFonts w:ascii="Times New Roman" w:hAnsi="Times New Roman" w:cs="Times New Roman"/>
          <w:sz w:val="24"/>
          <w:szCs w:val="24"/>
        </w:rPr>
        <w:t xml:space="preserve"> approach is now well settled. In </w:t>
      </w:r>
      <w:r w:rsidR="00CC3494" w:rsidRPr="00CC3494">
        <w:rPr>
          <w:rFonts w:ascii="Times New Roman" w:hAnsi="Times New Roman" w:cs="Times New Roman"/>
          <w:i/>
          <w:iCs/>
          <w:sz w:val="24"/>
          <w:szCs w:val="24"/>
        </w:rPr>
        <w:t>Al Shams Global BVI Ltd v Equity Properties (Pvt) Ltd</w:t>
      </w:r>
      <w:r w:rsidR="00CC3494" w:rsidRPr="00CC3494">
        <w:rPr>
          <w:rFonts w:ascii="Times New Roman" w:hAnsi="Times New Roman" w:cs="Times New Roman"/>
          <w:sz w:val="24"/>
          <w:szCs w:val="24"/>
        </w:rPr>
        <w:t xml:space="preserve"> 2013 (2) ZLR 131 (H</w:t>
      </w:r>
      <w:r w:rsidR="00052046" w:rsidRPr="00CC3494">
        <w:rPr>
          <w:rFonts w:ascii="Times New Roman" w:hAnsi="Times New Roman" w:cs="Times New Roman"/>
          <w:sz w:val="24"/>
          <w:szCs w:val="24"/>
        </w:rPr>
        <w:t>)</w:t>
      </w:r>
      <w:r w:rsidR="00052046">
        <w:rPr>
          <w:rFonts w:ascii="Times New Roman" w:hAnsi="Times New Roman" w:cs="Times New Roman"/>
          <w:sz w:val="24"/>
          <w:szCs w:val="24"/>
        </w:rPr>
        <w:t>,</w:t>
      </w:r>
      <w:r w:rsidR="00052046" w:rsidRPr="00CC3494">
        <w:rPr>
          <w:rFonts w:ascii="Times New Roman" w:hAnsi="Times New Roman" w:cs="Times New Roman"/>
          <w:sz w:val="24"/>
          <w:szCs w:val="24"/>
        </w:rPr>
        <w:t xml:space="preserve"> this</w:t>
      </w:r>
      <w:r w:rsidR="00CC3494">
        <w:rPr>
          <w:rFonts w:ascii="Times New Roman" w:hAnsi="Times New Roman" w:cs="Times New Roman"/>
          <w:sz w:val="24"/>
          <w:szCs w:val="24"/>
        </w:rPr>
        <w:t xml:space="preserve"> court per ZHOU J </w:t>
      </w:r>
      <w:r w:rsidR="00CC3494" w:rsidRPr="00CC3494">
        <w:rPr>
          <w:rFonts w:ascii="Times New Roman" w:hAnsi="Times New Roman" w:cs="Times New Roman"/>
          <w:sz w:val="24"/>
          <w:szCs w:val="24"/>
        </w:rPr>
        <w:t xml:space="preserve">resolved the residual inconsistencies </w:t>
      </w:r>
      <w:r w:rsidR="00CC3494">
        <w:rPr>
          <w:rFonts w:ascii="Times New Roman" w:hAnsi="Times New Roman" w:cs="Times New Roman"/>
          <w:sz w:val="24"/>
          <w:szCs w:val="24"/>
        </w:rPr>
        <w:t>in the approach to provisional sentence matters.</w:t>
      </w:r>
      <w:r w:rsidR="00CC3494" w:rsidRPr="00CC3494">
        <w:rPr>
          <w:rFonts w:ascii="Times New Roman" w:hAnsi="Times New Roman" w:cs="Times New Roman"/>
          <w:sz w:val="24"/>
          <w:szCs w:val="24"/>
        </w:rPr>
        <w:t xml:space="preserve"> </w:t>
      </w:r>
      <w:r>
        <w:rPr>
          <w:rFonts w:ascii="Times New Roman" w:hAnsi="Times New Roman" w:cs="Times New Roman"/>
          <w:sz w:val="24"/>
          <w:szCs w:val="24"/>
        </w:rPr>
        <w:t xml:space="preserve">The learned judge held as follows </w:t>
      </w:r>
      <w:r w:rsidR="008D2B22">
        <w:rPr>
          <w:rFonts w:ascii="Times New Roman" w:hAnsi="Times New Roman" w:cs="Times New Roman"/>
          <w:sz w:val="24"/>
          <w:szCs w:val="24"/>
        </w:rPr>
        <w:t>at</w:t>
      </w:r>
      <w:r w:rsidR="00A905EF">
        <w:rPr>
          <w:rFonts w:ascii="Times New Roman" w:hAnsi="Times New Roman" w:cs="Times New Roman"/>
          <w:sz w:val="24"/>
          <w:szCs w:val="24"/>
        </w:rPr>
        <w:t xml:space="preserve"> 135 C</w:t>
      </w:r>
      <w:r w:rsidR="008D2B22">
        <w:rPr>
          <w:rFonts w:ascii="Times New Roman" w:hAnsi="Times New Roman" w:cs="Times New Roman"/>
          <w:sz w:val="24"/>
          <w:szCs w:val="24"/>
        </w:rPr>
        <w:t>;</w:t>
      </w:r>
      <w:r w:rsidR="00CC3494">
        <w:rPr>
          <w:rFonts w:ascii="Times New Roman" w:hAnsi="Times New Roman" w:cs="Times New Roman"/>
          <w:sz w:val="24"/>
          <w:szCs w:val="24"/>
        </w:rPr>
        <w:t xml:space="preserve"> -</w:t>
      </w:r>
    </w:p>
    <w:p w14:paraId="24125DBE" w14:textId="2BC55414" w:rsidR="00CC3494" w:rsidRPr="00564651" w:rsidRDefault="00CC3494" w:rsidP="00CC3494">
      <w:pPr>
        <w:spacing w:line="360" w:lineRule="auto"/>
        <w:ind w:left="851"/>
        <w:jc w:val="both"/>
        <w:rPr>
          <w:rFonts w:ascii="Times New Roman" w:hAnsi="Times New Roman" w:cs="Times New Roman"/>
          <w:sz w:val="24"/>
          <w:szCs w:val="24"/>
        </w:rPr>
      </w:pPr>
      <w:r w:rsidRPr="00564651">
        <w:rPr>
          <w:rFonts w:ascii="Times New Roman" w:hAnsi="Times New Roman" w:cs="Times New Roman"/>
          <w:sz w:val="24"/>
          <w:szCs w:val="24"/>
        </w:rPr>
        <w:t>“</w:t>
      </w:r>
      <w:r w:rsidR="00564651" w:rsidRPr="00564651">
        <w:rPr>
          <w:rFonts w:ascii="Times New Roman" w:hAnsi="Times New Roman" w:cs="Times New Roman"/>
          <w:sz w:val="24"/>
          <w:szCs w:val="24"/>
        </w:rPr>
        <w:t xml:space="preserve">In the two cases before me opposing papers were filed prior to the date of the hearing. </w:t>
      </w:r>
      <w:r w:rsidR="00564651" w:rsidRPr="008D2B22">
        <w:rPr>
          <w:rFonts w:ascii="Times New Roman" w:hAnsi="Times New Roman" w:cs="Times New Roman"/>
          <w:sz w:val="24"/>
          <w:szCs w:val="24"/>
          <w:u w:val="single"/>
        </w:rPr>
        <w:t>Thus, the plaintiff knew then that in the two matters provisional sentence was being contested. The matters should not, therefore, have been set down on the unopposed roll.</w:t>
      </w:r>
      <w:r w:rsidR="00564651" w:rsidRPr="00564651">
        <w:rPr>
          <w:rFonts w:ascii="Times New Roman" w:hAnsi="Times New Roman" w:cs="Times New Roman"/>
          <w:sz w:val="24"/>
          <w:szCs w:val="24"/>
        </w:rPr>
        <w:t xml:space="preserve"> Contested cases for provisional sentence have previously been heard as opposed applications as shown by some judgments of this court. See </w:t>
      </w:r>
      <w:r w:rsidR="00564651" w:rsidRPr="00564651">
        <w:rPr>
          <w:rFonts w:ascii="Times New Roman" w:hAnsi="Times New Roman" w:cs="Times New Roman"/>
          <w:i/>
          <w:iCs/>
          <w:sz w:val="24"/>
          <w:szCs w:val="24"/>
        </w:rPr>
        <w:t>Mavindidze &amp; Anor v Mukonoweshuro</w:t>
      </w:r>
      <w:r w:rsidR="00564651" w:rsidRPr="00564651">
        <w:rPr>
          <w:rFonts w:ascii="Times New Roman" w:hAnsi="Times New Roman" w:cs="Times New Roman"/>
          <w:sz w:val="24"/>
          <w:szCs w:val="24"/>
        </w:rPr>
        <w:t xml:space="preserve"> 2010 (1) ZLR 191 (H); </w:t>
      </w:r>
      <w:r w:rsidR="00564651" w:rsidRPr="00564651">
        <w:rPr>
          <w:rFonts w:ascii="Times New Roman" w:hAnsi="Times New Roman" w:cs="Times New Roman"/>
          <w:i/>
          <w:iCs/>
          <w:sz w:val="24"/>
          <w:szCs w:val="24"/>
        </w:rPr>
        <w:t>Sibanda v Mushapaidze</w:t>
      </w:r>
      <w:r w:rsidR="00564651" w:rsidRPr="00564651">
        <w:rPr>
          <w:rFonts w:ascii="Times New Roman" w:hAnsi="Times New Roman" w:cs="Times New Roman"/>
          <w:sz w:val="24"/>
          <w:szCs w:val="24"/>
        </w:rPr>
        <w:t xml:space="preserve"> 2010 (1) ZLR 216 (H). </w:t>
      </w:r>
      <w:r w:rsidR="00564651" w:rsidRPr="008D2B22">
        <w:rPr>
          <w:rFonts w:ascii="Times New Roman" w:hAnsi="Times New Roman" w:cs="Times New Roman"/>
          <w:sz w:val="24"/>
          <w:szCs w:val="24"/>
          <w:u w:val="single"/>
        </w:rPr>
        <w:t>The attention of litigants is therefore directed to the provisions of the Rules regarding the setting down of contested cases for provisional sentence</w:t>
      </w:r>
      <w:r w:rsidR="00564651" w:rsidRPr="00564651">
        <w:rPr>
          <w:rFonts w:ascii="Times New Roman" w:hAnsi="Times New Roman" w:cs="Times New Roman"/>
          <w:sz w:val="24"/>
          <w:szCs w:val="24"/>
        </w:rPr>
        <w:t>.</w:t>
      </w:r>
      <w:r w:rsidRPr="00564651">
        <w:rPr>
          <w:rFonts w:ascii="Times New Roman" w:hAnsi="Times New Roman" w:cs="Times New Roman"/>
          <w:sz w:val="24"/>
          <w:szCs w:val="24"/>
        </w:rPr>
        <w:t>”</w:t>
      </w:r>
    </w:p>
    <w:p w14:paraId="20700925" w14:textId="62E2CE22" w:rsidR="001D36FF" w:rsidRDefault="00564651" w:rsidP="00964902">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052046">
        <w:rPr>
          <w:rFonts w:ascii="Times New Roman" w:hAnsi="Times New Roman" w:cs="Times New Roman"/>
          <w:sz w:val="24"/>
          <w:szCs w:val="24"/>
        </w:rPr>
        <w:t>7</w:t>
      </w:r>
      <w:r>
        <w:rPr>
          <w:rFonts w:ascii="Times New Roman" w:hAnsi="Times New Roman" w:cs="Times New Roman"/>
          <w:sz w:val="24"/>
          <w:szCs w:val="24"/>
        </w:rPr>
        <w:t xml:space="preserve">] </w:t>
      </w:r>
      <w:r w:rsidR="0085368A">
        <w:rPr>
          <w:rFonts w:ascii="Times New Roman" w:hAnsi="Times New Roman" w:cs="Times New Roman"/>
          <w:sz w:val="24"/>
          <w:szCs w:val="24"/>
        </w:rPr>
        <w:t>I nonetheless proceeded to hear the parties to ascertain the defendants` position as required by r 14</w:t>
      </w:r>
      <w:r w:rsidR="00052046">
        <w:rPr>
          <w:rFonts w:ascii="Times New Roman" w:hAnsi="Times New Roman" w:cs="Times New Roman"/>
          <w:sz w:val="24"/>
          <w:szCs w:val="24"/>
        </w:rPr>
        <w:t xml:space="preserve"> 8) or 14 (9) following indications that the claim was not being contested. Mr</w:t>
      </w:r>
      <w:r w:rsidR="001D36FF">
        <w:rPr>
          <w:rFonts w:ascii="Times New Roman" w:hAnsi="Times New Roman" w:cs="Times New Roman"/>
          <w:sz w:val="24"/>
          <w:szCs w:val="24"/>
        </w:rPr>
        <w:t xml:space="preserve">. </w:t>
      </w:r>
      <w:r w:rsidR="001D36FF" w:rsidRPr="001D36FF">
        <w:rPr>
          <w:rFonts w:ascii="Times New Roman" w:hAnsi="Times New Roman" w:cs="Times New Roman"/>
          <w:i/>
          <w:iCs/>
          <w:sz w:val="24"/>
          <w:szCs w:val="24"/>
        </w:rPr>
        <w:t>Mugandiwa</w:t>
      </w:r>
      <w:r w:rsidR="001D36FF">
        <w:rPr>
          <w:rFonts w:ascii="Times New Roman" w:hAnsi="Times New Roman" w:cs="Times New Roman"/>
          <w:sz w:val="24"/>
          <w:szCs w:val="24"/>
        </w:rPr>
        <w:t xml:space="preserve"> </w:t>
      </w:r>
      <w:r w:rsidR="001C4BAF">
        <w:rPr>
          <w:rFonts w:ascii="Times New Roman" w:hAnsi="Times New Roman" w:cs="Times New Roman"/>
          <w:sz w:val="24"/>
          <w:szCs w:val="24"/>
        </w:rPr>
        <w:t xml:space="preserve">informed the court that </w:t>
      </w:r>
      <w:r w:rsidR="0085368A">
        <w:rPr>
          <w:rFonts w:ascii="Times New Roman" w:hAnsi="Times New Roman" w:cs="Times New Roman"/>
          <w:sz w:val="24"/>
          <w:szCs w:val="24"/>
        </w:rPr>
        <w:t>t</w:t>
      </w:r>
      <w:r w:rsidR="001D36FF">
        <w:rPr>
          <w:rFonts w:ascii="Times New Roman" w:hAnsi="Times New Roman" w:cs="Times New Roman"/>
          <w:sz w:val="24"/>
          <w:szCs w:val="24"/>
        </w:rPr>
        <w:t>he opposing affidavits filed by the defendants in any event</w:t>
      </w:r>
      <w:r w:rsidR="00051A3E">
        <w:rPr>
          <w:rFonts w:ascii="Times New Roman" w:hAnsi="Times New Roman" w:cs="Times New Roman"/>
          <w:sz w:val="24"/>
          <w:szCs w:val="24"/>
        </w:rPr>
        <w:t>,</w:t>
      </w:r>
      <w:r w:rsidR="001D36FF">
        <w:rPr>
          <w:rFonts w:ascii="Times New Roman" w:hAnsi="Times New Roman" w:cs="Times New Roman"/>
          <w:sz w:val="24"/>
          <w:szCs w:val="24"/>
        </w:rPr>
        <w:t xml:space="preserve"> acknowledged the claim and did not in any way challenge the </w:t>
      </w:r>
      <w:r w:rsidR="00051A3E">
        <w:rPr>
          <w:rFonts w:ascii="Times New Roman" w:hAnsi="Times New Roman" w:cs="Times New Roman"/>
          <w:sz w:val="24"/>
          <w:szCs w:val="24"/>
        </w:rPr>
        <w:t>liquid document</w:t>
      </w:r>
      <w:r w:rsidR="001D36FF">
        <w:rPr>
          <w:rFonts w:ascii="Times New Roman" w:hAnsi="Times New Roman" w:cs="Times New Roman"/>
          <w:sz w:val="24"/>
          <w:szCs w:val="24"/>
        </w:rPr>
        <w:t xml:space="preserve">. Instead, they </w:t>
      </w:r>
      <w:r w:rsidR="001D36FF">
        <w:rPr>
          <w:rFonts w:ascii="Times New Roman" w:hAnsi="Times New Roman" w:cs="Times New Roman"/>
          <w:sz w:val="24"/>
          <w:szCs w:val="24"/>
        </w:rPr>
        <w:lastRenderedPageBreak/>
        <w:t xml:space="preserve">raised other matters or defences not relevant for purposes of the provisional relief </w:t>
      </w:r>
      <w:r>
        <w:rPr>
          <w:rFonts w:ascii="Times New Roman" w:hAnsi="Times New Roman" w:cs="Times New Roman"/>
          <w:sz w:val="24"/>
          <w:szCs w:val="24"/>
        </w:rPr>
        <w:t>sought. There was basically no controversy before the court.</w:t>
      </w:r>
    </w:p>
    <w:p w14:paraId="45E6A1CE" w14:textId="35A6AA1C" w:rsidR="00400CB5" w:rsidRDefault="001D36FF" w:rsidP="00964902">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052046">
        <w:rPr>
          <w:rFonts w:ascii="Times New Roman" w:hAnsi="Times New Roman" w:cs="Times New Roman"/>
          <w:sz w:val="24"/>
          <w:szCs w:val="24"/>
        </w:rPr>
        <w:t>8</w:t>
      </w:r>
      <w:r>
        <w:rPr>
          <w:rFonts w:ascii="Times New Roman" w:hAnsi="Times New Roman" w:cs="Times New Roman"/>
          <w:sz w:val="24"/>
          <w:szCs w:val="24"/>
        </w:rPr>
        <w:t xml:space="preserve">] Ms </w:t>
      </w:r>
      <w:r w:rsidRPr="00051A3E">
        <w:rPr>
          <w:rFonts w:ascii="Times New Roman" w:hAnsi="Times New Roman" w:cs="Times New Roman"/>
          <w:i/>
          <w:iCs/>
          <w:sz w:val="24"/>
          <w:szCs w:val="24"/>
        </w:rPr>
        <w:t>Masona</w:t>
      </w:r>
      <w:r>
        <w:rPr>
          <w:rFonts w:ascii="Times New Roman" w:hAnsi="Times New Roman" w:cs="Times New Roman"/>
          <w:sz w:val="24"/>
          <w:szCs w:val="24"/>
        </w:rPr>
        <w:t xml:space="preserve"> confirmed that the claim was not disputed. Neither </w:t>
      </w:r>
      <w:r w:rsidR="00051A3E">
        <w:rPr>
          <w:rFonts w:ascii="Times New Roman" w:hAnsi="Times New Roman" w:cs="Times New Roman"/>
          <w:sz w:val="24"/>
          <w:szCs w:val="24"/>
        </w:rPr>
        <w:t xml:space="preserve">were the defendants contesting the validity of the liquid </w:t>
      </w:r>
      <w:r w:rsidR="00052046">
        <w:rPr>
          <w:rFonts w:ascii="Times New Roman" w:hAnsi="Times New Roman" w:cs="Times New Roman"/>
          <w:sz w:val="24"/>
          <w:szCs w:val="24"/>
        </w:rPr>
        <w:t>document. The</w:t>
      </w:r>
      <w:r w:rsidR="00051A3E">
        <w:rPr>
          <w:rFonts w:ascii="Times New Roman" w:hAnsi="Times New Roman" w:cs="Times New Roman"/>
          <w:sz w:val="24"/>
          <w:szCs w:val="24"/>
        </w:rPr>
        <w:t xml:space="preserve"> defendants, however, argued</w:t>
      </w:r>
      <w:r w:rsidR="00052046">
        <w:rPr>
          <w:rFonts w:ascii="Times New Roman" w:hAnsi="Times New Roman" w:cs="Times New Roman"/>
          <w:sz w:val="24"/>
          <w:szCs w:val="24"/>
        </w:rPr>
        <w:t>-in their notice of opposition-</w:t>
      </w:r>
      <w:r w:rsidR="00051A3E">
        <w:rPr>
          <w:rFonts w:ascii="Times New Roman" w:hAnsi="Times New Roman" w:cs="Times New Roman"/>
          <w:sz w:val="24"/>
          <w:szCs w:val="24"/>
        </w:rPr>
        <w:t xml:space="preserve"> that the parties novated the original contract. There </w:t>
      </w:r>
      <w:r w:rsidR="001C4BAF">
        <w:rPr>
          <w:rFonts w:ascii="Times New Roman" w:hAnsi="Times New Roman" w:cs="Times New Roman"/>
          <w:sz w:val="24"/>
          <w:szCs w:val="24"/>
        </w:rPr>
        <w:t xml:space="preserve">existed between the </w:t>
      </w:r>
      <w:r w:rsidR="00F8536B">
        <w:rPr>
          <w:rFonts w:ascii="Times New Roman" w:hAnsi="Times New Roman" w:cs="Times New Roman"/>
          <w:sz w:val="24"/>
          <w:szCs w:val="24"/>
        </w:rPr>
        <w:t>parties, what</w:t>
      </w:r>
      <w:r w:rsidR="00051A3E">
        <w:rPr>
          <w:rFonts w:ascii="Times New Roman" w:hAnsi="Times New Roman" w:cs="Times New Roman"/>
          <w:sz w:val="24"/>
          <w:szCs w:val="24"/>
        </w:rPr>
        <w:t xml:space="preserve"> counsel termed a relational </w:t>
      </w:r>
      <w:r w:rsidR="00F8536B">
        <w:rPr>
          <w:rFonts w:ascii="Times New Roman" w:hAnsi="Times New Roman" w:cs="Times New Roman"/>
          <w:sz w:val="24"/>
          <w:szCs w:val="24"/>
        </w:rPr>
        <w:t>contract. That</w:t>
      </w:r>
      <w:r w:rsidR="001C4BAF">
        <w:rPr>
          <w:rFonts w:ascii="Times New Roman" w:hAnsi="Times New Roman" w:cs="Times New Roman"/>
          <w:sz w:val="24"/>
          <w:szCs w:val="24"/>
        </w:rPr>
        <w:t xml:space="preserve"> contract </w:t>
      </w:r>
      <w:r w:rsidR="00051A3E">
        <w:rPr>
          <w:rFonts w:ascii="Times New Roman" w:hAnsi="Times New Roman" w:cs="Times New Roman"/>
          <w:sz w:val="24"/>
          <w:szCs w:val="24"/>
        </w:rPr>
        <w:t>governed the parties under a banker-client arrangement. At stake was the undertaking by Ecobank to establish a letter of credit to the value of US$3</w:t>
      </w:r>
      <w:r w:rsidR="00400CB5">
        <w:rPr>
          <w:rFonts w:ascii="Times New Roman" w:hAnsi="Times New Roman" w:cs="Times New Roman"/>
          <w:sz w:val="24"/>
          <w:szCs w:val="24"/>
        </w:rPr>
        <w:t xml:space="preserve">,000,000 which </w:t>
      </w:r>
      <w:r w:rsidR="001C4BAF">
        <w:rPr>
          <w:rFonts w:ascii="Times New Roman" w:hAnsi="Times New Roman" w:cs="Times New Roman"/>
          <w:sz w:val="24"/>
          <w:szCs w:val="24"/>
        </w:rPr>
        <w:t xml:space="preserve">undertaking </w:t>
      </w:r>
      <w:r w:rsidR="00400CB5">
        <w:rPr>
          <w:rFonts w:ascii="Times New Roman" w:hAnsi="Times New Roman" w:cs="Times New Roman"/>
          <w:sz w:val="24"/>
          <w:szCs w:val="24"/>
        </w:rPr>
        <w:t xml:space="preserve">the bank </w:t>
      </w:r>
      <w:r w:rsidR="001C4BAF">
        <w:rPr>
          <w:rFonts w:ascii="Times New Roman" w:hAnsi="Times New Roman" w:cs="Times New Roman"/>
          <w:sz w:val="24"/>
          <w:szCs w:val="24"/>
        </w:rPr>
        <w:t xml:space="preserve">had </w:t>
      </w:r>
      <w:r w:rsidR="00400CB5">
        <w:rPr>
          <w:rFonts w:ascii="Times New Roman" w:hAnsi="Times New Roman" w:cs="Times New Roman"/>
          <w:sz w:val="24"/>
          <w:szCs w:val="24"/>
        </w:rPr>
        <w:t xml:space="preserve">breached. </w:t>
      </w:r>
    </w:p>
    <w:p w14:paraId="1442D6DE" w14:textId="275631A0" w:rsidR="00FA23C9" w:rsidRDefault="00400CB5" w:rsidP="00964902">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052046">
        <w:rPr>
          <w:rFonts w:ascii="Times New Roman" w:hAnsi="Times New Roman" w:cs="Times New Roman"/>
          <w:sz w:val="24"/>
          <w:szCs w:val="24"/>
        </w:rPr>
        <w:t>9</w:t>
      </w:r>
      <w:r>
        <w:rPr>
          <w:rFonts w:ascii="Times New Roman" w:hAnsi="Times New Roman" w:cs="Times New Roman"/>
          <w:sz w:val="24"/>
          <w:szCs w:val="24"/>
        </w:rPr>
        <w:t xml:space="preserve">] Having listened to Ms </w:t>
      </w:r>
      <w:r w:rsidR="001A5FD7" w:rsidRPr="00564651">
        <w:rPr>
          <w:rFonts w:ascii="Times New Roman" w:hAnsi="Times New Roman" w:cs="Times New Roman"/>
          <w:i/>
          <w:iCs/>
          <w:sz w:val="24"/>
          <w:szCs w:val="24"/>
        </w:rPr>
        <w:t>Masona;</w:t>
      </w:r>
      <w:r>
        <w:rPr>
          <w:rFonts w:ascii="Times New Roman" w:hAnsi="Times New Roman" w:cs="Times New Roman"/>
          <w:sz w:val="24"/>
          <w:szCs w:val="24"/>
        </w:rPr>
        <w:t xml:space="preserve"> my conclusion was that the </w:t>
      </w:r>
      <w:r w:rsidR="008D2B22">
        <w:rPr>
          <w:rFonts w:ascii="Times New Roman" w:hAnsi="Times New Roman" w:cs="Times New Roman"/>
          <w:sz w:val="24"/>
          <w:szCs w:val="24"/>
        </w:rPr>
        <w:t xml:space="preserve">defendants </w:t>
      </w:r>
      <w:r w:rsidR="00C853B7">
        <w:rPr>
          <w:rFonts w:ascii="Times New Roman" w:hAnsi="Times New Roman" w:cs="Times New Roman"/>
          <w:sz w:val="24"/>
          <w:szCs w:val="24"/>
        </w:rPr>
        <w:t xml:space="preserve">indeed </w:t>
      </w:r>
      <w:r w:rsidR="008D2B22">
        <w:rPr>
          <w:rFonts w:ascii="Times New Roman" w:hAnsi="Times New Roman" w:cs="Times New Roman"/>
          <w:sz w:val="24"/>
          <w:szCs w:val="24"/>
        </w:rPr>
        <w:t xml:space="preserve">admitted the </w:t>
      </w:r>
      <w:r w:rsidR="00D86E81">
        <w:rPr>
          <w:rFonts w:ascii="Times New Roman" w:hAnsi="Times New Roman" w:cs="Times New Roman"/>
          <w:sz w:val="24"/>
          <w:szCs w:val="24"/>
        </w:rPr>
        <w:t>claim.</w:t>
      </w:r>
      <w:r w:rsidR="00564651">
        <w:rPr>
          <w:rFonts w:ascii="Times New Roman" w:hAnsi="Times New Roman" w:cs="Times New Roman"/>
          <w:sz w:val="24"/>
          <w:szCs w:val="24"/>
        </w:rPr>
        <w:t xml:space="preserve"> </w:t>
      </w:r>
      <w:r w:rsidR="00052046">
        <w:rPr>
          <w:rFonts w:ascii="Times New Roman" w:hAnsi="Times New Roman" w:cs="Times New Roman"/>
          <w:sz w:val="24"/>
          <w:szCs w:val="24"/>
        </w:rPr>
        <w:t xml:space="preserve">The liquid document founding the provisional summons was not disputed. </w:t>
      </w:r>
      <w:r>
        <w:rPr>
          <w:rFonts w:ascii="Times New Roman" w:hAnsi="Times New Roman" w:cs="Times New Roman"/>
          <w:sz w:val="24"/>
          <w:szCs w:val="24"/>
        </w:rPr>
        <w:t xml:space="preserve">In </w:t>
      </w:r>
      <w:r w:rsidR="00F8536B">
        <w:rPr>
          <w:rFonts w:ascii="Times New Roman" w:hAnsi="Times New Roman" w:cs="Times New Roman"/>
          <w:sz w:val="24"/>
          <w:szCs w:val="24"/>
        </w:rPr>
        <w:t>reaching such decision</w:t>
      </w:r>
      <w:r>
        <w:rPr>
          <w:rFonts w:ascii="Times New Roman" w:hAnsi="Times New Roman" w:cs="Times New Roman"/>
          <w:sz w:val="24"/>
          <w:szCs w:val="24"/>
        </w:rPr>
        <w:t xml:space="preserve">, I </w:t>
      </w:r>
      <w:r w:rsidR="00F8536B">
        <w:rPr>
          <w:rFonts w:ascii="Times New Roman" w:hAnsi="Times New Roman" w:cs="Times New Roman"/>
          <w:sz w:val="24"/>
          <w:szCs w:val="24"/>
        </w:rPr>
        <w:t xml:space="preserve">considered the underlying </w:t>
      </w:r>
      <w:r w:rsidR="00FA23C9">
        <w:rPr>
          <w:rFonts w:ascii="Times New Roman" w:hAnsi="Times New Roman" w:cs="Times New Roman"/>
          <w:sz w:val="24"/>
          <w:szCs w:val="24"/>
        </w:rPr>
        <w:t xml:space="preserve">loan </w:t>
      </w:r>
      <w:r w:rsidR="00F8536B">
        <w:rPr>
          <w:rFonts w:ascii="Times New Roman" w:hAnsi="Times New Roman" w:cs="Times New Roman"/>
          <w:sz w:val="24"/>
          <w:szCs w:val="24"/>
        </w:rPr>
        <w:t xml:space="preserve">contract between Ecobank and Solgas. </w:t>
      </w:r>
      <w:r w:rsidR="001F282E">
        <w:rPr>
          <w:rFonts w:ascii="Times New Roman" w:hAnsi="Times New Roman" w:cs="Times New Roman"/>
          <w:sz w:val="24"/>
          <w:szCs w:val="24"/>
        </w:rPr>
        <w:t xml:space="preserve"> </w:t>
      </w:r>
      <w:r w:rsidR="00FA23C9">
        <w:rPr>
          <w:rFonts w:ascii="Times New Roman" w:hAnsi="Times New Roman" w:cs="Times New Roman"/>
          <w:sz w:val="24"/>
          <w:szCs w:val="24"/>
        </w:rPr>
        <w:t>That agreement gave birth to the security undertakings; - the guarantees and registered security interest.</w:t>
      </w:r>
    </w:p>
    <w:p w14:paraId="0444A156" w14:textId="1D4A6231" w:rsidR="00483B02" w:rsidRDefault="00FA23C9" w:rsidP="00964902">
      <w:pPr>
        <w:spacing w:line="360" w:lineRule="auto"/>
        <w:jc w:val="both"/>
        <w:rPr>
          <w:rFonts w:ascii="Times New Roman" w:hAnsi="Times New Roman" w:cs="Times New Roman"/>
          <w:sz w:val="24"/>
          <w:szCs w:val="24"/>
        </w:rPr>
      </w:pPr>
      <w:r>
        <w:rPr>
          <w:rFonts w:ascii="Times New Roman" w:hAnsi="Times New Roman" w:cs="Times New Roman"/>
          <w:sz w:val="24"/>
          <w:szCs w:val="24"/>
        </w:rPr>
        <w:t>[20] Under those agreements, Ecobank</w:t>
      </w:r>
      <w:r w:rsidR="00F8536B">
        <w:rPr>
          <w:rFonts w:ascii="Times New Roman" w:hAnsi="Times New Roman" w:cs="Times New Roman"/>
          <w:sz w:val="24"/>
          <w:szCs w:val="24"/>
        </w:rPr>
        <w:t xml:space="preserve"> </w:t>
      </w:r>
      <w:r w:rsidR="00C853B7">
        <w:rPr>
          <w:rFonts w:ascii="Times New Roman" w:hAnsi="Times New Roman" w:cs="Times New Roman"/>
          <w:sz w:val="24"/>
          <w:szCs w:val="24"/>
        </w:rPr>
        <w:t xml:space="preserve">had </w:t>
      </w:r>
      <w:r w:rsidR="00F8536B">
        <w:rPr>
          <w:rFonts w:ascii="Times New Roman" w:hAnsi="Times New Roman" w:cs="Times New Roman"/>
          <w:sz w:val="24"/>
          <w:szCs w:val="24"/>
        </w:rPr>
        <w:t xml:space="preserve">appropriated to itself, a slew of favourable provisions under the loan agreement, guarantees and security agreement. </w:t>
      </w:r>
      <w:r>
        <w:rPr>
          <w:rFonts w:ascii="Times New Roman" w:hAnsi="Times New Roman" w:cs="Times New Roman"/>
          <w:sz w:val="24"/>
          <w:szCs w:val="24"/>
        </w:rPr>
        <w:t xml:space="preserve"> </w:t>
      </w:r>
      <w:r w:rsidR="00483B02">
        <w:rPr>
          <w:rFonts w:ascii="Times New Roman" w:hAnsi="Times New Roman" w:cs="Times New Roman"/>
          <w:sz w:val="24"/>
          <w:szCs w:val="24"/>
        </w:rPr>
        <w:t>I need not detail each and every one of these. But as an example, the loan agreement had clauses 10, 11, and 12 dealing with “other loan conditions”, “warranties” and “events of default</w:t>
      </w:r>
      <w:r>
        <w:rPr>
          <w:rFonts w:ascii="Times New Roman" w:hAnsi="Times New Roman" w:cs="Times New Roman"/>
          <w:sz w:val="24"/>
          <w:szCs w:val="24"/>
        </w:rPr>
        <w:t xml:space="preserve">”. These agreements did not admit the defences now being posed by the defendants. </w:t>
      </w:r>
      <w:r w:rsidR="001F282E">
        <w:rPr>
          <w:rFonts w:ascii="Times New Roman" w:hAnsi="Times New Roman" w:cs="Times New Roman"/>
          <w:sz w:val="24"/>
          <w:szCs w:val="24"/>
        </w:rPr>
        <w:t xml:space="preserve">The result being to </w:t>
      </w:r>
      <w:r>
        <w:rPr>
          <w:rFonts w:ascii="Times New Roman" w:hAnsi="Times New Roman" w:cs="Times New Roman"/>
          <w:sz w:val="24"/>
          <w:szCs w:val="24"/>
        </w:rPr>
        <w:t xml:space="preserve">lend credence to </w:t>
      </w:r>
      <w:r w:rsidR="001F282E">
        <w:rPr>
          <w:rFonts w:ascii="Times New Roman" w:hAnsi="Times New Roman" w:cs="Times New Roman"/>
          <w:sz w:val="24"/>
          <w:szCs w:val="24"/>
        </w:rPr>
        <w:t xml:space="preserve">Mr. </w:t>
      </w:r>
      <w:r w:rsidR="001F282E" w:rsidRPr="001F282E">
        <w:rPr>
          <w:rFonts w:ascii="Times New Roman" w:hAnsi="Times New Roman" w:cs="Times New Roman"/>
          <w:i/>
          <w:iCs/>
          <w:sz w:val="24"/>
          <w:szCs w:val="24"/>
        </w:rPr>
        <w:t>Mugandiwa`</w:t>
      </w:r>
      <w:r w:rsidR="001F282E">
        <w:rPr>
          <w:rFonts w:ascii="Times New Roman" w:hAnsi="Times New Roman" w:cs="Times New Roman"/>
          <w:sz w:val="24"/>
          <w:szCs w:val="24"/>
        </w:rPr>
        <w:t xml:space="preserve"> s averment that Ecobank`s provisional claim, was uncontested.</w:t>
      </w:r>
    </w:p>
    <w:p w14:paraId="601E1E21" w14:textId="756E87AF" w:rsidR="00564651" w:rsidRPr="008D2B22" w:rsidRDefault="00483B02" w:rsidP="0096490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953AF4">
        <w:rPr>
          <w:rFonts w:ascii="Times New Roman" w:hAnsi="Times New Roman" w:cs="Times New Roman"/>
          <w:sz w:val="24"/>
          <w:szCs w:val="24"/>
        </w:rPr>
        <w:t>21</w:t>
      </w:r>
      <w:r>
        <w:rPr>
          <w:rFonts w:ascii="Times New Roman" w:hAnsi="Times New Roman" w:cs="Times New Roman"/>
          <w:sz w:val="24"/>
          <w:szCs w:val="24"/>
        </w:rPr>
        <w:t xml:space="preserve">] </w:t>
      </w:r>
      <w:r w:rsidR="00CE451F">
        <w:rPr>
          <w:rFonts w:ascii="Times New Roman" w:hAnsi="Times New Roman" w:cs="Times New Roman"/>
          <w:sz w:val="24"/>
          <w:szCs w:val="24"/>
        </w:rPr>
        <w:t>Further, Ecobank was armed with a statutory liquid document</w:t>
      </w:r>
      <w:r w:rsidR="00407E1F">
        <w:rPr>
          <w:rFonts w:ascii="Times New Roman" w:hAnsi="Times New Roman" w:cs="Times New Roman"/>
          <w:sz w:val="24"/>
          <w:szCs w:val="24"/>
        </w:rPr>
        <w:t xml:space="preserve"> whose validity was </w:t>
      </w:r>
      <w:r w:rsidR="001F282E">
        <w:rPr>
          <w:rFonts w:ascii="Times New Roman" w:hAnsi="Times New Roman" w:cs="Times New Roman"/>
          <w:sz w:val="24"/>
          <w:szCs w:val="24"/>
        </w:rPr>
        <w:t xml:space="preserve">also not </w:t>
      </w:r>
      <w:r w:rsidR="00407E1F">
        <w:rPr>
          <w:rFonts w:ascii="Times New Roman" w:hAnsi="Times New Roman" w:cs="Times New Roman"/>
          <w:sz w:val="24"/>
          <w:szCs w:val="24"/>
        </w:rPr>
        <w:t>challenged</w:t>
      </w:r>
      <w:r w:rsidR="00CE451F">
        <w:rPr>
          <w:rFonts w:ascii="Times New Roman" w:hAnsi="Times New Roman" w:cs="Times New Roman"/>
          <w:sz w:val="24"/>
          <w:szCs w:val="24"/>
        </w:rPr>
        <w:t>. In that respect, the concessions</w:t>
      </w:r>
      <w:r>
        <w:rPr>
          <w:rFonts w:ascii="Times New Roman" w:hAnsi="Times New Roman" w:cs="Times New Roman"/>
          <w:sz w:val="24"/>
          <w:szCs w:val="24"/>
        </w:rPr>
        <w:t xml:space="preserve"> </w:t>
      </w:r>
      <w:r w:rsidR="00C853B7">
        <w:rPr>
          <w:rFonts w:ascii="Times New Roman" w:hAnsi="Times New Roman" w:cs="Times New Roman"/>
          <w:sz w:val="24"/>
          <w:szCs w:val="24"/>
        </w:rPr>
        <w:t xml:space="preserve">tendered on behalf of the defendants </w:t>
      </w:r>
      <w:r w:rsidR="00F8536B">
        <w:rPr>
          <w:rFonts w:ascii="Times New Roman" w:hAnsi="Times New Roman" w:cs="Times New Roman"/>
          <w:sz w:val="24"/>
          <w:szCs w:val="24"/>
        </w:rPr>
        <w:t xml:space="preserve">confirmed Ecobank`s prima facie </w:t>
      </w:r>
      <w:r>
        <w:rPr>
          <w:rFonts w:ascii="Times New Roman" w:hAnsi="Times New Roman" w:cs="Times New Roman"/>
          <w:sz w:val="24"/>
          <w:szCs w:val="24"/>
        </w:rPr>
        <w:t xml:space="preserve">case. I was also persuaded </w:t>
      </w:r>
      <w:r w:rsidR="00400CB5">
        <w:rPr>
          <w:rFonts w:ascii="Times New Roman" w:hAnsi="Times New Roman" w:cs="Times New Roman"/>
          <w:sz w:val="24"/>
          <w:szCs w:val="24"/>
        </w:rPr>
        <w:t xml:space="preserve">by the age-old considerations that provisional sentence is a summary procedure. It </w:t>
      </w:r>
      <w:r w:rsidR="00564651">
        <w:rPr>
          <w:rFonts w:ascii="Times New Roman" w:hAnsi="Times New Roman" w:cs="Times New Roman"/>
          <w:sz w:val="24"/>
          <w:szCs w:val="24"/>
        </w:rPr>
        <w:t xml:space="preserve">leads to provisional relief which may be defended in the main action. But in the interim, a deserving </w:t>
      </w:r>
      <w:r w:rsidR="00CC3494">
        <w:rPr>
          <w:rFonts w:ascii="Times New Roman" w:hAnsi="Times New Roman" w:cs="Times New Roman"/>
          <w:sz w:val="24"/>
          <w:szCs w:val="24"/>
        </w:rPr>
        <w:t xml:space="preserve">plaintiff armed with incontrovertible prima facie proof of its claim in the </w:t>
      </w:r>
      <w:r w:rsidR="00CC3494" w:rsidRPr="008D2B22">
        <w:rPr>
          <w:rFonts w:ascii="Times New Roman" w:hAnsi="Times New Roman" w:cs="Times New Roman"/>
          <w:sz w:val="24"/>
          <w:szCs w:val="24"/>
        </w:rPr>
        <w:t>form of a liquid document</w:t>
      </w:r>
      <w:r w:rsidR="00564651" w:rsidRPr="008D2B22">
        <w:rPr>
          <w:rFonts w:ascii="Times New Roman" w:hAnsi="Times New Roman" w:cs="Times New Roman"/>
          <w:sz w:val="24"/>
          <w:szCs w:val="24"/>
        </w:rPr>
        <w:t xml:space="preserve"> must obtain interim </w:t>
      </w:r>
      <w:r w:rsidR="008D2B22" w:rsidRPr="008D2B22">
        <w:rPr>
          <w:rFonts w:ascii="Times New Roman" w:hAnsi="Times New Roman" w:cs="Times New Roman"/>
          <w:sz w:val="24"/>
          <w:szCs w:val="24"/>
        </w:rPr>
        <w:t xml:space="preserve">relief. In </w:t>
      </w:r>
      <w:r w:rsidR="008D2B22" w:rsidRPr="008D2B22">
        <w:rPr>
          <w:rFonts w:ascii="Times New Roman" w:hAnsi="Times New Roman" w:cs="Times New Roman"/>
          <w:i/>
          <w:iCs/>
          <w:sz w:val="24"/>
          <w:szCs w:val="24"/>
        </w:rPr>
        <w:t>Interfin Banking Corp Ltd v Veanarcy (Pvt) Ltd</w:t>
      </w:r>
      <w:r w:rsidR="008D2B22" w:rsidRPr="008D2B22">
        <w:rPr>
          <w:rFonts w:ascii="Times New Roman" w:hAnsi="Times New Roman" w:cs="Times New Roman"/>
          <w:sz w:val="24"/>
          <w:szCs w:val="24"/>
        </w:rPr>
        <w:t xml:space="preserve"> 2013 (2) ZLR 589 (H)</w:t>
      </w:r>
      <w:r w:rsidR="008D2B22">
        <w:rPr>
          <w:rFonts w:ascii="Times New Roman" w:hAnsi="Times New Roman" w:cs="Times New Roman"/>
          <w:sz w:val="24"/>
          <w:szCs w:val="24"/>
        </w:rPr>
        <w:t xml:space="preserve"> at 593 E- H it was held that; -</w:t>
      </w:r>
    </w:p>
    <w:p w14:paraId="6F66D7D0" w14:textId="0EB1E8A1" w:rsidR="008D2B22" w:rsidRPr="008D2B22" w:rsidRDefault="008D2B22" w:rsidP="008D2B22">
      <w:pPr>
        <w:spacing w:line="360" w:lineRule="auto"/>
        <w:ind w:left="851"/>
        <w:jc w:val="both"/>
        <w:rPr>
          <w:rFonts w:ascii="Times New Roman" w:hAnsi="Times New Roman" w:cs="Times New Roman"/>
          <w:sz w:val="24"/>
          <w:szCs w:val="24"/>
        </w:rPr>
      </w:pPr>
      <w:r w:rsidRPr="008D2B22">
        <w:rPr>
          <w:rFonts w:ascii="Times New Roman" w:hAnsi="Times New Roman" w:cs="Times New Roman"/>
          <w:sz w:val="24"/>
          <w:szCs w:val="24"/>
        </w:rPr>
        <w:t xml:space="preserve">“The provisional sentence procedure is designed to afford summary relief to a plaintiff whose claim is clear and based on a written acknowledgement of debt called a liquid document. Makarau JP, as she then was, said in </w:t>
      </w:r>
      <w:r w:rsidRPr="008D2B22">
        <w:rPr>
          <w:rFonts w:ascii="Times New Roman" w:hAnsi="Times New Roman" w:cs="Times New Roman"/>
          <w:i/>
          <w:iCs/>
          <w:sz w:val="24"/>
          <w:szCs w:val="24"/>
        </w:rPr>
        <w:t>Sibanda v Mushapaidze</w:t>
      </w:r>
      <w:r w:rsidRPr="008D2B22">
        <w:rPr>
          <w:rFonts w:ascii="Times New Roman" w:hAnsi="Times New Roman" w:cs="Times New Roman"/>
          <w:sz w:val="24"/>
          <w:szCs w:val="24"/>
        </w:rPr>
        <w:t xml:space="preserve"> 2010 (1) ZLR 216 (H) at 220F-G: “Provisional sentence procedure is a summary procedure that allows the holder of a liquid document to obtain judgment and execute upon that </w:t>
      </w:r>
      <w:r w:rsidRPr="008D2B22">
        <w:rPr>
          <w:rFonts w:ascii="Times New Roman" w:hAnsi="Times New Roman" w:cs="Times New Roman"/>
          <w:sz w:val="24"/>
          <w:szCs w:val="24"/>
        </w:rPr>
        <w:lastRenderedPageBreak/>
        <w:t>judgment before the trial of the matter. In that regard, it may be termed an extraordinary remedy procedure, although it has been part of our civil process for decades.”</w:t>
      </w:r>
    </w:p>
    <w:p w14:paraId="190B098B" w14:textId="54F98D4D" w:rsidR="008D2B22" w:rsidRPr="008D2B22" w:rsidRDefault="008D2B22" w:rsidP="008D2B22">
      <w:pPr>
        <w:spacing w:line="360" w:lineRule="auto"/>
        <w:ind w:left="851"/>
        <w:jc w:val="both"/>
        <w:rPr>
          <w:rFonts w:ascii="Times New Roman" w:hAnsi="Times New Roman" w:cs="Times New Roman"/>
          <w:sz w:val="24"/>
          <w:szCs w:val="24"/>
        </w:rPr>
      </w:pPr>
      <w:r w:rsidRPr="008D2B22">
        <w:rPr>
          <w:rFonts w:ascii="Times New Roman" w:hAnsi="Times New Roman" w:cs="Times New Roman"/>
          <w:sz w:val="24"/>
          <w:szCs w:val="24"/>
        </w:rPr>
        <w:t xml:space="preserve"> </w:t>
      </w:r>
      <w:r w:rsidRPr="009F30BC">
        <w:rPr>
          <w:rFonts w:ascii="Times New Roman" w:hAnsi="Times New Roman" w:cs="Times New Roman"/>
        </w:rPr>
        <w:t>TLALETSI J</w:t>
      </w:r>
      <w:r w:rsidRPr="008D2B22">
        <w:rPr>
          <w:rFonts w:ascii="Times New Roman" w:hAnsi="Times New Roman" w:cs="Times New Roman"/>
          <w:sz w:val="24"/>
          <w:szCs w:val="24"/>
        </w:rPr>
        <w:t xml:space="preserve"> in the two </w:t>
      </w:r>
      <w:r w:rsidRPr="008D2B22">
        <w:rPr>
          <w:rFonts w:ascii="Times New Roman" w:hAnsi="Times New Roman" w:cs="Times New Roman"/>
          <w:i/>
          <w:iCs/>
          <w:sz w:val="24"/>
          <w:szCs w:val="24"/>
        </w:rPr>
        <w:t>Momentum Group Ltd</w:t>
      </w:r>
      <w:r w:rsidRPr="008D2B22">
        <w:rPr>
          <w:rFonts w:ascii="Times New Roman" w:hAnsi="Times New Roman" w:cs="Times New Roman"/>
          <w:sz w:val="24"/>
          <w:szCs w:val="24"/>
        </w:rPr>
        <w:t xml:space="preserve"> cases above, in paras 12 and 13 of the judgment, put it as follows: “[12] It is trite that provisional sentence procedure provides a process whereby a creditor who has sufficient documentary proof with a speedy remedy for the recovery of money due without having to go through an expensive, cumbersome and often dilatory machinery of an illiquid action. A creditor who has a liquid document is able to obtain an enforceable provisional judgment speedily without having to wait for the final determination of the dispute between the parties.”</w:t>
      </w:r>
    </w:p>
    <w:p w14:paraId="4C075F62" w14:textId="4273704D" w:rsidR="009F30BC" w:rsidRDefault="00D86E81" w:rsidP="00D86E8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953AF4">
        <w:rPr>
          <w:rFonts w:ascii="Times New Roman" w:hAnsi="Times New Roman" w:cs="Times New Roman"/>
          <w:sz w:val="24"/>
          <w:szCs w:val="24"/>
        </w:rPr>
        <w:t>22</w:t>
      </w:r>
      <w:r w:rsidRPr="00D86E81">
        <w:rPr>
          <w:rFonts w:ascii="Times New Roman" w:hAnsi="Times New Roman" w:cs="Times New Roman"/>
          <w:sz w:val="24"/>
          <w:szCs w:val="24"/>
        </w:rPr>
        <w:t>] Guided by the well-defined procedure in the rules and decided cases, our courts have always underscored th</w:t>
      </w:r>
      <w:r w:rsidR="00A905EF">
        <w:rPr>
          <w:rFonts w:ascii="Times New Roman" w:hAnsi="Times New Roman" w:cs="Times New Roman"/>
          <w:sz w:val="24"/>
          <w:szCs w:val="24"/>
        </w:rPr>
        <w:t xml:space="preserve">e robustness </w:t>
      </w:r>
      <w:r w:rsidRPr="00D86E81">
        <w:rPr>
          <w:rFonts w:ascii="Times New Roman" w:hAnsi="Times New Roman" w:cs="Times New Roman"/>
          <w:sz w:val="24"/>
          <w:szCs w:val="24"/>
        </w:rPr>
        <w:t>of provisional sentence remedy.</w:t>
      </w:r>
      <w:r w:rsidR="009F30BC" w:rsidRPr="009F30BC">
        <w:rPr>
          <w:rFonts w:ascii="Times New Roman" w:hAnsi="Times New Roman" w:cs="Times New Roman"/>
          <w:sz w:val="24"/>
          <w:szCs w:val="24"/>
        </w:rPr>
        <w:t xml:space="preserve"> </w:t>
      </w:r>
      <w:r w:rsidR="009F30BC">
        <w:rPr>
          <w:rFonts w:ascii="Times New Roman" w:hAnsi="Times New Roman" w:cs="Times New Roman"/>
          <w:sz w:val="24"/>
          <w:szCs w:val="24"/>
        </w:rPr>
        <w:t xml:space="preserve">[15] I refer to the following </w:t>
      </w:r>
      <w:r w:rsidR="00CE451F">
        <w:rPr>
          <w:rFonts w:ascii="Times New Roman" w:hAnsi="Times New Roman" w:cs="Times New Roman"/>
          <w:sz w:val="24"/>
          <w:szCs w:val="24"/>
        </w:rPr>
        <w:t>approaches dictated</w:t>
      </w:r>
      <w:r w:rsidR="009F30BC">
        <w:rPr>
          <w:rFonts w:ascii="Times New Roman" w:hAnsi="Times New Roman" w:cs="Times New Roman"/>
          <w:sz w:val="24"/>
          <w:szCs w:val="24"/>
        </w:rPr>
        <w:t xml:space="preserve"> by the remedy;</w:t>
      </w:r>
    </w:p>
    <w:p w14:paraId="3B0D3A5D" w14:textId="78D47F6B" w:rsidR="008D2B22" w:rsidRPr="00D86E81" w:rsidRDefault="00D86E81" w:rsidP="009F30BC">
      <w:pPr>
        <w:spacing w:line="360" w:lineRule="auto"/>
        <w:ind w:left="851"/>
        <w:jc w:val="both"/>
        <w:rPr>
          <w:rFonts w:ascii="Times New Roman" w:hAnsi="Times New Roman" w:cs="Times New Roman"/>
          <w:sz w:val="24"/>
          <w:szCs w:val="24"/>
        </w:rPr>
      </w:pPr>
      <w:r w:rsidRPr="00D86E81">
        <w:rPr>
          <w:rFonts w:ascii="Times New Roman" w:hAnsi="Times New Roman" w:cs="Times New Roman"/>
          <w:sz w:val="24"/>
          <w:szCs w:val="24"/>
        </w:rPr>
        <w:t xml:space="preserve"> </w:t>
      </w:r>
      <w:r w:rsidRPr="009F30BC">
        <w:rPr>
          <w:rFonts w:ascii="Times New Roman" w:hAnsi="Times New Roman" w:cs="Times New Roman"/>
          <w:u w:val="single"/>
        </w:rPr>
        <w:t>MAKARAU JP</w:t>
      </w:r>
      <w:r w:rsidRPr="009F30BC">
        <w:rPr>
          <w:rFonts w:ascii="Times New Roman" w:hAnsi="Times New Roman" w:cs="Times New Roman"/>
          <w:sz w:val="24"/>
          <w:szCs w:val="24"/>
          <w:u w:val="single"/>
        </w:rPr>
        <w:t xml:space="preserve"> as she was then, in </w:t>
      </w:r>
      <w:r w:rsidRPr="009F30BC">
        <w:rPr>
          <w:rFonts w:ascii="Times New Roman" w:hAnsi="Times New Roman" w:cs="Times New Roman"/>
          <w:i/>
          <w:iCs/>
          <w:sz w:val="24"/>
          <w:szCs w:val="24"/>
          <w:u w:val="single"/>
        </w:rPr>
        <w:t>Zimbank v Interfin Merchant Bank of Zimbabwe Ltd</w:t>
      </w:r>
      <w:r w:rsidRPr="009F30BC">
        <w:rPr>
          <w:rFonts w:ascii="Times New Roman" w:hAnsi="Times New Roman" w:cs="Times New Roman"/>
          <w:sz w:val="24"/>
          <w:szCs w:val="24"/>
          <w:u w:val="single"/>
        </w:rPr>
        <w:t xml:space="preserve"> 2005 (1) </w:t>
      </w:r>
      <w:r w:rsidRPr="009F30BC">
        <w:rPr>
          <w:rFonts w:ascii="Times New Roman" w:hAnsi="Times New Roman" w:cs="Times New Roman"/>
          <w:u w:val="single"/>
        </w:rPr>
        <w:t xml:space="preserve">ZLR </w:t>
      </w:r>
      <w:r w:rsidRPr="009F30BC">
        <w:rPr>
          <w:rFonts w:ascii="Times New Roman" w:hAnsi="Times New Roman" w:cs="Times New Roman"/>
          <w:sz w:val="24"/>
          <w:szCs w:val="24"/>
          <w:u w:val="single"/>
        </w:rPr>
        <w:t>114 (H) at 116F-117</w:t>
      </w:r>
      <w:r w:rsidR="009F30BC" w:rsidRPr="009F30BC">
        <w:rPr>
          <w:rFonts w:ascii="Times New Roman" w:hAnsi="Times New Roman" w:cs="Times New Roman"/>
          <w:sz w:val="24"/>
          <w:szCs w:val="24"/>
          <w:u w:val="single"/>
        </w:rPr>
        <w:t>A;</w:t>
      </w:r>
      <w:r w:rsidRPr="00D86E81">
        <w:rPr>
          <w:rFonts w:ascii="Times New Roman" w:hAnsi="Times New Roman" w:cs="Times New Roman"/>
          <w:sz w:val="24"/>
          <w:szCs w:val="24"/>
        </w:rPr>
        <w:t xml:space="preserve"> -</w:t>
      </w:r>
    </w:p>
    <w:p w14:paraId="28FF0BC8" w14:textId="0B291B98" w:rsidR="00DB518B" w:rsidRDefault="00A905EF" w:rsidP="009F30BC">
      <w:pPr>
        <w:spacing w:line="360" w:lineRule="auto"/>
        <w:ind w:left="851"/>
        <w:jc w:val="both"/>
        <w:rPr>
          <w:rFonts w:ascii="Times New Roman" w:hAnsi="Times New Roman" w:cs="Times New Roman"/>
          <w:sz w:val="24"/>
          <w:szCs w:val="24"/>
        </w:rPr>
      </w:pPr>
      <w:r w:rsidRPr="00A905EF">
        <w:rPr>
          <w:rFonts w:ascii="Times New Roman" w:hAnsi="Times New Roman" w:cs="Times New Roman"/>
          <w:sz w:val="24"/>
          <w:szCs w:val="24"/>
        </w:rPr>
        <w:t>“</w:t>
      </w:r>
      <w:r w:rsidR="00D86E81" w:rsidRPr="00A905EF">
        <w:rPr>
          <w:rFonts w:ascii="Times New Roman" w:hAnsi="Times New Roman" w:cs="Times New Roman"/>
          <w:sz w:val="24"/>
          <w:szCs w:val="24"/>
        </w:rPr>
        <w:t>It is a brisk and robust remedy granted by the court in appropriate cases, on the date of the hearing endorsed on the face of the summons, after the court has satisfied itself that the defendant has no probability of success in the principal case.</w:t>
      </w:r>
      <w:r w:rsidRPr="00A905EF">
        <w:rPr>
          <w:rFonts w:ascii="Times New Roman" w:hAnsi="Times New Roman" w:cs="Times New Roman"/>
          <w:sz w:val="24"/>
          <w:szCs w:val="24"/>
        </w:rPr>
        <w:t>”</w:t>
      </w:r>
      <w:r w:rsidR="00DB518B">
        <w:rPr>
          <w:rFonts w:ascii="Times New Roman" w:hAnsi="Times New Roman" w:cs="Times New Roman"/>
          <w:sz w:val="24"/>
          <w:szCs w:val="24"/>
        </w:rPr>
        <w:t>-</w:t>
      </w:r>
    </w:p>
    <w:p w14:paraId="630AC145" w14:textId="58DB460B" w:rsidR="00564651" w:rsidRPr="00DB518B" w:rsidRDefault="00DB518B" w:rsidP="00DB518B">
      <w:pPr>
        <w:spacing w:line="360" w:lineRule="auto"/>
        <w:ind w:left="851"/>
        <w:jc w:val="both"/>
        <w:rPr>
          <w:rFonts w:ascii="Times New Roman" w:hAnsi="Times New Roman" w:cs="Times New Roman"/>
          <w:sz w:val="24"/>
          <w:szCs w:val="24"/>
          <w:u w:val="single"/>
        </w:rPr>
      </w:pPr>
      <w:r w:rsidRPr="00DB518B">
        <w:rPr>
          <w:rFonts w:ascii="Times New Roman" w:hAnsi="Times New Roman" w:cs="Times New Roman"/>
          <w:sz w:val="24"/>
          <w:szCs w:val="24"/>
          <w:u w:val="single"/>
        </w:rPr>
        <w:t>ZHOU J</w:t>
      </w:r>
      <w:r w:rsidR="00756BA4" w:rsidRPr="00DB518B">
        <w:rPr>
          <w:rFonts w:ascii="Times New Roman" w:hAnsi="Times New Roman" w:cs="Times New Roman"/>
          <w:sz w:val="24"/>
          <w:szCs w:val="24"/>
          <w:u w:val="single"/>
        </w:rPr>
        <w:t xml:space="preserve"> </w:t>
      </w:r>
      <w:r w:rsidRPr="00DB518B">
        <w:rPr>
          <w:rFonts w:ascii="Times New Roman" w:hAnsi="Times New Roman" w:cs="Times New Roman"/>
          <w:sz w:val="24"/>
          <w:szCs w:val="24"/>
          <w:u w:val="single"/>
        </w:rPr>
        <w:t>held,</w:t>
      </w:r>
      <w:r w:rsidR="00756BA4" w:rsidRPr="00DB518B">
        <w:rPr>
          <w:rFonts w:ascii="Times New Roman" w:hAnsi="Times New Roman" w:cs="Times New Roman"/>
          <w:sz w:val="24"/>
          <w:szCs w:val="24"/>
          <w:u w:val="single"/>
        </w:rPr>
        <w:t xml:space="preserve"> in </w:t>
      </w:r>
      <w:r w:rsidR="00756BA4" w:rsidRPr="00DB518B">
        <w:rPr>
          <w:rFonts w:ascii="Times New Roman" w:hAnsi="Times New Roman" w:cs="Times New Roman"/>
          <w:i/>
          <w:iCs/>
          <w:sz w:val="24"/>
          <w:szCs w:val="24"/>
          <w:u w:val="single"/>
        </w:rPr>
        <w:t>Al Shams Global BVI Ltd v Equity Properties (Pvt) Ltd</w:t>
      </w:r>
      <w:r w:rsidRPr="00DB518B">
        <w:rPr>
          <w:rFonts w:ascii="Times New Roman" w:hAnsi="Times New Roman" w:cs="Times New Roman"/>
          <w:i/>
          <w:iCs/>
          <w:sz w:val="24"/>
          <w:szCs w:val="24"/>
          <w:u w:val="single"/>
        </w:rPr>
        <w:t xml:space="preserve">, </w:t>
      </w:r>
    </w:p>
    <w:p w14:paraId="1759FE12" w14:textId="4A6DFC19" w:rsidR="00564651" w:rsidRPr="00DB518B" w:rsidRDefault="00DB518B" w:rsidP="00DB518B">
      <w:pPr>
        <w:spacing w:line="360" w:lineRule="auto"/>
        <w:ind w:left="851"/>
        <w:jc w:val="both"/>
        <w:rPr>
          <w:rFonts w:ascii="Times New Roman" w:hAnsi="Times New Roman" w:cs="Times New Roman"/>
          <w:sz w:val="24"/>
          <w:szCs w:val="24"/>
        </w:rPr>
      </w:pPr>
      <w:r w:rsidRPr="00DB518B">
        <w:rPr>
          <w:rFonts w:ascii="Times New Roman" w:hAnsi="Times New Roman" w:cs="Times New Roman"/>
          <w:sz w:val="24"/>
          <w:szCs w:val="24"/>
        </w:rPr>
        <w:t>“</w:t>
      </w:r>
      <w:r w:rsidR="00564651" w:rsidRPr="00DB518B">
        <w:rPr>
          <w:rFonts w:ascii="Times New Roman" w:hAnsi="Times New Roman" w:cs="Times New Roman"/>
          <w:sz w:val="24"/>
          <w:szCs w:val="24"/>
        </w:rPr>
        <w:t>In the instant cases I heard argument on the merits, albeit the plaintiff had not filed heads of argument, principally because the matter was set down on the unopposed roll. In opposition to the claim for provisional sentence the defendant contends that the plaintiff is not the holder of the instruments upon which the claims are founded.</w:t>
      </w:r>
      <w:r>
        <w:rPr>
          <w:rFonts w:ascii="Times New Roman" w:hAnsi="Times New Roman" w:cs="Times New Roman"/>
          <w:sz w:val="24"/>
          <w:szCs w:val="24"/>
        </w:rPr>
        <w:t>”</w:t>
      </w:r>
    </w:p>
    <w:p w14:paraId="4909E2A4" w14:textId="0381771A" w:rsidR="00DB518B" w:rsidRPr="00DB518B" w:rsidRDefault="00CC3494" w:rsidP="00DB518B">
      <w:pPr>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r w:rsidR="00DB518B" w:rsidRPr="00DB518B">
        <w:rPr>
          <w:rFonts w:ascii="Times New Roman" w:hAnsi="Times New Roman" w:cs="Times New Roman"/>
          <w:sz w:val="24"/>
          <w:szCs w:val="24"/>
          <w:u w:val="single"/>
        </w:rPr>
        <w:t>MAFUSIRE J in Interfin Banking Corp Ltd v Veanarcy (Pvt) Ltd 2013 (2) ZLR 589 (H);</w:t>
      </w:r>
      <w:r w:rsidR="00DB518B" w:rsidRPr="00DB518B">
        <w:rPr>
          <w:rFonts w:ascii="Times New Roman" w:hAnsi="Times New Roman" w:cs="Times New Roman"/>
          <w:sz w:val="24"/>
          <w:szCs w:val="24"/>
        </w:rPr>
        <w:t xml:space="preserve"> -</w:t>
      </w:r>
    </w:p>
    <w:p w14:paraId="2AB201BE" w14:textId="7FAF9991" w:rsidR="00DB518B" w:rsidRPr="00DB518B" w:rsidRDefault="00DB518B" w:rsidP="00DB518B">
      <w:pPr>
        <w:spacing w:line="360" w:lineRule="auto"/>
        <w:ind w:left="851"/>
        <w:jc w:val="both"/>
        <w:rPr>
          <w:rFonts w:ascii="Times New Roman" w:hAnsi="Times New Roman" w:cs="Times New Roman"/>
          <w:sz w:val="24"/>
          <w:szCs w:val="24"/>
        </w:rPr>
      </w:pPr>
      <w:r w:rsidRPr="00DB518B">
        <w:rPr>
          <w:rFonts w:ascii="Times New Roman" w:hAnsi="Times New Roman" w:cs="Times New Roman"/>
          <w:sz w:val="24"/>
          <w:szCs w:val="24"/>
        </w:rPr>
        <w:t xml:space="preserve">“In my view, the efficacy of the provisional sentence procedure would be compromised if the summary nature of the proceedings were to be transformed into a fully-fledged opposed motion matter by canvassing in much detail the merits of the claim and the merits of the defence. It is not suggested that in every situation that a </w:t>
      </w:r>
      <w:r w:rsidRPr="00DB518B">
        <w:rPr>
          <w:rFonts w:ascii="Times New Roman" w:hAnsi="Times New Roman" w:cs="Times New Roman"/>
          <w:sz w:val="24"/>
          <w:szCs w:val="24"/>
        </w:rPr>
        <w:lastRenderedPageBreak/>
        <w:t>plaintiff produces a liquid document and claims provisional sentence on it the court cannot go behind that document. In appropriate situations it can. And the onus remains on the plaintiff.”</w:t>
      </w:r>
    </w:p>
    <w:p w14:paraId="4E56BC50" w14:textId="77A27CBE" w:rsidR="00400CB5" w:rsidRPr="00953AF4" w:rsidRDefault="00DB518B" w:rsidP="00DB518B">
      <w:pPr>
        <w:spacing w:line="360" w:lineRule="auto"/>
        <w:jc w:val="both"/>
        <w:rPr>
          <w:rFonts w:ascii="Times New Roman" w:hAnsi="Times New Roman" w:cs="Times New Roman"/>
        </w:rPr>
      </w:pPr>
      <w:r w:rsidRPr="00953AF4">
        <w:rPr>
          <w:rFonts w:ascii="Times New Roman" w:hAnsi="Times New Roman" w:cs="Times New Roman"/>
        </w:rPr>
        <w:t>DISPOSITION</w:t>
      </w:r>
    </w:p>
    <w:p w14:paraId="0642162B" w14:textId="57A2E25C" w:rsidR="00DB518B" w:rsidRDefault="009F30BC" w:rsidP="00DB518B">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953AF4">
        <w:rPr>
          <w:rFonts w:ascii="Times New Roman" w:hAnsi="Times New Roman" w:cs="Times New Roman"/>
          <w:sz w:val="24"/>
          <w:szCs w:val="24"/>
        </w:rPr>
        <w:t>23</w:t>
      </w:r>
      <w:r>
        <w:rPr>
          <w:rFonts w:ascii="Times New Roman" w:hAnsi="Times New Roman" w:cs="Times New Roman"/>
          <w:sz w:val="24"/>
          <w:szCs w:val="24"/>
        </w:rPr>
        <w:t xml:space="preserve">] </w:t>
      </w:r>
      <w:r w:rsidR="00407E1F">
        <w:rPr>
          <w:rFonts w:ascii="Times New Roman" w:hAnsi="Times New Roman" w:cs="Times New Roman"/>
          <w:sz w:val="24"/>
          <w:szCs w:val="24"/>
        </w:rPr>
        <w:t xml:space="preserve">I conclude by reiterating my opening remarks. </w:t>
      </w:r>
      <w:r w:rsidR="001A57C3">
        <w:rPr>
          <w:rFonts w:ascii="Times New Roman" w:hAnsi="Times New Roman" w:cs="Times New Roman"/>
          <w:sz w:val="24"/>
          <w:szCs w:val="24"/>
        </w:rPr>
        <w:t xml:space="preserve">Notwithstanding the robust approach adopted herein based on the admission </w:t>
      </w:r>
      <w:r w:rsidR="00407E1F">
        <w:rPr>
          <w:rFonts w:ascii="Times New Roman" w:hAnsi="Times New Roman" w:cs="Times New Roman"/>
          <w:sz w:val="24"/>
          <w:szCs w:val="24"/>
        </w:rPr>
        <w:t>made, an opposed provisional sentence summons must be referred to the opposed roll.</w:t>
      </w:r>
      <w:r w:rsidR="001A57C3">
        <w:rPr>
          <w:rFonts w:ascii="Times New Roman" w:hAnsi="Times New Roman" w:cs="Times New Roman"/>
          <w:sz w:val="24"/>
          <w:szCs w:val="24"/>
        </w:rPr>
        <w:t xml:space="preserve"> </w:t>
      </w:r>
      <w:r w:rsidR="00747B02">
        <w:rPr>
          <w:rFonts w:ascii="Times New Roman" w:hAnsi="Times New Roman" w:cs="Times New Roman"/>
          <w:sz w:val="24"/>
          <w:szCs w:val="24"/>
        </w:rPr>
        <w:t xml:space="preserve">Herein, </w:t>
      </w:r>
      <w:r w:rsidR="00407E1F">
        <w:rPr>
          <w:rFonts w:ascii="Times New Roman" w:hAnsi="Times New Roman" w:cs="Times New Roman"/>
          <w:sz w:val="24"/>
          <w:szCs w:val="24"/>
        </w:rPr>
        <w:t xml:space="preserve">as stated, </w:t>
      </w:r>
      <w:r w:rsidR="00747B02">
        <w:rPr>
          <w:rFonts w:ascii="Times New Roman" w:hAnsi="Times New Roman" w:cs="Times New Roman"/>
          <w:sz w:val="24"/>
          <w:szCs w:val="24"/>
        </w:rPr>
        <w:t>in</w:t>
      </w:r>
      <w:r>
        <w:rPr>
          <w:rFonts w:ascii="Times New Roman" w:hAnsi="Times New Roman" w:cs="Times New Roman"/>
          <w:sz w:val="24"/>
          <w:szCs w:val="24"/>
        </w:rPr>
        <w:t xml:space="preserve"> the face of the admissions of liability, </w:t>
      </w:r>
      <w:r w:rsidR="00B07215">
        <w:rPr>
          <w:rFonts w:ascii="Times New Roman" w:hAnsi="Times New Roman" w:cs="Times New Roman"/>
          <w:sz w:val="24"/>
          <w:szCs w:val="24"/>
        </w:rPr>
        <w:t>I proceeded</w:t>
      </w:r>
      <w:r>
        <w:rPr>
          <w:rFonts w:ascii="Times New Roman" w:hAnsi="Times New Roman" w:cs="Times New Roman"/>
          <w:sz w:val="24"/>
          <w:szCs w:val="24"/>
        </w:rPr>
        <w:t xml:space="preserve"> to order </w:t>
      </w:r>
      <w:r w:rsidR="00C853B7">
        <w:rPr>
          <w:rFonts w:ascii="Times New Roman" w:hAnsi="Times New Roman" w:cs="Times New Roman"/>
          <w:sz w:val="24"/>
          <w:szCs w:val="24"/>
        </w:rPr>
        <w:t>that; -</w:t>
      </w:r>
    </w:p>
    <w:p w14:paraId="0D45F32B" w14:textId="2F719A87" w:rsidR="009F30BC" w:rsidRPr="00C853B7" w:rsidRDefault="009F30BC" w:rsidP="00CE451F">
      <w:pPr>
        <w:pStyle w:val="ListParagraph"/>
        <w:spacing w:line="360" w:lineRule="auto"/>
        <w:jc w:val="both"/>
        <w:rPr>
          <w:rFonts w:ascii="Times New Roman" w:hAnsi="Times New Roman" w:cs="Times New Roman"/>
          <w:sz w:val="24"/>
          <w:szCs w:val="24"/>
        </w:rPr>
      </w:pPr>
      <w:r w:rsidRPr="00C853B7">
        <w:rPr>
          <w:rFonts w:ascii="Times New Roman" w:hAnsi="Times New Roman" w:cs="Times New Roman"/>
          <w:sz w:val="24"/>
          <w:szCs w:val="24"/>
        </w:rPr>
        <w:t>Plaintiff`s claim be granted in terms of the provisio</w:t>
      </w:r>
      <w:r w:rsidR="00C853B7" w:rsidRPr="00C853B7">
        <w:rPr>
          <w:rFonts w:ascii="Times New Roman" w:hAnsi="Times New Roman" w:cs="Times New Roman"/>
          <w:sz w:val="24"/>
          <w:szCs w:val="24"/>
        </w:rPr>
        <w:t>nal sentence summons with costs as prayed.</w:t>
      </w:r>
    </w:p>
    <w:p w14:paraId="630F0948" w14:textId="7B310B59" w:rsidR="00C853B7" w:rsidRPr="00C853B7" w:rsidRDefault="00C853B7" w:rsidP="00C853B7">
      <w:pPr>
        <w:pStyle w:val="NoSpacing"/>
        <w:rPr>
          <w:rFonts w:ascii="Times New Roman" w:hAnsi="Times New Roman" w:cs="Times New Roman"/>
          <w:sz w:val="24"/>
          <w:szCs w:val="24"/>
        </w:rPr>
      </w:pPr>
      <w:r w:rsidRPr="00C853B7">
        <w:rPr>
          <w:rFonts w:ascii="Times New Roman" w:hAnsi="Times New Roman" w:cs="Times New Roman"/>
          <w:i/>
          <w:iCs/>
          <w:sz w:val="24"/>
          <w:szCs w:val="24"/>
        </w:rPr>
        <w:t>Wintertons</w:t>
      </w:r>
      <w:r w:rsidRPr="00C853B7">
        <w:rPr>
          <w:rFonts w:ascii="Times New Roman" w:hAnsi="Times New Roman" w:cs="Times New Roman"/>
          <w:sz w:val="24"/>
          <w:szCs w:val="24"/>
        </w:rPr>
        <w:t>- plaintfiff’s legal practitioners</w:t>
      </w:r>
    </w:p>
    <w:p w14:paraId="7DA496B5" w14:textId="35796D2B" w:rsidR="00C853B7" w:rsidRPr="00C853B7" w:rsidRDefault="00C853B7" w:rsidP="00C853B7">
      <w:pPr>
        <w:pStyle w:val="NoSpacing"/>
        <w:rPr>
          <w:rFonts w:ascii="Times New Roman" w:hAnsi="Times New Roman" w:cs="Times New Roman"/>
          <w:sz w:val="24"/>
          <w:szCs w:val="24"/>
        </w:rPr>
      </w:pPr>
      <w:r w:rsidRPr="00C853B7">
        <w:rPr>
          <w:rFonts w:ascii="Times New Roman" w:hAnsi="Times New Roman" w:cs="Times New Roman"/>
          <w:i/>
          <w:iCs/>
          <w:sz w:val="24"/>
          <w:szCs w:val="24"/>
        </w:rPr>
        <w:t>R. Murambasvina Law Chambers</w:t>
      </w:r>
      <w:r w:rsidRPr="00C853B7">
        <w:rPr>
          <w:rFonts w:ascii="Times New Roman" w:hAnsi="Times New Roman" w:cs="Times New Roman"/>
          <w:sz w:val="24"/>
          <w:szCs w:val="24"/>
        </w:rPr>
        <w:t>-defendants` legal practitioners</w:t>
      </w:r>
    </w:p>
    <w:p w14:paraId="4E002037" w14:textId="77777777" w:rsidR="00C853B7" w:rsidRDefault="00C853B7" w:rsidP="00DB518B">
      <w:pPr>
        <w:spacing w:line="360" w:lineRule="auto"/>
        <w:jc w:val="both"/>
        <w:rPr>
          <w:rFonts w:ascii="Times New Roman" w:hAnsi="Times New Roman" w:cs="Times New Roman"/>
          <w:sz w:val="24"/>
          <w:szCs w:val="24"/>
        </w:rPr>
      </w:pPr>
    </w:p>
    <w:p w14:paraId="507E60AB" w14:textId="1DF75CB7" w:rsidR="00C853B7" w:rsidRPr="00C853B7" w:rsidRDefault="00C853B7" w:rsidP="00DB518B">
      <w:pPr>
        <w:spacing w:line="360" w:lineRule="auto"/>
        <w:jc w:val="both"/>
        <w:rPr>
          <w:rFonts w:ascii="Times New Roman" w:hAnsi="Times New Roman" w:cs="Times New Roman"/>
          <w:b/>
          <w:bCs/>
          <w:sz w:val="16"/>
          <w:szCs w:val="16"/>
        </w:rPr>
      </w:pPr>
      <w:r>
        <w:rPr>
          <w:rFonts w:ascii="Times New Roman" w:hAnsi="Times New Roman" w:cs="Times New Roman"/>
          <w:sz w:val="24"/>
          <w:szCs w:val="24"/>
        </w:rPr>
        <w:t xml:space="preserve">                                                                                   </w:t>
      </w:r>
      <w:r w:rsidRPr="00C853B7">
        <w:rPr>
          <w:rFonts w:ascii="Times New Roman" w:hAnsi="Times New Roman" w:cs="Times New Roman"/>
          <w:b/>
          <w:bCs/>
          <w:sz w:val="16"/>
          <w:szCs w:val="16"/>
        </w:rPr>
        <w:t>[CHILIMBE J____1</w:t>
      </w:r>
      <w:r w:rsidR="00902CD7">
        <w:rPr>
          <w:rFonts w:ascii="Times New Roman" w:hAnsi="Times New Roman" w:cs="Times New Roman"/>
          <w:b/>
          <w:bCs/>
          <w:sz w:val="16"/>
          <w:szCs w:val="16"/>
        </w:rPr>
        <w:t>4</w:t>
      </w:r>
      <w:r w:rsidRPr="00C853B7">
        <w:rPr>
          <w:rFonts w:ascii="Times New Roman" w:hAnsi="Times New Roman" w:cs="Times New Roman"/>
          <w:b/>
          <w:bCs/>
          <w:sz w:val="16"/>
          <w:szCs w:val="16"/>
        </w:rPr>
        <w:t>/02/25]</w:t>
      </w:r>
    </w:p>
    <w:p w14:paraId="1B346F92" w14:textId="77777777" w:rsidR="00C853B7" w:rsidRDefault="00C853B7" w:rsidP="00DB518B">
      <w:pPr>
        <w:spacing w:line="360" w:lineRule="auto"/>
        <w:jc w:val="both"/>
        <w:rPr>
          <w:rFonts w:ascii="Times New Roman" w:hAnsi="Times New Roman" w:cs="Times New Roman"/>
          <w:sz w:val="24"/>
          <w:szCs w:val="24"/>
        </w:rPr>
      </w:pPr>
    </w:p>
    <w:p w14:paraId="0F960BF9" w14:textId="77777777" w:rsidR="00C853B7" w:rsidRPr="00DB518B" w:rsidRDefault="00C853B7" w:rsidP="00DB518B">
      <w:pPr>
        <w:spacing w:line="360" w:lineRule="auto"/>
        <w:jc w:val="both"/>
        <w:rPr>
          <w:rFonts w:ascii="Times New Roman" w:hAnsi="Times New Roman" w:cs="Times New Roman"/>
          <w:sz w:val="24"/>
          <w:szCs w:val="24"/>
        </w:rPr>
      </w:pPr>
    </w:p>
    <w:p w14:paraId="74430E0A" w14:textId="77777777" w:rsidR="00400CB5" w:rsidRDefault="00400CB5" w:rsidP="00964902">
      <w:pPr>
        <w:spacing w:line="360" w:lineRule="auto"/>
        <w:jc w:val="both"/>
        <w:rPr>
          <w:rFonts w:ascii="Times New Roman" w:hAnsi="Times New Roman" w:cs="Times New Roman"/>
          <w:sz w:val="24"/>
          <w:szCs w:val="24"/>
        </w:rPr>
      </w:pPr>
    </w:p>
    <w:p w14:paraId="36100D52" w14:textId="708332DC" w:rsidR="00964902" w:rsidRDefault="00E86589" w:rsidP="0096490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96490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89A31" w14:textId="77777777" w:rsidR="006D63FB" w:rsidRDefault="006D63FB" w:rsidP="00F73D09">
      <w:pPr>
        <w:spacing w:after="0" w:line="240" w:lineRule="auto"/>
      </w:pPr>
      <w:r>
        <w:separator/>
      </w:r>
    </w:p>
  </w:endnote>
  <w:endnote w:type="continuationSeparator" w:id="0">
    <w:p w14:paraId="2F9CC82A" w14:textId="77777777" w:rsidR="006D63FB" w:rsidRDefault="006D63FB" w:rsidP="00F73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FD480" w14:textId="77777777" w:rsidR="006D63FB" w:rsidRDefault="006D63FB" w:rsidP="00F73D09">
      <w:pPr>
        <w:spacing w:after="0" w:line="240" w:lineRule="auto"/>
      </w:pPr>
      <w:r>
        <w:separator/>
      </w:r>
    </w:p>
  </w:footnote>
  <w:footnote w:type="continuationSeparator" w:id="0">
    <w:p w14:paraId="671C3FC2" w14:textId="77777777" w:rsidR="006D63FB" w:rsidRDefault="006D63FB" w:rsidP="00F73D09">
      <w:pPr>
        <w:spacing w:after="0" w:line="240" w:lineRule="auto"/>
      </w:pPr>
      <w:r>
        <w:continuationSeparator/>
      </w:r>
    </w:p>
  </w:footnote>
  <w:footnote w:id="1">
    <w:p w14:paraId="507F1AE4" w14:textId="63713616" w:rsidR="00E22BA4" w:rsidRPr="00E22BA4" w:rsidRDefault="00E22BA4">
      <w:pPr>
        <w:pStyle w:val="FootnoteText"/>
        <w:rPr>
          <w:rFonts w:cstheme="minorHAnsi"/>
          <w:sz w:val="18"/>
          <w:szCs w:val="18"/>
        </w:rPr>
      </w:pPr>
      <w:r w:rsidRPr="00E22BA4">
        <w:rPr>
          <w:rStyle w:val="FootnoteReference"/>
          <w:rFonts w:cstheme="minorHAnsi"/>
          <w:sz w:val="18"/>
          <w:szCs w:val="18"/>
        </w:rPr>
        <w:footnoteRef/>
      </w:r>
      <w:r w:rsidRPr="00E22BA4">
        <w:rPr>
          <w:rFonts w:cstheme="minorHAnsi"/>
          <w:sz w:val="18"/>
          <w:szCs w:val="18"/>
        </w:rPr>
        <w:t xml:space="preserve"> To use the words of MAKARAU JP as she was then, in </w:t>
      </w:r>
      <w:r w:rsidRPr="00E22BA4">
        <w:rPr>
          <w:rFonts w:cstheme="minorHAnsi"/>
          <w:i/>
          <w:iCs/>
          <w:sz w:val="18"/>
          <w:szCs w:val="18"/>
        </w:rPr>
        <w:t>Zimbank v Interfin Merchant Bank of Zimbabwe Ltd</w:t>
      </w:r>
      <w:r w:rsidRPr="00E22BA4">
        <w:rPr>
          <w:rFonts w:cstheme="minorHAnsi"/>
          <w:sz w:val="18"/>
          <w:szCs w:val="18"/>
        </w:rPr>
        <w:t xml:space="preserve"> 2005 (1) ZLR 114 (H) at 116F-117A</w:t>
      </w:r>
    </w:p>
  </w:footnote>
  <w:footnote w:id="2">
    <w:p w14:paraId="46655550" w14:textId="2E5B748C" w:rsidR="00497174" w:rsidRDefault="00497174">
      <w:pPr>
        <w:pStyle w:val="FootnoteText"/>
      </w:pPr>
      <w:r>
        <w:rPr>
          <w:rStyle w:val="FootnoteReference"/>
        </w:rPr>
        <w:footnoteRef/>
      </w:r>
      <w:r>
        <w:t xml:space="preserve"> Whilst originally </w:t>
      </w:r>
      <w:r w:rsidR="005000E6">
        <w:t xml:space="preserve">published as Act No. 9 of 2017, </w:t>
      </w:r>
      <w:r>
        <w:t>it came into effect on 4 November 2022 via the Date of Commencement: Movable Property Security Interests Act [Chapter 14:35] (No. 9 of 2017) SI 190 of 2022.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20"/>
        <w:szCs w:val="20"/>
      </w:rPr>
      <w:id w:val="1740596780"/>
      <w:docPartObj>
        <w:docPartGallery w:val="Page Numbers (Top of Page)"/>
        <w:docPartUnique/>
      </w:docPartObj>
    </w:sdtPr>
    <w:sdtEndPr>
      <w:rPr>
        <w:noProof/>
      </w:rPr>
    </w:sdtEndPr>
    <w:sdtContent>
      <w:p w14:paraId="483BC558" w14:textId="12ABBD9B" w:rsidR="00F73D09" w:rsidRPr="00543A7E" w:rsidRDefault="00F73D09" w:rsidP="003F4B84">
        <w:pPr>
          <w:pStyle w:val="Header"/>
          <w:jc w:val="right"/>
          <w:rPr>
            <w:b/>
            <w:bCs/>
            <w:noProof/>
            <w:sz w:val="20"/>
            <w:szCs w:val="20"/>
          </w:rPr>
        </w:pPr>
        <w:r w:rsidRPr="00543A7E">
          <w:rPr>
            <w:b/>
            <w:bCs/>
            <w:sz w:val="20"/>
            <w:szCs w:val="20"/>
          </w:rPr>
          <w:fldChar w:fldCharType="begin"/>
        </w:r>
        <w:r w:rsidRPr="00543A7E">
          <w:rPr>
            <w:b/>
            <w:bCs/>
            <w:sz w:val="20"/>
            <w:szCs w:val="20"/>
          </w:rPr>
          <w:instrText xml:space="preserve"> PAGE   \* MERGEFORMAT </w:instrText>
        </w:r>
        <w:r w:rsidRPr="00543A7E">
          <w:rPr>
            <w:b/>
            <w:bCs/>
            <w:sz w:val="20"/>
            <w:szCs w:val="20"/>
          </w:rPr>
          <w:fldChar w:fldCharType="separate"/>
        </w:r>
        <w:r w:rsidR="003F4B84">
          <w:rPr>
            <w:b/>
            <w:bCs/>
            <w:noProof/>
            <w:sz w:val="20"/>
            <w:szCs w:val="20"/>
          </w:rPr>
          <w:t>1</w:t>
        </w:r>
        <w:r w:rsidRPr="00543A7E">
          <w:rPr>
            <w:b/>
            <w:bCs/>
            <w:noProof/>
            <w:sz w:val="20"/>
            <w:szCs w:val="20"/>
          </w:rPr>
          <w:fldChar w:fldCharType="end"/>
        </w:r>
      </w:p>
      <w:p w14:paraId="491A5609" w14:textId="7AA2C25D" w:rsidR="00F73D09" w:rsidRPr="00543A7E" w:rsidRDefault="00F73D09" w:rsidP="003F4B84">
        <w:pPr>
          <w:pStyle w:val="Header"/>
          <w:jc w:val="right"/>
          <w:rPr>
            <w:b/>
            <w:bCs/>
            <w:noProof/>
            <w:sz w:val="20"/>
            <w:szCs w:val="20"/>
          </w:rPr>
        </w:pPr>
        <w:r w:rsidRPr="00543A7E">
          <w:rPr>
            <w:b/>
            <w:bCs/>
            <w:noProof/>
            <w:sz w:val="20"/>
            <w:szCs w:val="20"/>
          </w:rPr>
          <w:t>HH 62-25</w:t>
        </w:r>
      </w:p>
      <w:p w14:paraId="42540C7F" w14:textId="67711DFC" w:rsidR="00F73D09" w:rsidRPr="00543A7E" w:rsidRDefault="00F73D09" w:rsidP="003F4B84">
        <w:pPr>
          <w:pStyle w:val="Header"/>
          <w:jc w:val="right"/>
          <w:rPr>
            <w:b/>
            <w:bCs/>
            <w:sz w:val="20"/>
            <w:szCs w:val="20"/>
          </w:rPr>
        </w:pPr>
        <w:r w:rsidRPr="00543A7E">
          <w:rPr>
            <w:b/>
            <w:bCs/>
            <w:noProof/>
            <w:sz w:val="20"/>
            <w:szCs w:val="20"/>
          </w:rPr>
          <w:t xml:space="preserve">HCHC </w:t>
        </w:r>
        <w:r w:rsidR="00543A7E" w:rsidRPr="00543A7E">
          <w:rPr>
            <w:b/>
            <w:bCs/>
            <w:noProof/>
            <w:sz w:val="20"/>
            <w:szCs w:val="20"/>
          </w:rPr>
          <w:t>725/24</w:t>
        </w:r>
      </w:p>
    </w:sdtContent>
  </w:sdt>
  <w:p w14:paraId="3DEF9CFD" w14:textId="77777777" w:rsidR="00F73D09" w:rsidRDefault="00F73D0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382511"/>
    <w:multiLevelType w:val="hybridMultilevel"/>
    <w:tmpl w:val="6D10A13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D09"/>
    <w:rsid w:val="00000B27"/>
    <w:rsid w:val="00051A3E"/>
    <w:rsid w:val="00052046"/>
    <w:rsid w:val="000F4407"/>
    <w:rsid w:val="001A57C3"/>
    <w:rsid w:val="001A5FD7"/>
    <w:rsid w:val="001C4BAF"/>
    <w:rsid w:val="001D36FF"/>
    <w:rsid w:val="001F282E"/>
    <w:rsid w:val="002544AE"/>
    <w:rsid w:val="002A43A4"/>
    <w:rsid w:val="00303637"/>
    <w:rsid w:val="00315178"/>
    <w:rsid w:val="003536E9"/>
    <w:rsid w:val="003F4B84"/>
    <w:rsid w:val="00400CB5"/>
    <w:rsid w:val="00407E1F"/>
    <w:rsid w:val="00420683"/>
    <w:rsid w:val="0043622F"/>
    <w:rsid w:val="004822F5"/>
    <w:rsid w:val="00483B02"/>
    <w:rsid w:val="004846FE"/>
    <w:rsid w:val="00497174"/>
    <w:rsid w:val="004E74A8"/>
    <w:rsid w:val="004F3AF0"/>
    <w:rsid w:val="005000E6"/>
    <w:rsid w:val="005219FD"/>
    <w:rsid w:val="00535853"/>
    <w:rsid w:val="00543A7E"/>
    <w:rsid w:val="00543CB7"/>
    <w:rsid w:val="00564651"/>
    <w:rsid w:val="005F69FF"/>
    <w:rsid w:val="00613DE2"/>
    <w:rsid w:val="00622146"/>
    <w:rsid w:val="00641BA8"/>
    <w:rsid w:val="00661A21"/>
    <w:rsid w:val="0068058C"/>
    <w:rsid w:val="006D63FB"/>
    <w:rsid w:val="00743640"/>
    <w:rsid w:val="00747B02"/>
    <w:rsid w:val="00756BA4"/>
    <w:rsid w:val="00760D59"/>
    <w:rsid w:val="00774651"/>
    <w:rsid w:val="00801DE9"/>
    <w:rsid w:val="00817469"/>
    <w:rsid w:val="0085368A"/>
    <w:rsid w:val="0085552B"/>
    <w:rsid w:val="00857AB4"/>
    <w:rsid w:val="008D2B22"/>
    <w:rsid w:val="008E663B"/>
    <w:rsid w:val="00902CD7"/>
    <w:rsid w:val="009238AC"/>
    <w:rsid w:val="00936C03"/>
    <w:rsid w:val="00953AF4"/>
    <w:rsid w:val="00955C91"/>
    <w:rsid w:val="00964902"/>
    <w:rsid w:val="009F30BC"/>
    <w:rsid w:val="00A905EF"/>
    <w:rsid w:val="00AE1736"/>
    <w:rsid w:val="00B03C92"/>
    <w:rsid w:val="00B07215"/>
    <w:rsid w:val="00B32E6F"/>
    <w:rsid w:val="00B333AB"/>
    <w:rsid w:val="00B437E9"/>
    <w:rsid w:val="00B53847"/>
    <w:rsid w:val="00BA0BB2"/>
    <w:rsid w:val="00BB398C"/>
    <w:rsid w:val="00C0092D"/>
    <w:rsid w:val="00C853B7"/>
    <w:rsid w:val="00CC3494"/>
    <w:rsid w:val="00CE451F"/>
    <w:rsid w:val="00D546FE"/>
    <w:rsid w:val="00D86E81"/>
    <w:rsid w:val="00DB518B"/>
    <w:rsid w:val="00DC7D8E"/>
    <w:rsid w:val="00DD568B"/>
    <w:rsid w:val="00DF425D"/>
    <w:rsid w:val="00E22BA4"/>
    <w:rsid w:val="00E86589"/>
    <w:rsid w:val="00E87189"/>
    <w:rsid w:val="00ED4006"/>
    <w:rsid w:val="00EE630E"/>
    <w:rsid w:val="00EE642A"/>
    <w:rsid w:val="00EF5281"/>
    <w:rsid w:val="00F56CF9"/>
    <w:rsid w:val="00F73D09"/>
    <w:rsid w:val="00F8536B"/>
    <w:rsid w:val="00F97B70"/>
    <w:rsid w:val="00FA23C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E706D2"/>
  <w15:chartTrackingRefBased/>
  <w15:docId w15:val="{D6B657B9-BA28-457B-9951-4DEC1C0F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3D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3D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3D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3D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3D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3D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D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D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D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D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3D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3D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3D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3D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3D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D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D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D09"/>
    <w:rPr>
      <w:rFonts w:eastAsiaTheme="majorEastAsia" w:cstheme="majorBidi"/>
      <w:color w:val="272727" w:themeColor="text1" w:themeTint="D8"/>
    </w:rPr>
  </w:style>
  <w:style w:type="paragraph" w:styleId="Title">
    <w:name w:val="Title"/>
    <w:basedOn w:val="Normal"/>
    <w:next w:val="Normal"/>
    <w:link w:val="TitleChar"/>
    <w:uiPriority w:val="10"/>
    <w:qFormat/>
    <w:rsid w:val="00F73D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D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D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D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D09"/>
    <w:pPr>
      <w:spacing w:before="160"/>
      <w:jc w:val="center"/>
    </w:pPr>
    <w:rPr>
      <w:i/>
      <w:iCs/>
      <w:color w:val="404040" w:themeColor="text1" w:themeTint="BF"/>
    </w:rPr>
  </w:style>
  <w:style w:type="character" w:customStyle="1" w:styleId="QuoteChar">
    <w:name w:val="Quote Char"/>
    <w:basedOn w:val="DefaultParagraphFont"/>
    <w:link w:val="Quote"/>
    <w:uiPriority w:val="29"/>
    <w:rsid w:val="00F73D09"/>
    <w:rPr>
      <w:i/>
      <w:iCs/>
      <w:color w:val="404040" w:themeColor="text1" w:themeTint="BF"/>
    </w:rPr>
  </w:style>
  <w:style w:type="paragraph" w:styleId="ListParagraph">
    <w:name w:val="List Paragraph"/>
    <w:basedOn w:val="Normal"/>
    <w:uiPriority w:val="34"/>
    <w:qFormat/>
    <w:rsid w:val="00F73D09"/>
    <w:pPr>
      <w:ind w:left="720"/>
      <w:contextualSpacing/>
    </w:pPr>
  </w:style>
  <w:style w:type="character" w:styleId="IntenseEmphasis">
    <w:name w:val="Intense Emphasis"/>
    <w:basedOn w:val="DefaultParagraphFont"/>
    <w:uiPriority w:val="21"/>
    <w:qFormat/>
    <w:rsid w:val="00F73D09"/>
    <w:rPr>
      <w:i/>
      <w:iCs/>
      <w:color w:val="2F5496" w:themeColor="accent1" w:themeShade="BF"/>
    </w:rPr>
  </w:style>
  <w:style w:type="paragraph" w:styleId="IntenseQuote">
    <w:name w:val="Intense Quote"/>
    <w:basedOn w:val="Normal"/>
    <w:next w:val="Normal"/>
    <w:link w:val="IntenseQuoteChar"/>
    <w:uiPriority w:val="30"/>
    <w:qFormat/>
    <w:rsid w:val="00F73D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3D09"/>
    <w:rPr>
      <w:i/>
      <w:iCs/>
      <w:color w:val="2F5496" w:themeColor="accent1" w:themeShade="BF"/>
    </w:rPr>
  </w:style>
  <w:style w:type="character" w:styleId="IntenseReference">
    <w:name w:val="Intense Reference"/>
    <w:basedOn w:val="DefaultParagraphFont"/>
    <w:uiPriority w:val="32"/>
    <w:qFormat/>
    <w:rsid w:val="00F73D09"/>
    <w:rPr>
      <w:b/>
      <w:bCs/>
      <w:smallCaps/>
      <w:color w:val="2F5496" w:themeColor="accent1" w:themeShade="BF"/>
      <w:spacing w:val="5"/>
    </w:rPr>
  </w:style>
  <w:style w:type="paragraph" w:styleId="Header">
    <w:name w:val="header"/>
    <w:basedOn w:val="Normal"/>
    <w:link w:val="HeaderChar"/>
    <w:uiPriority w:val="99"/>
    <w:unhideWhenUsed/>
    <w:rsid w:val="00F73D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D09"/>
  </w:style>
  <w:style w:type="paragraph" w:styleId="Footer">
    <w:name w:val="footer"/>
    <w:basedOn w:val="Normal"/>
    <w:link w:val="FooterChar"/>
    <w:uiPriority w:val="99"/>
    <w:unhideWhenUsed/>
    <w:rsid w:val="00F73D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D09"/>
  </w:style>
  <w:style w:type="paragraph" w:styleId="NoSpacing">
    <w:name w:val="No Spacing"/>
    <w:uiPriority w:val="1"/>
    <w:qFormat/>
    <w:rsid w:val="004822F5"/>
    <w:pPr>
      <w:spacing w:after="0" w:line="240" w:lineRule="auto"/>
    </w:pPr>
  </w:style>
  <w:style w:type="paragraph" w:styleId="FootnoteText">
    <w:name w:val="footnote text"/>
    <w:basedOn w:val="Normal"/>
    <w:link w:val="FootnoteTextChar"/>
    <w:uiPriority w:val="99"/>
    <w:semiHidden/>
    <w:unhideWhenUsed/>
    <w:rsid w:val="006805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058C"/>
    <w:rPr>
      <w:sz w:val="20"/>
      <w:szCs w:val="20"/>
    </w:rPr>
  </w:style>
  <w:style w:type="character" w:styleId="FootnoteReference">
    <w:name w:val="footnote reference"/>
    <w:basedOn w:val="DefaultParagraphFont"/>
    <w:uiPriority w:val="99"/>
    <w:semiHidden/>
    <w:unhideWhenUsed/>
    <w:rsid w:val="0068058C"/>
    <w:rPr>
      <w:vertAlign w:val="superscript"/>
    </w:rPr>
  </w:style>
  <w:style w:type="character" w:styleId="Hyperlink">
    <w:name w:val="Hyperlink"/>
    <w:basedOn w:val="DefaultParagraphFont"/>
    <w:uiPriority w:val="99"/>
    <w:unhideWhenUsed/>
    <w:rsid w:val="0068058C"/>
    <w:rPr>
      <w:color w:val="0563C1" w:themeColor="hyperlink"/>
      <w:u w:val="single"/>
    </w:rPr>
  </w:style>
  <w:style w:type="character" w:customStyle="1" w:styleId="UnresolvedMention">
    <w:name w:val="Unresolved Mention"/>
    <w:basedOn w:val="DefaultParagraphFont"/>
    <w:uiPriority w:val="99"/>
    <w:semiHidden/>
    <w:unhideWhenUsed/>
    <w:rsid w:val="00680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91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2422</Words>
  <Characters>13809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CHILIMBE</dc:creator>
  <cp:keywords/>
  <dc:description/>
  <cp:lastModifiedBy>JSC</cp:lastModifiedBy>
  <cp:revision>2</cp:revision>
  <cp:lastPrinted>2025-02-14T10:37:00Z</cp:lastPrinted>
  <dcterms:created xsi:type="dcterms:W3CDTF">2025-02-17T10:31:00Z</dcterms:created>
  <dcterms:modified xsi:type="dcterms:W3CDTF">2025-02-17T10:31:00Z</dcterms:modified>
</cp:coreProperties>
</file>