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37D" w:rsidRDefault="006B237D" w:rsidP="00582B14">
      <w:pPr>
        <w:spacing w:after="0" w:line="240" w:lineRule="auto"/>
        <w:rPr>
          <w:rFonts w:ascii="Times New Roman" w:hAnsi="Times New Roman" w:cs="Times New Roman"/>
          <w:sz w:val="24"/>
          <w:szCs w:val="24"/>
        </w:rPr>
      </w:pPr>
      <w:bookmarkStart w:id="0" w:name="_GoBack"/>
      <w:bookmarkEnd w:id="0"/>
    </w:p>
    <w:p w:rsidR="00213128" w:rsidRPr="00582B14"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EARLY BIRD EDUCATIONAL CENTRE</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13128" w:rsidRPr="00582B14">
        <w:rPr>
          <w:rFonts w:ascii="Times New Roman" w:hAnsi="Times New Roman" w:cs="Times New Roman"/>
          <w:sz w:val="24"/>
          <w:szCs w:val="24"/>
        </w:rPr>
        <w:t>ersus</w:t>
      </w:r>
    </w:p>
    <w:p w:rsidR="00304E83" w:rsidRPr="00582B14" w:rsidRDefault="00304E83" w:rsidP="00304E83">
      <w:pPr>
        <w:spacing w:after="0" w:line="240" w:lineRule="auto"/>
        <w:rPr>
          <w:rFonts w:ascii="Times New Roman" w:hAnsi="Times New Roman" w:cs="Times New Roman"/>
          <w:sz w:val="24"/>
          <w:szCs w:val="24"/>
        </w:rPr>
      </w:pPr>
      <w:r>
        <w:rPr>
          <w:rFonts w:ascii="Times New Roman" w:hAnsi="Times New Roman" w:cs="Times New Roman"/>
          <w:sz w:val="24"/>
          <w:szCs w:val="24"/>
        </w:rPr>
        <w:t>EARLY BIRD EDUCATIONAL CENTRE (PVT) LTD</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3128" w:rsidRPr="00582B14">
        <w:rPr>
          <w:rFonts w:ascii="Times New Roman" w:hAnsi="Times New Roman" w:cs="Times New Roman"/>
          <w:sz w:val="24"/>
          <w:szCs w:val="24"/>
        </w:rPr>
        <w:t>nd</w:t>
      </w:r>
    </w:p>
    <w:p w:rsidR="00213128" w:rsidRPr="00582B14"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ENERGY PARK (PRIVATE) LIMITED</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3128" w:rsidRPr="00582B14">
        <w:rPr>
          <w:rFonts w:ascii="Times New Roman" w:hAnsi="Times New Roman" w:cs="Times New Roman"/>
          <w:sz w:val="24"/>
          <w:szCs w:val="24"/>
        </w:rPr>
        <w:t>nd</w:t>
      </w:r>
    </w:p>
    <w:p w:rsidR="00213128" w:rsidRPr="00582B14"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GERALD SAIDI</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3128" w:rsidRPr="00582B14">
        <w:rPr>
          <w:rFonts w:ascii="Times New Roman" w:hAnsi="Times New Roman" w:cs="Times New Roman"/>
          <w:sz w:val="24"/>
          <w:szCs w:val="24"/>
        </w:rPr>
        <w:t>nd</w:t>
      </w:r>
    </w:p>
    <w:p w:rsidR="00213128" w:rsidRPr="00582B14"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MUNICIPALITY OF MARONDERA </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3128" w:rsidRPr="00582B14">
        <w:rPr>
          <w:rFonts w:ascii="Times New Roman" w:hAnsi="Times New Roman" w:cs="Times New Roman"/>
          <w:sz w:val="24"/>
          <w:szCs w:val="24"/>
        </w:rPr>
        <w:t>nd</w:t>
      </w:r>
    </w:p>
    <w:p w:rsidR="00213128"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N.O.</w:t>
      </w:r>
    </w:p>
    <w:p w:rsidR="00304E83"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04E83"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OFFICE FOR THE REGISTRATION OF COMPANIES &amp; </w:t>
      </w:r>
    </w:p>
    <w:p w:rsidR="00304E83"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OTHER BUSINESS ENTITIES</w:t>
      </w:r>
    </w:p>
    <w:p w:rsidR="00304E83"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04E83"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CHIEF REGISTRAR OF COMPANIES &amp; OTHER </w:t>
      </w:r>
    </w:p>
    <w:p w:rsidR="00304E83" w:rsidRPr="00582B14" w:rsidRDefault="00304E83"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BUSINESS ENTITIES N.O. </w:t>
      </w:r>
    </w:p>
    <w:p w:rsidR="00213128" w:rsidRPr="00582B14" w:rsidRDefault="00213128" w:rsidP="00582B14">
      <w:pPr>
        <w:spacing w:line="360" w:lineRule="auto"/>
        <w:rPr>
          <w:rFonts w:ascii="Times New Roman" w:hAnsi="Times New Roman" w:cs="Times New Roman"/>
          <w:sz w:val="24"/>
          <w:szCs w:val="24"/>
        </w:rPr>
      </w:pP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HIGH COURT OF ZIMBABWE</w:t>
      </w:r>
    </w:p>
    <w:p w:rsidR="00213128" w:rsidRPr="008E75DD" w:rsidRDefault="00213128" w:rsidP="00582B14">
      <w:pPr>
        <w:spacing w:after="0" w:line="240" w:lineRule="auto"/>
        <w:rPr>
          <w:rFonts w:ascii="Times New Roman" w:hAnsi="Times New Roman" w:cs="Times New Roman"/>
          <w:b/>
          <w:sz w:val="24"/>
          <w:szCs w:val="24"/>
        </w:rPr>
      </w:pPr>
      <w:r w:rsidRPr="008E75DD">
        <w:rPr>
          <w:rFonts w:ascii="Times New Roman" w:hAnsi="Times New Roman" w:cs="Times New Roman"/>
          <w:b/>
          <w:sz w:val="24"/>
          <w:szCs w:val="24"/>
        </w:rPr>
        <w:t>ZHOU J</w:t>
      </w:r>
    </w:p>
    <w:p w:rsidR="00213128" w:rsidRPr="00582B14" w:rsidRDefault="00FD56EF"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 xml:space="preserve">HARARE, </w:t>
      </w:r>
      <w:r w:rsidR="00263D89">
        <w:rPr>
          <w:rFonts w:ascii="Times New Roman" w:hAnsi="Times New Roman" w:cs="Times New Roman"/>
          <w:sz w:val="24"/>
          <w:szCs w:val="24"/>
        </w:rPr>
        <w:t>28 August &amp; 27</w:t>
      </w:r>
      <w:r w:rsidR="00304E83">
        <w:rPr>
          <w:rFonts w:ascii="Times New Roman" w:hAnsi="Times New Roman" w:cs="Times New Roman"/>
          <w:sz w:val="24"/>
          <w:szCs w:val="24"/>
        </w:rPr>
        <w:t xml:space="preserve"> September </w:t>
      </w:r>
      <w:r w:rsidR="00213128" w:rsidRPr="00582B14">
        <w:rPr>
          <w:rFonts w:ascii="Times New Roman" w:hAnsi="Times New Roman" w:cs="Times New Roman"/>
          <w:sz w:val="24"/>
          <w:szCs w:val="24"/>
        </w:rPr>
        <w:t>2024</w:t>
      </w:r>
    </w:p>
    <w:p w:rsidR="00213128" w:rsidRPr="00582B14" w:rsidRDefault="00213128" w:rsidP="00582B14">
      <w:pPr>
        <w:spacing w:line="360" w:lineRule="auto"/>
        <w:rPr>
          <w:rFonts w:ascii="Times New Roman" w:hAnsi="Times New Roman" w:cs="Times New Roman"/>
          <w:sz w:val="24"/>
          <w:szCs w:val="24"/>
        </w:rPr>
      </w:pPr>
    </w:p>
    <w:p w:rsidR="00213128" w:rsidRPr="00582B14" w:rsidRDefault="00213128" w:rsidP="00582B14">
      <w:pPr>
        <w:spacing w:after="0" w:line="360" w:lineRule="auto"/>
        <w:rPr>
          <w:rFonts w:ascii="Times New Roman" w:hAnsi="Times New Roman" w:cs="Times New Roman"/>
          <w:b/>
          <w:sz w:val="24"/>
          <w:szCs w:val="24"/>
        </w:rPr>
      </w:pPr>
      <w:r w:rsidRPr="00582B14">
        <w:rPr>
          <w:rFonts w:ascii="Times New Roman" w:hAnsi="Times New Roman" w:cs="Times New Roman"/>
          <w:b/>
          <w:sz w:val="24"/>
          <w:szCs w:val="24"/>
        </w:rPr>
        <w:t>Urgent Chamber Application</w:t>
      </w:r>
    </w:p>
    <w:p w:rsidR="00582B14" w:rsidRDefault="00582B14" w:rsidP="00582B14">
      <w:pPr>
        <w:spacing w:after="0" w:line="360" w:lineRule="auto"/>
        <w:jc w:val="both"/>
        <w:rPr>
          <w:rFonts w:ascii="Times New Roman" w:hAnsi="Times New Roman" w:cs="Times New Roman"/>
          <w:i/>
          <w:sz w:val="24"/>
          <w:szCs w:val="24"/>
        </w:rPr>
      </w:pPr>
    </w:p>
    <w:p w:rsidR="00582B14" w:rsidRDefault="00304E83" w:rsidP="00582B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Gama</w:t>
      </w:r>
      <w:r w:rsidR="00582B14">
        <w:rPr>
          <w:rFonts w:ascii="Times New Roman" w:hAnsi="Times New Roman" w:cs="Times New Roman"/>
          <w:i/>
          <w:sz w:val="24"/>
          <w:szCs w:val="24"/>
        </w:rPr>
        <w:t>,</w:t>
      </w:r>
      <w:r w:rsidR="00213128" w:rsidRPr="00582B14">
        <w:rPr>
          <w:rFonts w:ascii="Times New Roman" w:hAnsi="Times New Roman" w:cs="Times New Roman"/>
          <w:i/>
          <w:sz w:val="24"/>
          <w:szCs w:val="24"/>
        </w:rPr>
        <w:t xml:space="preserve"> </w:t>
      </w:r>
      <w:r w:rsidR="00213128" w:rsidRPr="00582B14">
        <w:rPr>
          <w:rFonts w:ascii="Times New Roman" w:hAnsi="Times New Roman" w:cs="Times New Roman"/>
          <w:sz w:val="24"/>
          <w:szCs w:val="24"/>
        </w:rPr>
        <w:t>for the applicant</w:t>
      </w:r>
    </w:p>
    <w:p w:rsidR="00213128" w:rsidRDefault="00304E83" w:rsidP="00582B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Samukange</w:t>
      </w:r>
      <w:r w:rsidR="00213128" w:rsidRPr="00582B14">
        <w:rPr>
          <w:rFonts w:ascii="Times New Roman" w:hAnsi="Times New Roman" w:cs="Times New Roman"/>
          <w:sz w:val="24"/>
          <w:szCs w:val="24"/>
        </w:rPr>
        <w:t>, for the</w:t>
      </w:r>
      <w:r>
        <w:rPr>
          <w:rFonts w:ascii="Times New Roman" w:hAnsi="Times New Roman" w:cs="Times New Roman"/>
          <w:sz w:val="24"/>
          <w:szCs w:val="24"/>
        </w:rPr>
        <w:t xml:space="preserve"> second</w:t>
      </w:r>
      <w:r w:rsidR="00213128" w:rsidRPr="00582B14">
        <w:rPr>
          <w:rFonts w:ascii="Times New Roman" w:hAnsi="Times New Roman" w:cs="Times New Roman"/>
          <w:sz w:val="24"/>
          <w:szCs w:val="24"/>
        </w:rPr>
        <w:t xml:space="preserve"> respondents</w:t>
      </w:r>
    </w:p>
    <w:p w:rsidR="00304E83" w:rsidRDefault="00304E83" w:rsidP="0058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first respondent </w:t>
      </w:r>
    </w:p>
    <w:p w:rsidR="00304E83" w:rsidRPr="00582B14" w:rsidRDefault="00304E83" w:rsidP="0058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Third respondent in person</w:t>
      </w:r>
    </w:p>
    <w:p w:rsidR="00304E83" w:rsidRPr="00582B14" w:rsidRDefault="00304E83" w:rsidP="001200F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Jera</w:t>
      </w:r>
      <w:r w:rsidR="00213128" w:rsidRPr="00582B14">
        <w:rPr>
          <w:rFonts w:ascii="Times New Roman" w:hAnsi="Times New Roman" w:cs="Times New Roman"/>
          <w:sz w:val="24"/>
          <w:szCs w:val="24"/>
        </w:rPr>
        <w:t>,</w:t>
      </w:r>
      <w:r>
        <w:rPr>
          <w:rFonts w:ascii="Times New Roman" w:hAnsi="Times New Roman" w:cs="Times New Roman"/>
          <w:sz w:val="24"/>
          <w:szCs w:val="24"/>
        </w:rPr>
        <w:t xml:space="preserve"> appearing as Curator for third respondent </w:t>
      </w:r>
    </w:p>
    <w:p w:rsidR="007A1A24" w:rsidRDefault="007A1A24" w:rsidP="001200FB">
      <w:pPr>
        <w:spacing w:after="0" w:line="240" w:lineRule="auto"/>
        <w:jc w:val="both"/>
        <w:rPr>
          <w:rFonts w:ascii="Times New Roman" w:hAnsi="Times New Roman" w:cs="Times New Roman"/>
          <w:sz w:val="24"/>
          <w:szCs w:val="24"/>
        </w:rPr>
      </w:pPr>
    </w:p>
    <w:p w:rsidR="00582B14" w:rsidRDefault="00582B14" w:rsidP="001200FB">
      <w:pPr>
        <w:spacing w:after="0" w:line="240" w:lineRule="auto"/>
        <w:jc w:val="both"/>
        <w:rPr>
          <w:rFonts w:ascii="Times New Roman" w:hAnsi="Times New Roman" w:cs="Times New Roman"/>
          <w:sz w:val="24"/>
          <w:szCs w:val="24"/>
        </w:rPr>
      </w:pPr>
    </w:p>
    <w:p w:rsidR="00AA4EE8" w:rsidRDefault="00582B14" w:rsidP="007B1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1A24" w:rsidRPr="00062985">
        <w:rPr>
          <w:rFonts w:ascii="Times New Roman" w:hAnsi="Times New Roman" w:cs="Times New Roman"/>
          <w:sz w:val="24"/>
          <w:szCs w:val="24"/>
        </w:rPr>
        <w:t>ZHOU J</w:t>
      </w:r>
      <w:r w:rsidR="007A1A24" w:rsidRPr="00582B14">
        <w:rPr>
          <w:rFonts w:ascii="Times New Roman" w:hAnsi="Times New Roman" w:cs="Times New Roman"/>
          <w:sz w:val="24"/>
          <w:szCs w:val="24"/>
        </w:rPr>
        <w:t xml:space="preserve">: </w:t>
      </w:r>
      <w:r>
        <w:rPr>
          <w:rFonts w:ascii="Times New Roman" w:hAnsi="Times New Roman" w:cs="Times New Roman"/>
          <w:sz w:val="24"/>
          <w:szCs w:val="24"/>
        </w:rPr>
        <w:t xml:space="preserve">   </w:t>
      </w:r>
      <w:r w:rsidR="007A1A24" w:rsidRPr="00582B14">
        <w:rPr>
          <w:rFonts w:ascii="Times New Roman" w:hAnsi="Times New Roman" w:cs="Times New Roman"/>
          <w:sz w:val="24"/>
          <w:szCs w:val="24"/>
        </w:rPr>
        <w:t xml:space="preserve">This is an urgent chamber application for </w:t>
      </w:r>
      <w:r w:rsidR="007B1768">
        <w:rPr>
          <w:rFonts w:ascii="Times New Roman" w:hAnsi="Times New Roman" w:cs="Times New Roman"/>
          <w:sz w:val="24"/>
          <w:szCs w:val="24"/>
        </w:rPr>
        <w:t xml:space="preserve">an interdict </w:t>
      </w:r>
      <w:r w:rsidR="007B1768" w:rsidRPr="007B1768">
        <w:rPr>
          <w:rFonts w:ascii="Times New Roman" w:hAnsi="Times New Roman" w:cs="Times New Roman"/>
          <w:i/>
          <w:sz w:val="24"/>
          <w:szCs w:val="24"/>
        </w:rPr>
        <w:t>pendent</w:t>
      </w:r>
      <w:r w:rsidR="007B1768">
        <w:rPr>
          <w:rFonts w:ascii="Times New Roman" w:hAnsi="Times New Roman" w:cs="Times New Roman"/>
          <w:i/>
          <w:sz w:val="24"/>
          <w:szCs w:val="24"/>
        </w:rPr>
        <w:t>e</w:t>
      </w:r>
      <w:r w:rsidR="007B1768" w:rsidRPr="007B1768">
        <w:rPr>
          <w:rFonts w:ascii="Times New Roman" w:hAnsi="Times New Roman" w:cs="Times New Roman"/>
          <w:i/>
          <w:sz w:val="24"/>
          <w:szCs w:val="24"/>
        </w:rPr>
        <w:t xml:space="preserve"> li</w:t>
      </w:r>
      <w:r w:rsidR="008E75DD">
        <w:rPr>
          <w:rFonts w:ascii="Times New Roman" w:hAnsi="Times New Roman" w:cs="Times New Roman"/>
          <w:i/>
          <w:sz w:val="24"/>
          <w:szCs w:val="24"/>
        </w:rPr>
        <w:t>t</w:t>
      </w:r>
      <w:r w:rsidR="007B1768" w:rsidRPr="007B1768">
        <w:rPr>
          <w:rFonts w:ascii="Times New Roman" w:hAnsi="Times New Roman" w:cs="Times New Roman"/>
          <w:i/>
          <w:sz w:val="24"/>
          <w:szCs w:val="24"/>
        </w:rPr>
        <w:t>e</w:t>
      </w:r>
      <w:r w:rsidR="007B1768">
        <w:rPr>
          <w:rFonts w:ascii="Times New Roman" w:hAnsi="Times New Roman" w:cs="Times New Roman"/>
          <w:sz w:val="24"/>
          <w:szCs w:val="24"/>
        </w:rPr>
        <w:t>.  The interim</w:t>
      </w:r>
      <w:r w:rsidR="008E75DD">
        <w:rPr>
          <w:rFonts w:ascii="Times New Roman" w:hAnsi="Times New Roman" w:cs="Times New Roman"/>
          <w:sz w:val="24"/>
          <w:szCs w:val="24"/>
        </w:rPr>
        <w:t xml:space="preserve"> relief sought i</w:t>
      </w:r>
      <w:r w:rsidR="007B1768">
        <w:rPr>
          <w:rFonts w:ascii="Times New Roman" w:hAnsi="Times New Roman" w:cs="Times New Roman"/>
          <w:sz w:val="24"/>
          <w:szCs w:val="24"/>
        </w:rPr>
        <w:t>s that pending the return date of the instant matter the first, third and fifth respondent</w:t>
      </w:r>
      <w:r w:rsidR="008E75DD">
        <w:rPr>
          <w:rFonts w:ascii="Times New Roman" w:hAnsi="Times New Roman" w:cs="Times New Roman"/>
          <w:sz w:val="24"/>
          <w:szCs w:val="24"/>
        </w:rPr>
        <w:t>s</w:t>
      </w:r>
      <w:r w:rsidR="007B1768">
        <w:rPr>
          <w:rFonts w:ascii="Times New Roman" w:hAnsi="Times New Roman" w:cs="Times New Roman"/>
          <w:sz w:val="24"/>
          <w:szCs w:val="24"/>
        </w:rPr>
        <w:t xml:space="preserve"> be barred from transferring either Stand 2594 Marondera Township of Marandellas Township Lands measuring 11, 5843</w:t>
      </w:r>
      <w:r w:rsidR="00556075">
        <w:rPr>
          <w:rFonts w:ascii="Times New Roman" w:hAnsi="Times New Roman" w:cs="Times New Roman"/>
          <w:sz w:val="24"/>
          <w:szCs w:val="24"/>
        </w:rPr>
        <w:t xml:space="preserve"> hectares, held under Deed of Transfer No. 4793/2022 or Stand 8928 Marandellas Township </w:t>
      </w:r>
      <w:r w:rsidR="007A17CD">
        <w:rPr>
          <w:rFonts w:ascii="Times New Roman" w:hAnsi="Times New Roman" w:cs="Times New Roman"/>
          <w:sz w:val="24"/>
          <w:szCs w:val="24"/>
        </w:rPr>
        <w:t xml:space="preserve">of Stand 2594 Marandellas Township measuring 5 hectares, to the second </w:t>
      </w:r>
      <w:r w:rsidR="00DC3B7F">
        <w:rPr>
          <w:rFonts w:ascii="Times New Roman" w:hAnsi="Times New Roman" w:cs="Times New Roman"/>
          <w:sz w:val="24"/>
          <w:szCs w:val="24"/>
        </w:rPr>
        <w:t>respondent</w:t>
      </w:r>
      <w:r w:rsidR="007A17CD">
        <w:rPr>
          <w:rFonts w:ascii="Times New Roman" w:hAnsi="Times New Roman" w:cs="Times New Roman"/>
          <w:sz w:val="24"/>
          <w:szCs w:val="24"/>
        </w:rPr>
        <w:t xml:space="preserve"> or to any</w:t>
      </w:r>
      <w:r w:rsidR="00F72868">
        <w:rPr>
          <w:rFonts w:ascii="Times New Roman" w:hAnsi="Times New Roman" w:cs="Times New Roman"/>
          <w:sz w:val="24"/>
          <w:szCs w:val="24"/>
        </w:rPr>
        <w:t xml:space="preserve"> other person except to the applicant. Applicant also seeks an order interdicting the third respondent from alienating his shareholding in the first </w:t>
      </w:r>
      <w:r w:rsidR="00E72102">
        <w:rPr>
          <w:rFonts w:ascii="Times New Roman" w:hAnsi="Times New Roman" w:cs="Times New Roman"/>
          <w:sz w:val="24"/>
          <w:szCs w:val="24"/>
        </w:rPr>
        <w:t>respondent to any</w:t>
      </w:r>
      <w:r w:rsidR="008E75DD">
        <w:rPr>
          <w:rFonts w:ascii="Times New Roman" w:hAnsi="Times New Roman" w:cs="Times New Roman"/>
          <w:sz w:val="24"/>
          <w:szCs w:val="24"/>
        </w:rPr>
        <w:t xml:space="preserve"> </w:t>
      </w:r>
      <w:r w:rsidR="00E72102">
        <w:rPr>
          <w:rFonts w:ascii="Times New Roman" w:hAnsi="Times New Roman" w:cs="Times New Roman"/>
          <w:sz w:val="24"/>
          <w:szCs w:val="24"/>
        </w:rPr>
        <w:t xml:space="preserve">person.  Finally </w:t>
      </w:r>
      <w:r w:rsidR="00E72102">
        <w:rPr>
          <w:rFonts w:ascii="Times New Roman" w:hAnsi="Times New Roman" w:cs="Times New Roman"/>
          <w:sz w:val="24"/>
          <w:szCs w:val="24"/>
        </w:rPr>
        <w:lastRenderedPageBreak/>
        <w:t xml:space="preserve">the applicant seeks an order directing the fifth respondent to register a judicial caveat against </w:t>
      </w:r>
      <w:r w:rsidR="00263D89">
        <w:rPr>
          <w:rFonts w:ascii="Times New Roman" w:hAnsi="Times New Roman" w:cs="Times New Roman"/>
          <w:sz w:val="24"/>
          <w:szCs w:val="24"/>
        </w:rPr>
        <w:t xml:space="preserve">the </w:t>
      </w:r>
      <w:r w:rsidR="00E72102">
        <w:rPr>
          <w:rFonts w:ascii="Times New Roman" w:hAnsi="Times New Roman" w:cs="Times New Roman"/>
          <w:sz w:val="24"/>
          <w:szCs w:val="24"/>
        </w:rPr>
        <w:t xml:space="preserve">title </w:t>
      </w:r>
      <w:r w:rsidR="00263D89">
        <w:rPr>
          <w:rFonts w:ascii="Times New Roman" w:hAnsi="Times New Roman" w:cs="Times New Roman"/>
          <w:sz w:val="24"/>
          <w:szCs w:val="24"/>
        </w:rPr>
        <w:t xml:space="preserve">deed </w:t>
      </w:r>
      <w:r w:rsidR="00E72102">
        <w:rPr>
          <w:rFonts w:ascii="Times New Roman" w:hAnsi="Times New Roman" w:cs="Times New Roman"/>
          <w:sz w:val="24"/>
          <w:szCs w:val="24"/>
        </w:rPr>
        <w:t xml:space="preserve">to the properties mentioned </w:t>
      </w:r>
      <w:r w:rsidR="00AA4EE8">
        <w:rPr>
          <w:rFonts w:ascii="Times New Roman" w:hAnsi="Times New Roman" w:cs="Times New Roman"/>
          <w:sz w:val="24"/>
          <w:szCs w:val="24"/>
        </w:rPr>
        <w:t>above.</w:t>
      </w:r>
    </w:p>
    <w:p w:rsidR="00084D7A" w:rsidRDefault="00AA4EE8" w:rsidP="007B1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terms of the final order sought the interdicts pertaining to the transfer </w:t>
      </w:r>
      <w:r w:rsidR="00C609F8">
        <w:rPr>
          <w:rFonts w:ascii="Times New Roman" w:hAnsi="Times New Roman" w:cs="Times New Roman"/>
          <w:sz w:val="24"/>
          <w:szCs w:val="24"/>
        </w:rPr>
        <w:t xml:space="preserve">of the immovable properties and the transfer of shares held in the first respondent by the third respondent are repeated </w:t>
      </w:r>
      <w:r w:rsidR="00250F3E">
        <w:rPr>
          <w:rFonts w:ascii="Times New Roman" w:hAnsi="Times New Roman" w:cs="Times New Roman"/>
          <w:sz w:val="24"/>
          <w:szCs w:val="24"/>
        </w:rPr>
        <w:t xml:space="preserve">save that this time around they are being sought pending determination of an </w:t>
      </w:r>
      <w:r w:rsidR="008E75DD" w:rsidRPr="008E75DD">
        <w:rPr>
          <w:rFonts w:ascii="Times New Roman" w:hAnsi="Times New Roman" w:cs="Times New Roman"/>
          <w:i/>
          <w:sz w:val="24"/>
          <w:szCs w:val="24"/>
        </w:rPr>
        <w:t>actio</w:t>
      </w:r>
      <w:r w:rsidR="00250F3E" w:rsidRPr="008E75DD">
        <w:rPr>
          <w:rFonts w:ascii="Times New Roman" w:hAnsi="Times New Roman" w:cs="Times New Roman"/>
          <w:i/>
          <w:sz w:val="24"/>
          <w:szCs w:val="24"/>
        </w:rPr>
        <w:t xml:space="preserve"> rei vindicatio</w:t>
      </w:r>
      <w:r w:rsidR="00250F3E">
        <w:rPr>
          <w:rFonts w:ascii="Times New Roman" w:hAnsi="Times New Roman" w:cs="Times New Roman"/>
          <w:sz w:val="24"/>
          <w:szCs w:val="24"/>
        </w:rPr>
        <w:t xml:space="preserve"> instituted by the applicant.  The details of the case number of the </w:t>
      </w:r>
      <w:r w:rsidR="00250F3E" w:rsidRPr="008E75DD">
        <w:rPr>
          <w:rFonts w:ascii="Times New Roman" w:hAnsi="Times New Roman" w:cs="Times New Roman"/>
          <w:i/>
          <w:sz w:val="24"/>
          <w:szCs w:val="24"/>
        </w:rPr>
        <w:t>actio rei vindicatio</w:t>
      </w:r>
      <w:r w:rsidR="00250F3E">
        <w:rPr>
          <w:rFonts w:ascii="Times New Roman" w:hAnsi="Times New Roman" w:cs="Times New Roman"/>
          <w:sz w:val="24"/>
          <w:szCs w:val="24"/>
        </w:rPr>
        <w:t xml:space="preserve"> are not mentioned as the space where the case number ought to have been stated was left blank suggesting that it was perhaps not yet known at the time that the papers were filed.  However, it appeared to be common cause at the hear</w:t>
      </w:r>
      <w:r w:rsidR="008E75DD">
        <w:rPr>
          <w:rFonts w:ascii="Times New Roman" w:hAnsi="Times New Roman" w:cs="Times New Roman"/>
          <w:sz w:val="24"/>
          <w:szCs w:val="24"/>
        </w:rPr>
        <w:t xml:space="preserve">ing of the matter that an </w:t>
      </w:r>
      <w:r w:rsidR="008E75DD" w:rsidRPr="008E75DD">
        <w:rPr>
          <w:rFonts w:ascii="Times New Roman" w:hAnsi="Times New Roman" w:cs="Times New Roman"/>
          <w:i/>
          <w:sz w:val="24"/>
          <w:szCs w:val="24"/>
        </w:rPr>
        <w:t>actio</w:t>
      </w:r>
      <w:r w:rsidR="00250F3E" w:rsidRPr="008E75DD">
        <w:rPr>
          <w:rFonts w:ascii="Times New Roman" w:hAnsi="Times New Roman" w:cs="Times New Roman"/>
          <w:i/>
          <w:sz w:val="24"/>
          <w:szCs w:val="24"/>
        </w:rPr>
        <w:t xml:space="preserve"> rei vindicatio</w:t>
      </w:r>
      <w:r w:rsidR="00250F3E">
        <w:rPr>
          <w:rFonts w:ascii="Times New Roman" w:hAnsi="Times New Roman" w:cs="Times New Roman"/>
          <w:sz w:val="24"/>
          <w:szCs w:val="24"/>
        </w:rPr>
        <w:t xml:space="preserve"> had been instituted by the applicant to recover the property described as Stand 2594 Marondera Township of Marandellas Township Lands measuring 11, 5843 hectares and held under Deed of Transfer No. 4793/2022.  The further relief sought on the return date is an order that the agreement of sale </w:t>
      </w:r>
      <w:r w:rsidR="00A973C2">
        <w:rPr>
          <w:rFonts w:ascii="Times New Roman" w:hAnsi="Times New Roman" w:cs="Times New Roman"/>
          <w:sz w:val="24"/>
          <w:szCs w:val="24"/>
        </w:rPr>
        <w:t xml:space="preserve">entered into between the first respondent and the second respondent on 3 March 2020 in respect of Stand 8928 Marandellas Township </w:t>
      </w:r>
      <w:r w:rsidR="00084D7A">
        <w:rPr>
          <w:rFonts w:ascii="Times New Roman" w:hAnsi="Times New Roman" w:cs="Times New Roman"/>
          <w:sz w:val="24"/>
          <w:szCs w:val="24"/>
        </w:rPr>
        <w:t xml:space="preserve">of Stand 2594 Marandellas Township measuring 5 hectares, be not enforced and, further, that the third respondent shall not perform any act or deed on behalf of or in the name of the first respondent or the applicant.  Costs of </w:t>
      </w:r>
      <w:r w:rsidR="00263D89">
        <w:rPr>
          <w:rFonts w:ascii="Times New Roman" w:hAnsi="Times New Roman" w:cs="Times New Roman"/>
          <w:sz w:val="24"/>
          <w:szCs w:val="24"/>
        </w:rPr>
        <w:t xml:space="preserve">suit </w:t>
      </w:r>
      <w:r w:rsidR="00084D7A">
        <w:rPr>
          <w:rFonts w:ascii="Times New Roman" w:hAnsi="Times New Roman" w:cs="Times New Roman"/>
          <w:sz w:val="24"/>
          <w:szCs w:val="24"/>
        </w:rPr>
        <w:t>on the attorney-client scale are being sought against the third respondent only.</w:t>
      </w:r>
    </w:p>
    <w:p w:rsidR="009D2776" w:rsidRDefault="00084D7A" w:rsidP="007B1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by the second and third respondents. These two respondents filed opposing papers and heads of arguments.  In addition to contesting the matter on the merits the two respondents have raised the following objections </w:t>
      </w:r>
      <w:r w:rsidRPr="00084D7A">
        <w:rPr>
          <w:rFonts w:ascii="Times New Roman" w:hAnsi="Times New Roman" w:cs="Times New Roman"/>
          <w:i/>
          <w:sz w:val="24"/>
          <w:szCs w:val="24"/>
        </w:rPr>
        <w:t>in limine</w:t>
      </w:r>
      <w:r>
        <w:rPr>
          <w:rFonts w:ascii="Times New Roman" w:hAnsi="Times New Roman" w:cs="Times New Roman"/>
          <w:sz w:val="24"/>
          <w:szCs w:val="24"/>
        </w:rPr>
        <w:t>:</w:t>
      </w:r>
      <w:r w:rsidR="00C609F8">
        <w:rPr>
          <w:rFonts w:ascii="Times New Roman" w:hAnsi="Times New Roman" w:cs="Times New Roman"/>
          <w:sz w:val="24"/>
          <w:szCs w:val="24"/>
        </w:rPr>
        <w:t xml:space="preserve"> </w:t>
      </w:r>
      <w:r w:rsidR="007B1768">
        <w:rPr>
          <w:rFonts w:ascii="Times New Roman" w:hAnsi="Times New Roman" w:cs="Times New Roman"/>
          <w:sz w:val="24"/>
          <w:szCs w:val="24"/>
        </w:rPr>
        <w:t xml:space="preserve"> </w:t>
      </w:r>
    </w:p>
    <w:p w:rsidR="001A2B40" w:rsidRDefault="001A2B40" w:rsidP="001A2B4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matter is not urgent and;</w:t>
      </w:r>
    </w:p>
    <w:p w:rsidR="001A2B40" w:rsidRDefault="001A2B40" w:rsidP="001A2B4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is guilty of lack of probity. </w:t>
      </w:r>
    </w:p>
    <w:p w:rsidR="001A2B40" w:rsidRPr="001F5BEF" w:rsidRDefault="001A2B40" w:rsidP="00C53D04">
      <w:pPr>
        <w:pStyle w:val="ListParagraph"/>
        <w:spacing w:after="0" w:line="360" w:lineRule="auto"/>
        <w:ind w:left="0"/>
        <w:jc w:val="both"/>
        <w:rPr>
          <w:rFonts w:ascii="Times New Roman" w:hAnsi="Times New Roman" w:cs="Times New Roman"/>
          <w:b/>
          <w:sz w:val="24"/>
          <w:szCs w:val="24"/>
          <w:u w:val="single"/>
        </w:rPr>
      </w:pPr>
      <w:r w:rsidRPr="001F5BEF">
        <w:rPr>
          <w:rFonts w:ascii="Times New Roman" w:hAnsi="Times New Roman" w:cs="Times New Roman"/>
          <w:b/>
          <w:sz w:val="24"/>
          <w:szCs w:val="24"/>
          <w:u w:val="single"/>
        </w:rPr>
        <w:t>Urgency</w:t>
      </w:r>
    </w:p>
    <w:p w:rsidR="001A2B40" w:rsidRDefault="00C53D04" w:rsidP="00C53D0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A2B40">
        <w:rPr>
          <w:rFonts w:ascii="Times New Roman" w:hAnsi="Times New Roman" w:cs="Times New Roman"/>
          <w:sz w:val="24"/>
          <w:szCs w:val="24"/>
        </w:rPr>
        <w:t>The objection to the urgent hearing of the matter is predicated upon the contention that the deponent to the applicant’s founding affidavit sold the 5 hectares to the second respondent in 2020 and has always been aware of the sale since then. This is a contested factual issue.  For the purposes of the instant matter, I am prepared to proceed on the basis that what triggered the applications are alleged discoveries made by the applicant after the arrest and incarceration of the third respondent.  For these reasons the objection to the urgent hearing of the matter must fail.</w:t>
      </w:r>
    </w:p>
    <w:p w:rsidR="00A52D7D" w:rsidRDefault="00A52D7D" w:rsidP="00C53D04">
      <w:pPr>
        <w:pStyle w:val="ListParagraph"/>
        <w:spacing w:after="0" w:line="360" w:lineRule="auto"/>
        <w:ind w:left="0"/>
        <w:jc w:val="both"/>
        <w:rPr>
          <w:rFonts w:ascii="Times New Roman" w:hAnsi="Times New Roman" w:cs="Times New Roman"/>
          <w:sz w:val="24"/>
          <w:szCs w:val="24"/>
        </w:rPr>
      </w:pPr>
    </w:p>
    <w:p w:rsidR="00C53D04" w:rsidRPr="00A52D7D" w:rsidRDefault="00C53D04" w:rsidP="00C53D04">
      <w:pPr>
        <w:pStyle w:val="ListParagraph"/>
        <w:spacing w:after="0" w:line="360" w:lineRule="auto"/>
        <w:ind w:left="0"/>
        <w:jc w:val="both"/>
        <w:rPr>
          <w:rFonts w:ascii="Times New Roman" w:hAnsi="Times New Roman" w:cs="Times New Roman"/>
          <w:b/>
          <w:sz w:val="24"/>
          <w:szCs w:val="24"/>
          <w:u w:val="single"/>
        </w:rPr>
      </w:pPr>
      <w:r w:rsidRPr="00A52D7D">
        <w:rPr>
          <w:rFonts w:ascii="Times New Roman" w:hAnsi="Times New Roman" w:cs="Times New Roman"/>
          <w:b/>
          <w:sz w:val="24"/>
          <w:szCs w:val="24"/>
          <w:u w:val="single"/>
        </w:rPr>
        <w:lastRenderedPageBreak/>
        <w:t>Lack of Probity</w:t>
      </w:r>
    </w:p>
    <w:p w:rsidR="00E52934" w:rsidRDefault="00C53D04" w:rsidP="00C53D0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contention that the applicant has misled the court as regards her instruction to the third respondent to sell 5 hectares of land from the 11 hectares allocated</w:t>
      </w:r>
      <w:r w:rsidR="009A7714">
        <w:rPr>
          <w:rFonts w:ascii="Times New Roman" w:hAnsi="Times New Roman" w:cs="Times New Roman"/>
          <w:sz w:val="24"/>
          <w:szCs w:val="24"/>
        </w:rPr>
        <w:t xml:space="preserve"> by the </w:t>
      </w:r>
      <w:r w:rsidR="00263D89">
        <w:rPr>
          <w:rFonts w:ascii="Times New Roman" w:hAnsi="Times New Roman" w:cs="Times New Roman"/>
          <w:sz w:val="24"/>
          <w:szCs w:val="24"/>
        </w:rPr>
        <w:t>fourth</w:t>
      </w:r>
      <w:r w:rsidR="009A7714">
        <w:rPr>
          <w:rFonts w:ascii="Times New Roman" w:hAnsi="Times New Roman" w:cs="Times New Roman"/>
          <w:sz w:val="24"/>
          <w:szCs w:val="24"/>
        </w:rPr>
        <w:t xml:space="preserve"> respondent is the basis upon which it is contended that she is guilty of a lack of probity. This objection is als</w:t>
      </w:r>
      <w:r w:rsidR="00E52934">
        <w:rPr>
          <w:rFonts w:ascii="Times New Roman" w:hAnsi="Times New Roman" w:cs="Times New Roman"/>
          <w:sz w:val="24"/>
          <w:szCs w:val="24"/>
        </w:rPr>
        <w:t>o based on facts that are in dispute. The factual issue cannot be resolved on the papers without making findings on credibility.  For this reason, the objection cannot be sustained.</w:t>
      </w:r>
    </w:p>
    <w:p w:rsidR="00E52934" w:rsidRPr="00E52934" w:rsidRDefault="00E52934" w:rsidP="00C53D04">
      <w:pPr>
        <w:pStyle w:val="ListParagraph"/>
        <w:spacing w:after="0" w:line="360" w:lineRule="auto"/>
        <w:ind w:left="0"/>
        <w:jc w:val="both"/>
        <w:rPr>
          <w:rFonts w:ascii="Times New Roman" w:hAnsi="Times New Roman" w:cs="Times New Roman"/>
          <w:b/>
          <w:sz w:val="24"/>
          <w:szCs w:val="24"/>
          <w:u w:val="single"/>
        </w:rPr>
      </w:pPr>
      <w:r w:rsidRPr="00E52934">
        <w:rPr>
          <w:rFonts w:ascii="Times New Roman" w:hAnsi="Times New Roman" w:cs="Times New Roman"/>
          <w:b/>
          <w:sz w:val="24"/>
          <w:szCs w:val="24"/>
          <w:u w:val="single"/>
        </w:rPr>
        <w:t>The Merits</w:t>
      </w:r>
    </w:p>
    <w:p w:rsidR="003A176B" w:rsidRDefault="00E52934" w:rsidP="003A176B">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From all the papers filed, the following facts are common ground or are not in dispute.  The applicant is an entity that belongs to and is controlled by the deponent to the founding affidavit, Alice Chitumba Pangwai.  The said Alice </w:t>
      </w:r>
      <w:r w:rsidR="003A176B">
        <w:rPr>
          <w:rFonts w:ascii="Times New Roman" w:hAnsi="Times New Roman" w:cs="Times New Roman"/>
          <w:sz w:val="24"/>
          <w:szCs w:val="24"/>
        </w:rPr>
        <w:t xml:space="preserve">Chitumba Pangwai states in the founding affidavit that </w:t>
      </w:r>
      <w:r w:rsidR="00263D89">
        <w:rPr>
          <w:rFonts w:ascii="Times New Roman" w:hAnsi="Times New Roman" w:cs="Times New Roman"/>
          <w:sz w:val="24"/>
          <w:szCs w:val="24"/>
        </w:rPr>
        <w:t>s</w:t>
      </w:r>
      <w:r w:rsidR="003A176B">
        <w:rPr>
          <w:rFonts w:ascii="Times New Roman" w:hAnsi="Times New Roman" w:cs="Times New Roman"/>
          <w:sz w:val="24"/>
          <w:szCs w:val="24"/>
        </w:rPr>
        <w:t xml:space="preserve">he is “a female adult with the capacity to sue and be sued” in her own name.  She states that she is the responsible authority of the applicant which is said to be a </w:t>
      </w:r>
      <w:r w:rsidR="003A176B" w:rsidRPr="003A176B">
        <w:rPr>
          <w:rFonts w:ascii="Times New Roman" w:hAnsi="Times New Roman" w:cs="Times New Roman"/>
          <w:i/>
          <w:sz w:val="24"/>
          <w:szCs w:val="24"/>
        </w:rPr>
        <w:t>universitas</w:t>
      </w:r>
      <w:r w:rsidR="003A176B">
        <w:rPr>
          <w:rFonts w:ascii="Times New Roman" w:hAnsi="Times New Roman" w:cs="Times New Roman"/>
          <w:sz w:val="24"/>
          <w:szCs w:val="24"/>
        </w:rPr>
        <w:t xml:space="preserve">.  The third respondent is an attorney whose law firm has been placed under curatorship.  Apparently he was acting as the legal practitioner of the said Alice Chitumba Pangwai in matters some of which are connected to the dispute </w:t>
      </w:r>
      <w:r w:rsidR="003A176B" w:rsidRPr="003A176B">
        <w:rPr>
          <w:rFonts w:ascii="Times New Roman" w:hAnsi="Times New Roman" w:cs="Times New Roman"/>
          <w:i/>
          <w:sz w:val="24"/>
          <w:szCs w:val="24"/>
        </w:rPr>
        <w:t>in casu</w:t>
      </w:r>
      <w:r w:rsidR="003A176B">
        <w:rPr>
          <w:rFonts w:ascii="Times New Roman" w:hAnsi="Times New Roman" w:cs="Times New Roman"/>
          <w:sz w:val="24"/>
          <w:szCs w:val="24"/>
        </w:rPr>
        <w:t xml:space="preserve">. Alice Chitumba Pangwai applied for land from the fourth respondent, a municipality incorporated according to law, with the aim of establishing an educational institution.  She was allocated Stand 2594 Marondera Township of Marandellas Township Lands.  A lease agreement with an option to purchase was signed between the fourth respondent and the applicant represented by Alice Chitumba Pangwai.  The exact date of signature of the lease agreement and option to purchase does not appear </w:t>
      </w:r>
      <w:r w:rsidR="003A176B" w:rsidRPr="007C5CA5">
        <w:rPr>
          <w:rFonts w:ascii="Times New Roman" w:hAnsi="Times New Roman" w:cs="Times New Roman"/>
          <w:i/>
          <w:sz w:val="24"/>
          <w:szCs w:val="24"/>
        </w:rPr>
        <w:t>ex facie</w:t>
      </w:r>
      <w:r w:rsidR="003A176B">
        <w:rPr>
          <w:rFonts w:ascii="Times New Roman" w:hAnsi="Times New Roman" w:cs="Times New Roman"/>
          <w:sz w:val="24"/>
          <w:szCs w:val="24"/>
        </w:rPr>
        <w:t xml:space="preserve"> the written document but the year 2006 appears typed thereon. The letters produced </w:t>
      </w:r>
      <w:r w:rsidR="003A176B">
        <w:rPr>
          <w:rFonts w:ascii="Times New Roman" w:hAnsi="Times New Roman" w:cs="Times New Roman"/>
          <w:sz w:val="24"/>
          <w:szCs w:val="24"/>
          <w:lang w:val="en-US"/>
        </w:rPr>
        <w:t xml:space="preserve">show that the land was for the purpose of constructing a private school under the auspices of the applicant. </w:t>
      </w:r>
      <w:r w:rsidR="007D78A7">
        <w:rPr>
          <w:rFonts w:ascii="Times New Roman" w:hAnsi="Times New Roman" w:cs="Times New Roman"/>
          <w:sz w:val="24"/>
          <w:szCs w:val="24"/>
          <w:lang w:val="en-US"/>
        </w:rPr>
        <w:t> </w:t>
      </w:r>
      <w:r w:rsidR="003A176B">
        <w:rPr>
          <w:rFonts w:ascii="Times New Roman" w:hAnsi="Times New Roman" w:cs="Times New Roman"/>
          <w:sz w:val="24"/>
          <w:szCs w:val="24"/>
          <w:lang w:val="en-US"/>
        </w:rPr>
        <w:t>At the time that the offer of land was made the land had not yet been surveyed hence its area is described as “in excess of almost 11 000 hectares”. The exact area is now known to be 11</w:t>
      </w:r>
      <w:r w:rsidR="000476FE">
        <w:rPr>
          <w:rFonts w:ascii="Times New Roman" w:hAnsi="Times New Roman" w:cs="Times New Roman"/>
          <w:sz w:val="24"/>
          <w:szCs w:val="24"/>
          <w:lang w:val="en-US"/>
        </w:rPr>
        <w:t>,</w:t>
      </w:r>
      <w:r w:rsidR="003A176B">
        <w:rPr>
          <w:rFonts w:ascii="Times New Roman" w:hAnsi="Times New Roman" w:cs="Times New Roman"/>
          <w:sz w:val="24"/>
          <w:szCs w:val="24"/>
          <w:lang w:val="en-US"/>
        </w:rPr>
        <w:t xml:space="preserve"> 5848 hectares, as appears from the papers filed in this matter.</w:t>
      </w:r>
    </w:p>
    <w:p w:rsidR="003A176B" w:rsidRDefault="003A176B" w:rsidP="003A176B">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appears that the applicant (or Alice Chitumba Pangwai) was unable to develop the immovable property, hence the third respondent was engaged. The exact mandate of the third respondent is in dispute. </w:t>
      </w:r>
      <w:r w:rsidR="007C5CA5">
        <w:rPr>
          <w:rFonts w:ascii="Times New Roman" w:hAnsi="Times New Roman" w:cs="Times New Roman"/>
          <w:sz w:val="24"/>
          <w:szCs w:val="24"/>
          <w:lang w:val="en-US"/>
        </w:rPr>
        <w:t> </w:t>
      </w:r>
      <w:r>
        <w:rPr>
          <w:rFonts w:ascii="Times New Roman" w:hAnsi="Times New Roman" w:cs="Times New Roman"/>
          <w:sz w:val="24"/>
          <w:szCs w:val="24"/>
          <w:lang w:val="en-US"/>
        </w:rPr>
        <w:t xml:space="preserve">Applicant states that Alice Chitumba Pangwai signed various documents on the advice of the third respondent which would enable the second respondent to partner the applicant in the school project. It is common cause that the first respondent was </w:t>
      </w:r>
      <w:r w:rsidR="007D78A7">
        <w:rPr>
          <w:rFonts w:ascii="Times New Roman" w:hAnsi="Times New Roman" w:cs="Times New Roman"/>
          <w:sz w:val="24"/>
          <w:szCs w:val="24"/>
          <w:lang w:val="en-US"/>
        </w:rPr>
        <w:t>du</w:t>
      </w:r>
      <w:r>
        <w:rPr>
          <w:rFonts w:ascii="Times New Roman" w:hAnsi="Times New Roman" w:cs="Times New Roman"/>
          <w:sz w:val="24"/>
          <w:szCs w:val="24"/>
          <w:lang w:val="en-US"/>
        </w:rPr>
        <w:t xml:space="preserve">ly incorporated and the immovable property was duly transferred by the fourth respondent to first respondent as </w:t>
      </w:r>
      <w:r>
        <w:rPr>
          <w:rFonts w:ascii="Times New Roman" w:hAnsi="Times New Roman" w:cs="Times New Roman"/>
          <w:sz w:val="24"/>
          <w:szCs w:val="24"/>
          <w:lang w:val="en-US"/>
        </w:rPr>
        <w:lastRenderedPageBreak/>
        <w:t xml:space="preserve">per the </w:t>
      </w:r>
      <w:r w:rsidR="000476FE">
        <w:rPr>
          <w:rFonts w:ascii="Times New Roman" w:hAnsi="Times New Roman" w:cs="Times New Roman"/>
          <w:sz w:val="24"/>
          <w:szCs w:val="24"/>
          <w:lang w:val="en-US"/>
        </w:rPr>
        <w:t>D</w:t>
      </w:r>
      <w:r>
        <w:rPr>
          <w:rFonts w:ascii="Times New Roman" w:hAnsi="Times New Roman" w:cs="Times New Roman"/>
          <w:sz w:val="24"/>
          <w:szCs w:val="24"/>
          <w:lang w:val="en-US"/>
        </w:rPr>
        <w:t xml:space="preserve">eed of </w:t>
      </w:r>
      <w:r w:rsidR="000476FE">
        <w:rPr>
          <w:rFonts w:ascii="Times New Roman" w:hAnsi="Times New Roman" w:cs="Times New Roman"/>
          <w:sz w:val="24"/>
          <w:szCs w:val="24"/>
          <w:lang w:val="en-US"/>
        </w:rPr>
        <w:t>T</w:t>
      </w:r>
      <w:r>
        <w:rPr>
          <w:rFonts w:ascii="Times New Roman" w:hAnsi="Times New Roman" w:cs="Times New Roman"/>
          <w:sz w:val="24"/>
          <w:szCs w:val="24"/>
          <w:lang w:val="en-US"/>
        </w:rPr>
        <w:t xml:space="preserve">ransfer </w:t>
      </w:r>
      <w:r w:rsidR="000476FE">
        <w:rPr>
          <w:rFonts w:ascii="Times New Roman" w:hAnsi="Times New Roman" w:cs="Times New Roman"/>
          <w:sz w:val="24"/>
          <w:szCs w:val="24"/>
          <w:lang w:val="en-US"/>
        </w:rPr>
        <w:t xml:space="preserve">No. </w:t>
      </w:r>
      <w:r>
        <w:rPr>
          <w:rFonts w:ascii="Times New Roman" w:hAnsi="Times New Roman" w:cs="Times New Roman"/>
          <w:sz w:val="24"/>
          <w:szCs w:val="24"/>
          <w:lang w:val="en-US"/>
        </w:rPr>
        <w:t xml:space="preserve">4793/2022. The first respondent is therefore the registered owner of the property having received such title from the fourth respondent. The immovable property was then subdivided and a portion thereof, the subdivision, measuring 5 hectares, was created, which is Stand 8928 Marandellas Township of Stand 2594 Marandellas Township. Pursuant to an agreement of sale concluded with the second respondent, the subdivision, Stand 8928, is due to be transferred to the second respondent. </w:t>
      </w:r>
      <w:r w:rsidR="007D78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version apparent from the second respondent’s and third respondent’s papers is that the sale to the second respondent was in terms of instructions given to the third respondent by Alice Chitumba Pangwai in order to raise funds for the development of the property. The applicant and Alice Chitumba Pangwai challenge both the incorporation </w:t>
      </w:r>
      <w:r w:rsidR="008C16CA">
        <w:rPr>
          <w:rFonts w:ascii="Times New Roman" w:hAnsi="Times New Roman" w:cs="Times New Roman"/>
          <w:sz w:val="24"/>
          <w:szCs w:val="24"/>
          <w:lang w:val="en-US"/>
        </w:rPr>
        <w:t>o</w:t>
      </w:r>
      <w:r>
        <w:rPr>
          <w:rFonts w:ascii="Times New Roman" w:hAnsi="Times New Roman" w:cs="Times New Roman"/>
          <w:sz w:val="24"/>
          <w:szCs w:val="24"/>
          <w:lang w:val="en-US"/>
        </w:rPr>
        <w:t>f the first respondent and the sale of the 5 hectares to the second respondent.</w:t>
      </w:r>
    </w:p>
    <w:p w:rsidR="003A176B" w:rsidRDefault="003A176B" w:rsidP="003A176B">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At the parties’ initial appearance on 27 August 2024 when the parties moved a postponement of the matter before argument, I flagged the issue of the basis upon which the interdict was being sought with reference to the paper</w:t>
      </w:r>
      <w:r w:rsidR="008C16CA">
        <w:rPr>
          <w:rFonts w:ascii="Times New Roman" w:hAnsi="Times New Roman" w:cs="Times New Roman"/>
          <w:sz w:val="24"/>
          <w:szCs w:val="24"/>
          <w:lang w:val="en-US"/>
        </w:rPr>
        <w:t>s</w:t>
      </w:r>
      <w:r>
        <w:rPr>
          <w:rFonts w:ascii="Times New Roman" w:hAnsi="Times New Roman" w:cs="Times New Roman"/>
          <w:sz w:val="24"/>
          <w:szCs w:val="24"/>
          <w:lang w:val="en-US"/>
        </w:rPr>
        <w:t xml:space="preserve"> filed on behalf of the applicant. In particular, I had noted that the interdict was being sought pending determination of an </w:t>
      </w:r>
      <w:r w:rsidRPr="008921DA">
        <w:rPr>
          <w:rFonts w:ascii="Times New Roman" w:hAnsi="Times New Roman" w:cs="Times New Roman"/>
          <w:i/>
          <w:iCs/>
          <w:sz w:val="24"/>
          <w:szCs w:val="24"/>
          <w:lang w:val="en-US"/>
        </w:rPr>
        <w:t>actio rei vindicatio</w:t>
      </w:r>
      <w:r>
        <w:rPr>
          <w:rFonts w:ascii="Times New Roman" w:hAnsi="Times New Roman" w:cs="Times New Roman"/>
          <w:sz w:val="24"/>
          <w:szCs w:val="24"/>
          <w:lang w:val="en-US"/>
        </w:rPr>
        <w:t xml:space="preserve">, and, also that the instant application is predicated upon the right of ownership to the piece of land being asserted by the applicant. I raised the issue because upon a reading of the papers filed it did not appear then that the applicant had ever acquired ownership of the land in question. Proof of such ownership would be important not only because it is the basis upon which the instant application was anchored, but also the basis and an essential of the main matter, the </w:t>
      </w:r>
      <w:r w:rsidRPr="008921DA">
        <w:rPr>
          <w:rFonts w:ascii="Times New Roman" w:hAnsi="Times New Roman" w:cs="Times New Roman"/>
          <w:i/>
          <w:iCs/>
          <w:sz w:val="24"/>
          <w:szCs w:val="24"/>
          <w:lang w:val="en-US"/>
        </w:rPr>
        <w:t>actio rei vindicatio</w:t>
      </w:r>
      <w:r>
        <w:rPr>
          <w:rFonts w:ascii="Times New Roman" w:hAnsi="Times New Roman" w:cs="Times New Roman"/>
          <w:sz w:val="24"/>
          <w:szCs w:val="24"/>
          <w:lang w:val="en-US"/>
        </w:rPr>
        <w:t xml:space="preserve">. </w:t>
      </w:r>
      <w:r w:rsidR="003D6628">
        <w:rPr>
          <w:rFonts w:ascii="Times New Roman" w:hAnsi="Times New Roman" w:cs="Times New Roman"/>
          <w:sz w:val="24"/>
          <w:szCs w:val="24"/>
          <w:lang w:val="en-US"/>
        </w:rPr>
        <w:t xml:space="preserve"> </w:t>
      </w:r>
      <w:r>
        <w:rPr>
          <w:rFonts w:ascii="Times New Roman" w:hAnsi="Times New Roman" w:cs="Times New Roman"/>
          <w:sz w:val="24"/>
          <w:szCs w:val="24"/>
          <w:lang w:val="en-US"/>
        </w:rPr>
        <w:t>All the parties offered to file heads of argument prior to the date of the hearing of the matter. The heads of argument were dully filed.</w:t>
      </w:r>
    </w:p>
    <w:p w:rsidR="003A176B" w:rsidRDefault="003A176B" w:rsidP="003A176B">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What is being sought </w:t>
      </w:r>
      <w:r w:rsidRPr="003A176B">
        <w:rPr>
          <w:rFonts w:ascii="Times New Roman" w:hAnsi="Times New Roman" w:cs="Times New Roman"/>
          <w:i/>
          <w:sz w:val="24"/>
          <w:szCs w:val="24"/>
          <w:lang w:val="en-US"/>
        </w:rPr>
        <w:t xml:space="preserve">in </w:t>
      </w:r>
      <w:r w:rsidRPr="008304CF">
        <w:rPr>
          <w:rFonts w:ascii="Times New Roman" w:hAnsi="Times New Roman" w:cs="Times New Roman"/>
          <w:i/>
          <w:iCs/>
          <w:sz w:val="24"/>
          <w:szCs w:val="24"/>
          <w:lang w:val="en-US"/>
        </w:rPr>
        <w:t>casu</w:t>
      </w:r>
      <w:r>
        <w:rPr>
          <w:rFonts w:ascii="Times New Roman" w:hAnsi="Times New Roman" w:cs="Times New Roman"/>
          <w:sz w:val="24"/>
          <w:szCs w:val="24"/>
          <w:lang w:val="en-US"/>
        </w:rPr>
        <w:t xml:space="preserve"> is an interim interdict. The require</w:t>
      </w:r>
      <w:r w:rsidR="00B8405F">
        <w:rPr>
          <w:rFonts w:ascii="Times New Roman" w:hAnsi="Times New Roman" w:cs="Times New Roman"/>
          <w:sz w:val="24"/>
          <w:szCs w:val="24"/>
          <w:lang w:val="en-US"/>
        </w:rPr>
        <w:t>ments</w:t>
      </w:r>
      <w:r w:rsidR="00263D89">
        <w:rPr>
          <w:rFonts w:ascii="Times New Roman" w:hAnsi="Times New Roman" w:cs="Times New Roman"/>
          <w:sz w:val="24"/>
          <w:szCs w:val="24"/>
          <w:lang w:val="en-US"/>
        </w:rPr>
        <w:t xml:space="preserve"> </w:t>
      </w:r>
      <w:r>
        <w:rPr>
          <w:rFonts w:ascii="Times New Roman" w:hAnsi="Times New Roman" w:cs="Times New Roman"/>
          <w:sz w:val="24"/>
          <w:szCs w:val="24"/>
          <w:lang w:val="en-US"/>
        </w:rPr>
        <w:t>for such an interdict to be granted are settled. They are:</w:t>
      </w:r>
    </w:p>
    <w:p w:rsidR="003A176B" w:rsidRDefault="003A176B" w:rsidP="003A176B">
      <w:pPr>
        <w:pStyle w:val="NoSpacing"/>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right which is sought to be protected is clear; or</w:t>
      </w:r>
    </w:p>
    <w:p w:rsidR="003A176B" w:rsidRDefault="003A176B" w:rsidP="003A176B">
      <w:pPr>
        <w:pStyle w:val="NoSpacing"/>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(a) if the right is not clear, it is </w:t>
      </w:r>
      <w:r w:rsidRPr="008304CF">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established, though open to some doubt; and (b) there is a well</w:t>
      </w:r>
      <w:r w:rsidR="00A41E5A">
        <w:rPr>
          <w:rFonts w:ascii="Times New Roman" w:hAnsi="Times New Roman" w:cs="Times New Roman"/>
          <w:sz w:val="24"/>
          <w:szCs w:val="24"/>
          <w:lang w:val="en-US"/>
        </w:rPr>
        <w:t>–</w:t>
      </w:r>
      <w:r>
        <w:rPr>
          <w:rFonts w:ascii="Times New Roman" w:hAnsi="Times New Roman" w:cs="Times New Roman"/>
          <w:sz w:val="24"/>
          <w:szCs w:val="24"/>
          <w:lang w:val="en-US"/>
        </w:rPr>
        <w:t>grounded apprehension of irreparable harm if interim relief is not granted and the applicant ultimately succeeds in establishing his right; and</w:t>
      </w:r>
    </w:p>
    <w:p w:rsidR="003A176B" w:rsidRDefault="003A176B" w:rsidP="003A176B">
      <w:pPr>
        <w:pStyle w:val="NoSpacing"/>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balance of convenienc</w:t>
      </w:r>
      <w:r w:rsidR="00263D89">
        <w:rPr>
          <w:rFonts w:ascii="Times New Roman" w:hAnsi="Times New Roman" w:cs="Times New Roman"/>
          <w:sz w:val="24"/>
          <w:szCs w:val="24"/>
          <w:lang w:val="en-US"/>
        </w:rPr>
        <w:t>e favours the granting of inter</w:t>
      </w:r>
      <w:r>
        <w:rPr>
          <w:rFonts w:ascii="Times New Roman" w:hAnsi="Times New Roman" w:cs="Times New Roman"/>
          <w:sz w:val="24"/>
          <w:szCs w:val="24"/>
          <w:lang w:val="en-US"/>
        </w:rPr>
        <w:t>im relief; and</w:t>
      </w:r>
    </w:p>
    <w:p w:rsidR="003A176B" w:rsidRDefault="003A176B" w:rsidP="003A176B">
      <w:pPr>
        <w:pStyle w:val="NoSpacing"/>
        <w:numPr>
          <w:ilvl w:val="0"/>
          <w:numId w:val="5"/>
        </w:num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absence of any other satisfactory remedy.</w:t>
      </w:r>
    </w:p>
    <w:p w:rsidR="003A176B" w:rsidRDefault="003A176B" w:rsidP="003A176B">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See </w:t>
      </w:r>
      <w:r w:rsidRPr="00A14637">
        <w:rPr>
          <w:rFonts w:ascii="Times New Roman" w:hAnsi="Times New Roman" w:cs="Times New Roman"/>
          <w:i/>
          <w:iCs/>
          <w:sz w:val="24"/>
          <w:szCs w:val="24"/>
          <w:lang w:val="en-US"/>
        </w:rPr>
        <w:t>Econet (Pvt) Ltd</w:t>
      </w:r>
      <w:r>
        <w:rPr>
          <w:rFonts w:ascii="Times New Roman" w:hAnsi="Times New Roman" w:cs="Times New Roman"/>
          <w:sz w:val="24"/>
          <w:szCs w:val="24"/>
          <w:lang w:val="en-US"/>
        </w:rPr>
        <w:t xml:space="preserve"> v </w:t>
      </w:r>
      <w:r w:rsidRPr="00A14637">
        <w:rPr>
          <w:rFonts w:ascii="Times New Roman" w:hAnsi="Times New Roman" w:cs="Times New Roman"/>
          <w:i/>
          <w:iCs/>
          <w:sz w:val="24"/>
          <w:szCs w:val="24"/>
          <w:lang w:val="en-US"/>
        </w:rPr>
        <w:t>Minister of Information</w:t>
      </w:r>
      <w:r>
        <w:rPr>
          <w:rFonts w:ascii="Times New Roman" w:hAnsi="Times New Roman" w:cs="Times New Roman"/>
          <w:sz w:val="24"/>
          <w:szCs w:val="24"/>
          <w:lang w:val="en-US"/>
        </w:rPr>
        <w:t xml:space="preserve"> 1997 (1) ZLR 242 (H) at 344G – 345B; </w:t>
      </w:r>
      <w:r w:rsidRPr="00A14637">
        <w:rPr>
          <w:rFonts w:ascii="Times New Roman" w:hAnsi="Times New Roman" w:cs="Times New Roman"/>
          <w:i/>
          <w:iCs/>
          <w:sz w:val="24"/>
          <w:szCs w:val="24"/>
          <w:lang w:val="en-US"/>
        </w:rPr>
        <w:t>Watson</w:t>
      </w:r>
      <w:r>
        <w:rPr>
          <w:rFonts w:ascii="Times New Roman" w:hAnsi="Times New Roman" w:cs="Times New Roman"/>
          <w:sz w:val="24"/>
          <w:szCs w:val="24"/>
          <w:lang w:val="en-US"/>
        </w:rPr>
        <w:t xml:space="preserve"> v </w:t>
      </w:r>
      <w:r w:rsidRPr="00A14637">
        <w:rPr>
          <w:rFonts w:ascii="Times New Roman" w:hAnsi="Times New Roman" w:cs="Times New Roman"/>
          <w:i/>
          <w:iCs/>
          <w:sz w:val="24"/>
          <w:szCs w:val="24"/>
          <w:lang w:val="en-US"/>
        </w:rPr>
        <w:t xml:space="preserve">Gilson Enterprises </w:t>
      </w:r>
      <w:r w:rsidR="00602391">
        <w:rPr>
          <w:rFonts w:ascii="Times New Roman" w:hAnsi="Times New Roman" w:cs="Times New Roman"/>
          <w:i/>
          <w:iCs/>
          <w:sz w:val="24"/>
          <w:szCs w:val="24"/>
          <w:lang w:val="en-US"/>
        </w:rPr>
        <w:t>&amp;</w:t>
      </w:r>
      <w:r w:rsidRPr="00A14637">
        <w:rPr>
          <w:rFonts w:ascii="Times New Roman" w:hAnsi="Times New Roman" w:cs="Times New Roman"/>
          <w:i/>
          <w:iCs/>
          <w:sz w:val="24"/>
          <w:szCs w:val="24"/>
          <w:lang w:val="en-US"/>
        </w:rPr>
        <w:t xml:space="preserve"> Ors</w:t>
      </w:r>
      <w:r>
        <w:rPr>
          <w:rFonts w:ascii="Times New Roman" w:hAnsi="Times New Roman" w:cs="Times New Roman"/>
          <w:sz w:val="24"/>
          <w:szCs w:val="24"/>
          <w:lang w:val="en-US"/>
        </w:rPr>
        <w:t xml:space="preserve"> 1997 (2) ZLR 318 (H) at 331D – E; </w:t>
      </w:r>
      <w:r w:rsidRPr="00A14637">
        <w:rPr>
          <w:rFonts w:ascii="Times New Roman" w:hAnsi="Times New Roman" w:cs="Times New Roman"/>
          <w:i/>
          <w:iCs/>
          <w:sz w:val="24"/>
          <w:szCs w:val="24"/>
          <w:lang w:val="en-US"/>
        </w:rPr>
        <w:t>Nyika Investments (Pvt) Ltd</w:t>
      </w:r>
      <w:r>
        <w:rPr>
          <w:rFonts w:ascii="Times New Roman" w:hAnsi="Times New Roman" w:cs="Times New Roman"/>
          <w:sz w:val="24"/>
          <w:szCs w:val="24"/>
          <w:lang w:val="en-US"/>
        </w:rPr>
        <w:t xml:space="preserve"> v </w:t>
      </w:r>
      <w:r w:rsidRPr="00A14637">
        <w:rPr>
          <w:rFonts w:ascii="Times New Roman" w:hAnsi="Times New Roman" w:cs="Times New Roman"/>
          <w:i/>
          <w:iCs/>
          <w:sz w:val="24"/>
          <w:szCs w:val="24"/>
          <w:lang w:val="en-US"/>
        </w:rPr>
        <w:t xml:space="preserve">ZIMASCO Holdings (Pvt) Ltd </w:t>
      </w:r>
      <w:r w:rsidR="00602391">
        <w:rPr>
          <w:rFonts w:ascii="Times New Roman" w:hAnsi="Times New Roman" w:cs="Times New Roman"/>
          <w:i/>
          <w:iCs/>
          <w:sz w:val="24"/>
          <w:szCs w:val="24"/>
          <w:lang w:val="en-US"/>
        </w:rPr>
        <w:t>&amp;</w:t>
      </w:r>
      <w:r w:rsidRPr="00A14637">
        <w:rPr>
          <w:rFonts w:ascii="Times New Roman" w:hAnsi="Times New Roman" w:cs="Times New Roman"/>
          <w:i/>
          <w:iCs/>
          <w:sz w:val="24"/>
          <w:szCs w:val="24"/>
          <w:lang w:val="en-US"/>
        </w:rPr>
        <w:t xml:space="preserve"> Ors</w:t>
      </w:r>
      <w:r>
        <w:rPr>
          <w:rFonts w:ascii="Times New Roman" w:hAnsi="Times New Roman" w:cs="Times New Roman"/>
          <w:sz w:val="24"/>
          <w:szCs w:val="24"/>
          <w:lang w:val="en-US"/>
        </w:rPr>
        <w:t xml:space="preserve"> 2001 (1) ZLR 212 (H) at 213G – 214B; </w:t>
      </w:r>
      <w:r w:rsidRPr="00A14637">
        <w:rPr>
          <w:rFonts w:ascii="Times New Roman" w:hAnsi="Times New Roman" w:cs="Times New Roman"/>
          <w:i/>
          <w:iCs/>
          <w:sz w:val="24"/>
          <w:szCs w:val="24"/>
          <w:lang w:val="en-US"/>
        </w:rPr>
        <w:t>Nyambi and Ors</w:t>
      </w:r>
      <w:r>
        <w:rPr>
          <w:rFonts w:ascii="Times New Roman" w:hAnsi="Times New Roman" w:cs="Times New Roman"/>
          <w:sz w:val="24"/>
          <w:szCs w:val="24"/>
          <w:lang w:val="en-US"/>
        </w:rPr>
        <w:t xml:space="preserve"> v </w:t>
      </w:r>
      <w:r w:rsidRPr="00A14637">
        <w:rPr>
          <w:rFonts w:ascii="Times New Roman" w:hAnsi="Times New Roman" w:cs="Times New Roman"/>
          <w:i/>
          <w:iCs/>
          <w:sz w:val="24"/>
          <w:szCs w:val="24"/>
          <w:lang w:val="en-US"/>
        </w:rPr>
        <w:t>Minister of Local Government and Another</w:t>
      </w:r>
      <w:r>
        <w:rPr>
          <w:rFonts w:ascii="Times New Roman" w:hAnsi="Times New Roman" w:cs="Times New Roman"/>
          <w:sz w:val="24"/>
          <w:szCs w:val="24"/>
          <w:lang w:val="en-US"/>
        </w:rPr>
        <w:t xml:space="preserve"> 2012 (1) ZLR 559 (H) at 572C – F.</w:t>
      </w:r>
    </w:p>
    <w:p w:rsidR="003A176B" w:rsidRDefault="003A176B" w:rsidP="003A176B">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words “clear” and “</w:t>
      </w:r>
      <w:r w:rsidRPr="00642D25">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relate to the degree of proof that is required to establish the right. The existence of a right is a matter of substantive law; whether that right is clearly or </w:t>
      </w:r>
      <w:r w:rsidRPr="00642D25">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established is a matter of evidence, see B. Prest, </w:t>
      </w:r>
      <w:r w:rsidRPr="00A14637">
        <w:rPr>
          <w:rFonts w:ascii="Times New Roman" w:hAnsi="Times New Roman" w:cs="Times New Roman"/>
          <w:i/>
          <w:iCs/>
          <w:sz w:val="24"/>
          <w:szCs w:val="24"/>
          <w:lang w:val="en-US"/>
        </w:rPr>
        <w:t>Interlocutory Interdicts</w:t>
      </w:r>
      <w:r>
        <w:rPr>
          <w:rFonts w:ascii="Times New Roman" w:hAnsi="Times New Roman" w:cs="Times New Roman"/>
          <w:sz w:val="24"/>
          <w:szCs w:val="24"/>
          <w:lang w:val="en-US"/>
        </w:rPr>
        <w:t xml:space="preserve"> p</w:t>
      </w:r>
      <w:r w:rsidR="00A41E5A">
        <w:rPr>
          <w:rFonts w:ascii="Times New Roman" w:hAnsi="Times New Roman" w:cs="Times New Roman"/>
          <w:sz w:val="24"/>
          <w:szCs w:val="24"/>
          <w:lang w:val="en-US"/>
        </w:rPr>
        <w:t> </w:t>
      </w:r>
      <w:r>
        <w:rPr>
          <w:rFonts w:ascii="Times New Roman" w:hAnsi="Times New Roman" w:cs="Times New Roman"/>
          <w:sz w:val="24"/>
          <w:szCs w:val="24"/>
          <w:lang w:val="en-US"/>
        </w:rPr>
        <w:t xml:space="preserve">47; Erasmus, </w:t>
      </w:r>
      <w:r w:rsidRPr="00A14637">
        <w:rPr>
          <w:rFonts w:ascii="Times New Roman" w:hAnsi="Times New Roman" w:cs="Times New Roman"/>
          <w:i/>
          <w:iCs/>
          <w:sz w:val="24"/>
          <w:szCs w:val="24"/>
          <w:lang w:val="en-US"/>
        </w:rPr>
        <w:t>Superior Court Practice</w:t>
      </w:r>
      <w:r>
        <w:rPr>
          <w:rFonts w:ascii="Times New Roman" w:hAnsi="Times New Roman" w:cs="Times New Roman"/>
          <w:sz w:val="24"/>
          <w:szCs w:val="24"/>
          <w:lang w:val="en-US"/>
        </w:rPr>
        <w:t xml:space="preserve"> pp E8 – 6A; Herbstein and Van Winsen, </w:t>
      </w:r>
      <w:r w:rsidRPr="00A14637">
        <w:rPr>
          <w:rFonts w:ascii="Times New Roman" w:hAnsi="Times New Roman" w:cs="Times New Roman"/>
          <w:i/>
          <w:iCs/>
          <w:sz w:val="24"/>
          <w:szCs w:val="24"/>
          <w:lang w:val="en-US"/>
        </w:rPr>
        <w:t>The Civil Practice of the High Courts and the Supreme Court of Appeal of South Africa</w:t>
      </w:r>
      <w:r>
        <w:rPr>
          <w:rFonts w:ascii="Times New Roman" w:hAnsi="Times New Roman" w:cs="Times New Roman"/>
          <w:sz w:val="24"/>
          <w:szCs w:val="24"/>
          <w:lang w:val="en-US"/>
        </w:rPr>
        <w:t xml:space="preserve"> 5</w:t>
      </w:r>
      <w:r w:rsidRPr="00642D2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 Vol. 2, p 1457. The right must be one that exists in law, statutorily or under the common law.</w:t>
      </w:r>
    </w:p>
    <w:p w:rsidR="003A176B" w:rsidRPr="00A41E5A" w:rsidRDefault="003A176B" w:rsidP="003A176B">
      <w:pPr>
        <w:pStyle w:val="NoSpacing"/>
        <w:spacing w:line="360" w:lineRule="auto"/>
        <w:jc w:val="both"/>
        <w:rPr>
          <w:rFonts w:ascii="Times New Roman" w:hAnsi="Times New Roman" w:cs="Times New Roman"/>
          <w:lang w:val="en-US"/>
        </w:rPr>
      </w:pPr>
      <w:r>
        <w:rPr>
          <w:rFonts w:ascii="Times New Roman" w:hAnsi="Times New Roman" w:cs="Times New Roman"/>
          <w:sz w:val="24"/>
          <w:szCs w:val="24"/>
          <w:lang w:val="en-US"/>
        </w:rPr>
        <w:tab/>
        <w:t xml:space="preserve">The applicant alleged the right of ownership in the immovable property to which the application relates. The assertion of ownership is contained in para 1 of the notice of the urgent chamber application as follows: </w:t>
      </w:r>
      <w:r w:rsidRPr="00A41E5A">
        <w:rPr>
          <w:rFonts w:ascii="Times New Roman" w:hAnsi="Times New Roman" w:cs="Times New Roman"/>
          <w:sz w:val="24"/>
          <w:szCs w:val="24"/>
          <w:lang w:val="en-US"/>
        </w:rPr>
        <w:t>“</w:t>
      </w:r>
      <w:r w:rsidRPr="00A41E5A">
        <w:rPr>
          <w:rFonts w:ascii="Times New Roman" w:hAnsi="Times New Roman" w:cs="Times New Roman"/>
          <w:iCs/>
          <w:lang w:val="en-US"/>
        </w:rPr>
        <w:t>Applicant is the lawful o</w:t>
      </w:r>
      <w:r w:rsidR="00A41E5A" w:rsidRPr="00A41E5A">
        <w:rPr>
          <w:rFonts w:ascii="Times New Roman" w:hAnsi="Times New Roman" w:cs="Times New Roman"/>
          <w:iCs/>
          <w:lang w:val="en-US"/>
        </w:rPr>
        <w:t>wner of a piece of land called S</w:t>
      </w:r>
      <w:r w:rsidRPr="00A41E5A">
        <w:rPr>
          <w:rFonts w:ascii="Times New Roman" w:hAnsi="Times New Roman" w:cs="Times New Roman"/>
          <w:iCs/>
          <w:lang w:val="en-US"/>
        </w:rPr>
        <w:t>tand 2594 Marondera Township of Marandellas Township Lands measuring 11 5843 hectares</w:t>
      </w:r>
      <w:r w:rsidRPr="00A41E5A">
        <w:rPr>
          <w:rFonts w:ascii="Times New Roman" w:hAnsi="Times New Roman" w:cs="Times New Roman"/>
          <w:sz w:val="24"/>
          <w:szCs w:val="24"/>
          <w:lang w:val="en-US"/>
        </w:rPr>
        <w:t>”.</w:t>
      </w:r>
      <w:r>
        <w:rPr>
          <w:rFonts w:ascii="Times New Roman" w:hAnsi="Times New Roman" w:cs="Times New Roman"/>
          <w:sz w:val="24"/>
          <w:szCs w:val="24"/>
          <w:lang w:val="en-US"/>
        </w:rPr>
        <w:t xml:space="preserve"> The contention is repeated in para 30 of the founding affidavit as follows: “</w:t>
      </w:r>
      <w:r w:rsidRPr="00A41E5A">
        <w:rPr>
          <w:rFonts w:ascii="Times New Roman" w:hAnsi="Times New Roman" w:cs="Times New Roman"/>
          <w:iCs/>
          <w:lang w:val="en-US"/>
        </w:rPr>
        <w:t>Applicant is the lawful owner of Stand 2594 Marondera Township which is described in full above</w:t>
      </w:r>
      <w:r w:rsidRPr="00A41E5A">
        <w:rPr>
          <w:rFonts w:ascii="Times New Roman" w:hAnsi="Times New Roman" w:cs="Times New Roman"/>
          <w:lang w:val="en-US"/>
        </w:rPr>
        <w:t>”.</w:t>
      </w:r>
    </w:p>
    <w:p w:rsidR="003A176B" w:rsidRDefault="003A176B" w:rsidP="003A176B">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However, the documents attached to the applicant’s papers show that the applicant is not the owner, and never at any time became the owner of the immovable property is question. The deed of transfer No. 4793/2022 attached to the applicant’s founding affidavit shows that the first respondent acquired its ownership from the Municipality of Marondera. The transfer was done in August 2022. The letter dated 23 June 2017 written by the Acting Director of Housing and Community Services of the fourth respondent is not proof of ownership of an immovable property as suggested by Mr </w:t>
      </w:r>
      <w:r w:rsidRPr="00A14637">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for the applicant. That document flies in the face of the clear wording of the deed of transfer that was executed more than five years after that letter was written.</w:t>
      </w:r>
    </w:p>
    <w:p w:rsidR="003A176B" w:rsidRDefault="003A176B" w:rsidP="00A41E5A">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question of how ownership in immovable property is constituted and transferred is a matter of law which the court expects every lawyer to know. Ownership in land cannot be constituted by or passed verbally or by letter. It is a deed of transfer that constitutes ownership of immovable property. Section 14 of the Deeds Registries Act [</w:t>
      </w:r>
      <w:r w:rsidRPr="00A14637">
        <w:rPr>
          <w:rFonts w:ascii="Times New Roman" w:hAnsi="Times New Roman" w:cs="Times New Roman"/>
          <w:i/>
          <w:iCs/>
          <w:sz w:val="24"/>
          <w:szCs w:val="24"/>
          <w:lang w:val="en-US"/>
        </w:rPr>
        <w:t>Chapter 20:05</w:t>
      </w:r>
      <w:r>
        <w:rPr>
          <w:rFonts w:ascii="Times New Roman" w:hAnsi="Times New Roman" w:cs="Times New Roman"/>
          <w:sz w:val="24"/>
          <w:szCs w:val="24"/>
          <w:lang w:val="en-US"/>
        </w:rPr>
        <w:t>] to which the applicant’s attention was drawn in the second respondent’s heads of argument provides as follows:</w:t>
      </w:r>
    </w:p>
    <w:p w:rsidR="003A176B" w:rsidRPr="00A14637" w:rsidRDefault="003A176B" w:rsidP="00A41E5A">
      <w:pPr>
        <w:pStyle w:val="NoSpacing"/>
        <w:spacing w:line="360" w:lineRule="auto"/>
        <w:jc w:val="both"/>
        <w:rPr>
          <w:rFonts w:ascii="Times New Roman" w:hAnsi="Times New Roman" w:cs="Times New Roman"/>
          <w:lang w:val="en-US"/>
        </w:rPr>
      </w:pPr>
      <w:r>
        <w:rPr>
          <w:rFonts w:ascii="Times New Roman" w:hAnsi="Times New Roman" w:cs="Times New Roman"/>
          <w:sz w:val="24"/>
          <w:szCs w:val="24"/>
          <w:lang w:val="en-US"/>
        </w:rPr>
        <w:tab/>
        <w:t>“</w:t>
      </w:r>
      <w:r w:rsidRPr="00A14637">
        <w:rPr>
          <w:rFonts w:ascii="Times New Roman" w:hAnsi="Times New Roman" w:cs="Times New Roman"/>
          <w:lang w:val="en-US"/>
        </w:rPr>
        <w:t>Subject to this Act or any other law –</w:t>
      </w:r>
    </w:p>
    <w:p w:rsidR="003A176B" w:rsidRPr="00A14637" w:rsidRDefault="003A176B" w:rsidP="003A176B">
      <w:pPr>
        <w:pStyle w:val="NoSpacing"/>
        <w:numPr>
          <w:ilvl w:val="0"/>
          <w:numId w:val="6"/>
        </w:numPr>
        <w:spacing w:after="240"/>
        <w:jc w:val="both"/>
        <w:rPr>
          <w:rFonts w:ascii="Times New Roman" w:hAnsi="Times New Roman" w:cs="Times New Roman"/>
          <w:lang w:val="en-US"/>
        </w:rPr>
      </w:pPr>
      <w:r w:rsidRPr="00A14637">
        <w:rPr>
          <w:rFonts w:ascii="Times New Roman" w:hAnsi="Times New Roman" w:cs="Times New Roman"/>
          <w:lang w:val="en-US"/>
        </w:rPr>
        <w:lastRenderedPageBreak/>
        <w:t>the ownership of land may be conveyed from one person to another only by means of a deed of transfer executed or attested by a registrar.”</w:t>
      </w:r>
    </w:p>
    <w:p w:rsidR="003A176B" w:rsidRDefault="003A176B" w:rsidP="003A176B">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Silberberg and Schoeman, </w:t>
      </w:r>
      <w:r w:rsidRPr="00A14637">
        <w:rPr>
          <w:rFonts w:ascii="Times New Roman" w:hAnsi="Times New Roman" w:cs="Times New Roman"/>
          <w:i/>
          <w:iCs/>
          <w:sz w:val="24"/>
          <w:szCs w:val="24"/>
          <w:lang w:val="en-US"/>
        </w:rPr>
        <w:t>Law of Property</w:t>
      </w:r>
      <w:r>
        <w:rPr>
          <w:rFonts w:ascii="Times New Roman" w:hAnsi="Times New Roman" w:cs="Times New Roman"/>
          <w:sz w:val="24"/>
          <w:szCs w:val="24"/>
          <w:lang w:val="en-US"/>
        </w:rPr>
        <w:t xml:space="preserve"> 3</w:t>
      </w:r>
      <w:r w:rsidRPr="00A14637">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Ed. at p</w:t>
      </w:r>
      <w:r w:rsidR="00602391">
        <w:rPr>
          <w:rFonts w:ascii="Times New Roman" w:hAnsi="Times New Roman" w:cs="Times New Roman"/>
          <w:sz w:val="24"/>
          <w:szCs w:val="24"/>
          <w:lang w:val="en-US"/>
        </w:rPr>
        <w:t xml:space="preserve"> </w:t>
      </w:r>
      <w:r>
        <w:rPr>
          <w:rFonts w:ascii="Times New Roman" w:hAnsi="Times New Roman" w:cs="Times New Roman"/>
          <w:sz w:val="24"/>
          <w:szCs w:val="24"/>
          <w:lang w:val="en-US"/>
        </w:rPr>
        <w:t>14 which was also cited in the second respondent’s heads of argument reiterates the trite position of the law as follows:</w:t>
      </w:r>
    </w:p>
    <w:p w:rsidR="00602391" w:rsidRPr="00F1440E" w:rsidRDefault="00602391" w:rsidP="00602391">
      <w:pPr>
        <w:spacing w:line="240" w:lineRule="auto"/>
        <w:ind w:left="720"/>
        <w:jc w:val="both"/>
        <w:rPr>
          <w:rFonts w:ascii="Times New Roman" w:hAnsi="Times New Roman" w:cs="Times New Roman"/>
        </w:rPr>
      </w:pPr>
      <w:r w:rsidRPr="00F1440E">
        <w:rPr>
          <w:rFonts w:ascii="Times New Roman" w:hAnsi="Times New Roman" w:cs="Times New Roman"/>
        </w:rPr>
        <w:t>“If A is the owner of a land with a building which he sells to B, then the real right of ownership vests in A until the land and building have been transferred to B.  The contract gives B a personal right to demand the transfer of the real right of ownership and imposes a corresponding personal obligation on A. Both remain in existence until the contract has been performed (or otherwise discharged).  When transfer takes place, B’s personal right and A’s obligations are extinguished.”</w:t>
      </w:r>
    </w:p>
    <w:p w:rsidR="00602391" w:rsidRDefault="00602391" w:rsidP="0060239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202901">
        <w:rPr>
          <w:rFonts w:ascii="Times New Roman" w:hAnsi="Times New Roman" w:cs="Times New Roman"/>
          <w:i/>
          <w:iCs/>
          <w:sz w:val="24"/>
          <w:szCs w:val="24"/>
        </w:rPr>
        <w:t xml:space="preserve">Takafuma </w:t>
      </w:r>
      <w:r w:rsidRPr="00202901">
        <w:rPr>
          <w:rFonts w:ascii="Times New Roman" w:hAnsi="Times New Roman" w:cs="Times New Roman"/>
          <w:sz w:val="24"/>
          <w:szCs w:val="24"/>
        </w:rPr>
        <w:t xml:space="preserve">v </w:t>
      </w:r>
      <w:r w:rsidRPr="00202901">
        <w:rPr>
          <w:rFonts w:ascii="Times New Roman" w:hAnsi="Times New Roman" w:cs="Times New Roman"/>
          <w:i/>
          <w:iCs/>
          <w:sz w:val="24"/>
          <w:szCs w:val="24"/>
        </w:rPr>
        <w:t>Takafuma</w:t>
      </w:r>
      <w:r>
        <w:rPr>
          <w:rFonts w:ascii="Times New Roman" w:hAnsi="Times New Roman" w:cs="Times New Roman"/>
          <w:sz w:val="24"/>
          <w:szCs w:val="24"/>
        </w:rPr>
        <w:t xml:space="preserve"> 1994(2) ZLR 103(S) at 105H-106A, the Supreme Court set out the principle that registration is essential to establish the right of ownership in immovable property as follows: </w:t>
      </w:r>
    </w:p>
    <w:p w:rsidR="00602391" w:rsidRPr="007A623B" w:rsidRDefault="00602391" w:rsidP="00602391">
      <w:pPr>
        <w:spacing w:line="240" w:lineRule="auto"/>
        <w:ind w:left="720"/>
        <w:jc w:val="both"/>
        <w:rPr>
          <w:rFonts w:ascii="Times New Roman" w:hAnsi="Times New Roman" w:cs="Times New Roman"/>
        </w:rPr>
      </w:pPr>
      <w:r w:rsidRPr="007A623B">
        <w:rPr>
          <w:rFonts w:ascii="Times New Roman" w:hAnsi="Times New Roman" w:cs="Times New Roman"/>
        </w:rPr>
        <w:t xml:space="preserve">“The registration of rights in in immovable property in terms of the Deeds Registries Act…….is not a mere matter of form.  Nor is it simply a device to confound creditors or the tax authorities.  It is a matter of substance.  It conveys real rights upon those in whose name the property is registered …….The real right of ownership, or </w:t>
      </w:r>
      <w:r w:rsidRPr="007A623B">
        <w:rPr>
          <w:rFonts w:ascii="Times New Roman" w:hAnsi="Times New Roman" w:cs="Times New Roman"/>
          <w:i/>
          <w:iCs/>
        </w:rPr>
        <w:t>jus in repropria</w:t>
      </w:r>
      <w:r w:rsidRPr="007A623B">
        <w:rPr>
          <w:rFonts w:ascii="Times New Roman" w:hAnsi="Times New Roman" w:cs="Times New Roman"/>
        </w:rPr>
        <w:t>, is the sum total of all possible rights in a thing….”</w:t>
      </w:r>
    </w:p>
    <w:p w:rsidR="00602391" w:rsidRDefault="00602391" w:rsidP="0060239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More recently, in the case of </w:t>
      </w:r>
      <w:r w:rsidRPr="007B7EE5">
        <w:rPr>
          <w:rFonts w:ascii="Times New Roman" w:hAnsi="Times New Roman" w:cs="Times New Roman"/>
          <w:i/>
          <w:iCs/>
          <w:sz w:val="24"/>
          <w:szCs w:val="24"/>
        </w:rPr>
        <w:t xml:space="preserve">Judith Ishemunyoro </w:t>
      </w:r>
      <w:r w:rsidRPr="007B7EE5">
        <w:rPr>
          <w:rFonts w:ascii="Times New Roman" w:hAnsi="Times New Roman" w:cs="Times New Roman"/>
          <w:sz w:val="24"/>
          <w:szCs w:val="24"/>
        </w:rPr>
        <w:t xml:space="preserve">v </w:t>
      </w:r>
      <w:r w:rsidRPr="007B7EE5">
        <w:rPr>
          <w:rFonts w:ascii="Times New Roman" w:hAnsi="Times New Roman" w:cs="Times New Roman"/>
          <w:i/>
          <w:iCs/>
          <w:sz w:val="24"/>
          <w:szCs w:val="24"/>
        </w:rPr>
        <w:t>Anthony Ishemunyoro &amp; Ors</w:t>
      </w:r>
      <w:r>
        <w:rPr>
          <w:rFonts w:ascii="Times New Roman" w:hAnsi="Times New Roman" w:cs="Times New Roman"/>
          <w:sz w:val="24"/>
          <w:szCs w:val="24"/>
        </w:rPr>
        <w:t xml:space="preserve"> SC 374-17, </w:t>
      </w:r>
      <w:r w:rsidRPr="007B7EE5">
        <w:rPr>
          <w:rFonts w:ascii="Times New Roman" w:hAnsi="Times New Roman" w:cs="Times New Roman"/>
          <w:smallCaps/>
          <w:sz w:val="24"/>
          <w:szCs w:val="24"/>
        </w:rPr>
        <w:t>Gwazinza</w:t>
      </w:r>
      <w:r>
        <w:rPr>
          <w:rFonts w:ascii="Times New Roman" w:hAnsi="Times New Roman" w:cs="Times New Roman"/>
          <w:sz w:val="24"/>
          <w:szCs w:val="24"/>
        </w:rPr>
        <w:t xml:space="preserve"> JA (as she then was) said:</w:t>
      </w:r>
    </w:p>
    <w:p w:rsidR="00602391" w:rsidRPr="002429D0" w:rsidRDefault="00602391" w:rsidP="00602391">
      <w:pPr>
        <w:spacing w:line="240" w:lineRule="auto"/>
        <w:ind w:left="720"/>
        <w:jc w:val="both"/>
        <w:rPr>
          <w:rFonts w:ascii="Times New Roman" w:hAnsi="Times New Roman" w:cs="Times New Roman"/>
        </w:rPr>
      </w:pPr>
      <w:r w:rsidRPr="002429D0">
        <w:rPr>
          <w:rFonts w:ascii="Times New Roman" w:hAnsi="Times New Roman" w:cs="Times New Roman"/>
        </w:rPr>
        <w:t xml:space="preserve">“The right of ownership to immovable property must be registered with the Registrar of Deeds.  A title deed is thus </w:t>
      </w:r>
      <w:r w:rsidRPr="002429D0">
        <w:rPr>
          <w:rFonts w:ascii="Times New Roman" w:hAnsi="Times New Roman" w:cs="Times New Roman"/>
          <w:i/>
          <w:iCs/>
        </w:rPr>
        <w:t>prima facie</w:t>
      </w:r>
      <w:r w:rsidRPr="002429D0">
        <w:rPr>
          <w:rFonts w:ascii="Times New Roman" w:hAnsi="Times New Roman" w:cs="Times New Roman"/>
        </w:rPr>
        <w:t xml:space="preserve"> proof that a person enjoys real rights over the immovable property defined in the Deed.”</w:t>
      </w:r>
    </w:p>
    <w:p w:rsidR="00602391" w:rsidRDefault="00602391"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light of the welter of authorities cited above and many others, not cited herein, Mr Gama’s submission that because the respondents did not dispute applicant’s right of ownership then </w:t>
      </w:r>
      <w:r w:rsidR="00263D89">
        <w:rPr>
          <w:rFonts w:ascii="Times New Roman" w:hAnsi="Times New Roman" w:cs="Times New Roman"/>
          <w:sz w:val="24"/>
          <w:szCs w:val="24"/>
        </w:rPr>
        <w:t xml:space="preserve">the right </w:t>
      </w:r>
      <w:r>
        <w:rPr>
          <w:rFonts w:ascii="Times New Roman" w:hAnsi="Times New Roman" w:cs="Times New Roman"/>
          <w:sz w:val="24"/>
          <w:szCs w:val="24"/>
        </w:rPr>
        <w:t xml:space="preserve">is </w:t>
      </w:r>
      <w:r w:rsidR="00263D89">
        <w:rPr>
          <w:rFonts w:ascii="Times New Roman" w:hAnsi="Times New Roman" w:cs="Times New Roman"/>
          <w:sz w:val="24"/>
          <w:szCs w:val="24"/>
        </w:rPr>
        <w:t xml:space="preserve">established </w:t>
      </w:r>
      <w:r w:rsidR="00B8405F">
        <w:rPr>
          <w:rFonts w:ascii="Times New Roman" w:hAnsi="Times New Roman" w:cs="Times New Roman"/>
          <w:sz w:val="24"/>
          <w:szCs w:val="24"/>
        </w:rPr>
        <w:t xml:space="preserve">is </w:t>
      </w:r>
      <w:r>
        <w:rPr>
          <w:rFonts w:ascii="Times New Roman" w:hAnsi="Times New Roman" w:cs="Times New Roman"/>
          <w:sz w:val="24"/>
          <w:szCs w:val="24"/>
        </w:rPr>
        <w:t xml:space="preserve">startling.  The right of ownership must be established through the founding affidavit and not by the parties mistaken view as to its existence.  Proof of ownership is by deed of transfer and not by a mere averment in an affidavit.  The case of </w:t>
      </w:r>
      <w:r w:rsidRPr="00A052AA">
        <w:rPr>
          <w:rFonts w:ascii="Times New Roman" w:hAnsi="Times New Roman" w:cs="Times New Roman"/>
          <w:i/>
          <w:iCs/>
          <w:sz w:val="24"/>
          <w:szCs w:val="24"/>
        </w:rPr>
        <w:t xml:space="preserve">Chenga </w:t>
      </w:r>
      <w:r w:rsidRPr="00A052AA">
        <w:rPr>
          <w:rFonts w:ascii="Times New Roman" w:hAnsi="Times New Roman" w:cs="Times New Roman"/>
          <w:sz w:val="24"/>
          <w:szCs w:val="24"/>
        </w:rPr>
        <w:t xml:space="preserve">v </w:t>
      </w:r>
      <w:r w:rsidRPr="00A052AA">
        <w:rPr>
          <w:rFonts w:ascii="Times New Roman" w:hAnsi="Times New Roman" w:cs="Times New Roman"/>
          <w:i/>
          <w:iCs/>
          <w:sz w:val="24"/>
          <w:szCs w:val="24"/>
        </w:rPr>
        <w:t>Chikadaya &amp; Ors</w:t>
      </w:r>
      <w:r>
        <w:rPr>
          <w:rFonts w:ascii="Times New Roman" w:hAnsi="Times New Roman" w:cs="Times New Roman"/>
          <w:sz w:val="24"/>
          <w:szCs w:val="24"/>
        </w:rPr>
        <w:t xml:space="preserve"> SC 7-13 is not authority for the proposition that the real right of ownership in immovable property can be transferred in the absence of a deed of transfer duly executed before the registrar of deeds.  To the extent that it may be interpreted as suggesting that a holder of rights, title and interest in immovable property who has no deed of transfer registered in his or her name is an owner of the immovable property to which those rights relate, then the judgment would be in clear conflict with the other authorities, including the judgments of the Supreme Court referred to earlier on.  Where a lower court is confronted with conflicting decisions of a higher court the approach is </w:t>
      </w:r>
      <w:r>
        <w:rPr>
          <w:rFonts w:ascii="Times New Roman" w:hAnsi="Times New Roman" w:cs="Times New Roman"/>
          <w:sz w:val="24"/>
          <w:szCs w:val="24"/>
        </w:rPr>
        <w:lastRenderedPageBreak/>
        <w:t xml:space="preserve">to be bound only by that judgment which is legally correct upon a reading of the law.  In this instance the </w:t>
      </w:r>
      <w:r w:rsidRPr="0098365D">
        <w:rPr>
          <w:rFonts w:ascii="Times New Roman" w:hAnsi="Times New Roman" w:cs="Times New Roman"/>
          <w:i/>
          <w:sz w:val="24"/>
          <w:szCs w:val="24"/>
        </w:rPr>
        <w:t>Chenga</w:t>
      </w:r>
      <w:r>
        <w:rPr>
          <w:rFonts w:ascii="Times New Roman" w:hAnsi="Times New Roman" w:cs="Times New Roman"/>
          <w:sz w:val="24"/>
          <w:szCs w:val="24"/>
        </w:rPr>
        <w:t xml:space="preserve"> judgement did not purport to overrule the settled position of the law under both the common law and statute which is that the real right of ownership in immovable property can only be constituted or passed by a deed of transfer registered in the Deeds Office.  The judgment makes no reference to the law.  It elevates the personal rights in immovable property to the status of a real</w:t>
      </w:r>
      <w:r w:rsidR="00263D89">
        <w:rPr>
          <w:rFonts w:ascii="Times New Roman" w:hAnsi="Times New Roman" w:cs="Times New Roman"/>
          <w:sz w:val="24"/>
          <w:szCs w:val="24"/>
        </w:rPr>
        <w:t xml:space="preserve"> right</w:t>
      </w:r>
      <w:r>
        <w:rPr>
          <w:rFonts w:ascii="Times New Roman" w:hAnsi="Times New Roman" w:cs="Times New Roman"/>
          <w:sz w:val="24"/>
          <w:szCs w:val="24"/>
        </w:rPr>
        <w:t>, thereby blurring the legally recognized dichotomy between real rights and personal rights in immovable property.  For these reasons it cannot be followed.</w:t>
      </w:r>
    </w:p>
    <w:p w:rsidR="00602391" w:rsidRDefault="00602391"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98365D">
        <w:rPr>
          <w:rFonts w:ascii="Times New Roman" w:hAnsi="Times New Roman" w:cs="Times New Roman"/>
          <w:i/>
          <w:sz w:val="24"/>
          <w:szCs w:val="24"/>
        </w:rPr>
        <w:t xml:space="preserve">Gama </w:t>
      </w:r>
      <w:r>
        <w:rPr>
          <w:rFonts w:ascii="Times New Roman" w:hAnsi="Times New Roman" w:cs="Times New Roman"/>
          <w:sz w:val="24"/>
          <w:szCs w:val="24"/>
        </w:rPr>
        <w:t xml:space="preserve">for the applicant made the alternative argument that if the </w:t>
      </w:r>
      <w:r w:rsidRPr="0098365D">
        <w:rPr>
          <w:rFonts w:ascii="Times New Roman" w:hAnsi="Times New Roman" w:cs="Times New Roman"/>
          <w:i/>
          <w:sz w:val="24"/>
          <w:szCs w:val="24"/>
        </w:rPr>
        <w:t>Chenga</w:t>
      </w:r>
      <w:r>
        <w:rPr>
          <w:rFonts w:ascii="Times New Roman" w:hAnsi="Times New Roman" w:cs="Times New Roman"/>
          <w:sz w:val="24"/>
          <w:szCs w:val="24"/>
        </w:rPr>
        <w:t xml:space="preserve"> judgment is found to be in conflict with the other Supreme Court authorities then a conclusion must be reached that the applicant has established a </w:t>
      </w:r>
      <w:r w:rsidRPr="00FB7690">
        <w:rPr>
          <w:rFonts w:ascii="Times New Roman" w:hAnsi="Times New Roman" w:cs="Times New Roman"/>
          <w:i/>
          <w:iCs/>
          <w:sz w:val="24"/>
          <w:szCs w:val="24"/>
        </w:rPr>
        <w:t>prima facie</w:t>
      </w:r>
      <w:r>
        <w:rPr>
          <w:rFonts w:ascii="Times New Roman" w:hAnsi="Times New Roman" w:cs="Times New Roman"/>
          <w:sz w:val="24"/>
          <w:szCs w:val="24"/>
        </w:rPr>
        <w:t xml:space="preserve"> case.  What is required for an interim interdict to be granted is the establishment of a </w:t>
      </w:r>
      <w:r w:rsidRPr="0023276F">
        <w:rPr>
          <w:rFonts w:ascii="Times New Roman" w:hAnsi="Times New Roman" w:cs="Times New Roman"/>
          <w:i/>
          <w:iCs/>
          <w:sz w:val="24"/>
          <w:szCs w:val="24"/>
        </w:rPr>
        <w:t>prima facie</w:t>
      </w:r>
      <w:r>
        <w:rPr>
          <w:rFonts w:ascii="Times New Roman" w:hAnsi="Times New Roman" w:cs="Times New Roman"/>
          <w:sz w:val="24"/>
          <w:szCs w:val="24"/>
        </w:rPr>
        <w:t xml:space="preserve"> right.  Nothing short of a deed of transfer would be prima facie evidence of such a right as was aptly held in the case of Judith </w:t>
      </w:r>
      <w:r w:rsidRPr="0023276F">
        <w:rPr>
          <w:rFonts w:ascii="Times New Roman" w:hAnsi="Times New Roman" w:cs="Times New Roman"/>
          <w:i/>
          <w:iCs/>
          <w:sz w:val="24"/>
          <w:szCs w:val="24"/>
        </w:rPr>
        <w:t xml:space="preserve">Ishemanyoro </w:t>
      </w:r>
      <w:r w:rsidRPr="0023276F">
        <w:rPr>
          <w:rFonts w:ascii="Times New Roman" w:hAnsi="Times New Roman" w:cs="Times New Roman"/>
          <w:sz w:val="24"/>
          <w:szCs w:val="24"/>
        </w:rPr>
        <w:t xml:space="preserve">v </w:t>
      </w:r>
      <w:r w:rsidRPr="0023276F">
        <w:rPr>
          <w:rFonts w:ascii="Times New Roman" w:hAnsi="Times New Roman" w:cs="Times New Roman"/>
          <w:i/>
          <w:iCs/>
          <w:sz w:val="24"/>
          <w:szCs w:val="24"/>
        </w:rPr>
        <w:t>Anthony Ishe</w:t>
      </w:r>
      <w:r w:rsidR="00263D89">
        <w:rPr>
          <w:rFonts w:ascii="Times New Roman" w:hAnsi="Times New Roman" w:cs="Times New Roman"/>
          <w:i/>
          <w:iCs/>
          <w:sz w:val="24"/>
          <w:szCs w:val="24"/>
        </w:rPr>
        <w:t>mu</w:t>
      </w:r>
      <w:r w:rsidRPr="0023276F">
        <w:rPr>
          <w:rFonts w:ascii="Times New Roman" w:hAnsi="Times New Roman" w:cs="Times New Roman"/>
          <w:i/>
          <w:iCs/>
          <w:sz w:val="24"/>
          <w:szCs w:val="24"/>
        </w:rPr>
        <w:t xml:space="preserve">nyoro, </w:t>
      </w:r>
      <w:r w:rsidR="0098365D">
        <w:rPr>
          <w:rFonts w:ascii="Times New Roman" w:hAnsi="Times New Roman" w:cs="Times New Roman"/>
          <w:iCs/>
          <w:sz w:val="24"/>
          <w:szCs w:val="24"/>
        </w:rPr>
        <w:t>(</w:t>
      </w:r>
      <w:r w:rsidRPr="0023276F">
        <w:rPr>
          <w:rFonts w:ascii="Times New Roman" w:hAnsi="Times New Roman" w:cs="Times New Roman"/>
          <w:i/>
          <w:iCs/>
          <w:sz w:val="24"/>
          <w:szCs w:val="24"/>
        </w:rPr>
        <w:t>supra</w:t>
      </w:r>
      <w:r w:rsidR="0098365D">
        <w:rPr>
          <w:rFonts w:ascii="Times New Roman" w:hAnsi="Times New Roman" w:cs="Times New Roman"/>
          <w:iCs/>
          <w:sz w:val="24"/>
          <w:szCs w:val="24"/>
        </w:rPr>
        <w:t>)</w:t>
      </w:r>
      <w:r>
        <w:rPr>
          <w:rFonts w:ascii="Times New Roman" w:hAnsi="Times New Roman" w:cs="Times New Roman"/>
          <w:sz w:val="24"/>
          <w:szCs w:val="24"/>
        </w:rPr>
        <w:t xml:space="preserve">.  If the applicant had produced a deed of transfer that was being contested it would then have claimed to have established a </w:t>
      </w:r>
      <w:r w:rsidRPr="0092083E">
        <w:rPr>
          <w:rFonts w:ascii="Times New Roman" w:hAnsi="Times New Roman" w:cs="Times New Roman"/>
          <w:i/>
          <w:iCs/>
          <w:sz w:val="24"/>
          <w:szCs w:val="24"/>
        </w:rPr>
        <w:t>prima facie</w:t>
      </w:r>
      <w:r>
        <w:rPr>
          <w:rFonts w:ascii="Times New Roman" w:hAnsi="Times New Roman" w:cs="Times New Roman"/>
          <w:sz w:val="24"/>
          <w:szCs w:val="24"/>
        </w:rPr>
        <w:t xml:space="preserve"> right though open to some doubt.  In this case none of the documents produced by the applicant proves its ownership, past or present, of the property in dispute.  On the contrary, the deed of transfer produced by the applicant shows that the first respondent acquired ownership by transfer of that right from the fourth respondent which was the previous owner of the property.</w:t>
      </w:r>
    </w:p>
    <w:p w:rsidR="00602391" w:rsidRDefault="00602391"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further alternative case advanced in argument on behalf of the applicant was that in the event that it is found that the applicant was not the owner of the immovable property in dispute, </w:t>
      </w:r>
      <w:r w:rsidR="00263D89">
        <w:rPr>
          <w:rFonts w:ascii="Times New Roman" w:hAnsi="Times New Roman" w:cs="Times New Roman"/>
          <w:sz w:val="24"/>
          <w:szCs w:val="24"/>
        </w:rPr>
        <w:t>the</w:t>
      </w:r>
      <w:r>
        <w:rPr>
          <w:rFonts w:ascii="Times New Roman" w:hAnsi="Times New Roman" w:cs="Times New Roman"/>
          <w:sz w:val="24"/>
          <w:szCs w:val="24"/>
        </w:rPr>
        <w:t xml:space="preserve"> interdict could still be granted on the basis that the applicant had paid for the property and was therefore entitled to claim the same. This is not the case that was pleaded in the court applica</w:t>
      </w:r>
      <w:r w:rsidR="00263D89">
        <w:rPr>
          <w:rFonts w:ascii="Times New Roman" w:hAnsi="Times New Roman" w:cs="Times New Roman"/>
          <w:sz w:val="24"/>
          <w:szCs w:val="24"/>
        </w:rPr>
        <w:t>tion</w:t>
      </w:r>
      <w:r>
        <w:rPr>
          <w:rFonts w:ascii="Times New Roman" w:hAnsi="Times New Roman" w:cs="Times New Roman"/>
          <w:sz w:val="24"/>
          <w:szCs w:val="24"/>
        </w:rPr>
        <w:t xml:space="preserve">.  The right pleaded is of ownership, not the personal rights conferred by the agreement of lease or sale. The position of </w:t>
      </w:r>
      <w:r w:rsidR="00263D89">
        <w:rPr>
          <w:rFonts w:ascii="Times New Roman" w:hAnsi="Times New Roman" w:cs="Times New Roman"/>
          <w:sz w:val="24"/>
          <w:szCs w:val="24"/>
        </w:rPr>
        <w:t xml:space="preserve">the </w:t>
      </w:r>
      <w:r>
        <w:rPr>
          <w:rFonts w:ascii="Times New Roman" w:hAnsi="Times New Roman" w:cs="Times New Roman"/>
          <w:sz w:val="24"/>
          <w:szCs w:val="24"/>
        </w:rPr>
        <w:t xml:space="preserve">law is that an application stands or falls on its founding affidavits.  The essence of this principles is that an applicant must make out his or her case in the founding affidavit. That is why it is said that in application proceedings the affidavits constitute not only the evidence but also the pleadings, see </w:t>
      </w:r>
      <w:r w:rsidRPr="005D038C">
        <w:rPr>
          <w:rFonts w:ascii="Times New Roman" w:hAnsi="Times New Roman" w:cs="Times New Roman"/>
          <w:i/>
          <w:iCs/>
          <w:sz w:val="24"/>
          <w:szCs w:val="24"/>
        </w:rPr>
        <w:t xml:space="preserve">Transnet Ltd </w:t>
      </w:r>
      <w:r w:rsidRPr="005D038C">
        <w:rPr>
          <w:rFonts w:ascii="Times New Roman" w:hAnsi="Times New Roman" w:cs="Times New Roman"/>
          <w:sz w:val="24"/>
          <w:szCs w:val="24"/>
        </w:rPr>
        <w:t>v</w:t>
      </w:r>
      <w:r w:rsidRPr="005D038C">
        <w:rPr>
          <w:rFonts w:ascii="Times New Roman" w:hAnsi="Times New Roman" w:cs="Times New Roman"/>
          <w:i/>
          <w:iCs/>
          <w:sz w:val="24"/>
          <w:szCs w:val="24"/>
        </w:rPr>
        <w:t xml:space="preserve"> Rubenstein</w:t>
      </w:r>
      <w:r>
        <w:rPr>
          <w:rFonts w:ascii="Times New Roman" w:hAnsi="Times New Roman" w:cs="Times New Roman"/>
          <w:sz w:val="24"/>
          <w:szCs w:val="24"/>
        </w:rPr>
        <w:t xml:space="preserve"> 2006 (1) SA 591(SCA) at 600; </w:t>
      </w:r>
      <w:r w:rsidRPr="005D038C">
        <w:rPr>
          <w:rFonts w:ascii="Times New Roman" w:hAnsi="Times New Roman" w:cs="Times New Roman"/>
          <w:i/>
          <w:iCs/>
          <w:sz w:val="24"/>
          <w:szCs w:val="24"/>
        </w:rPr>
        <w:t xml:space="preserve">Hart </w:t>
      </w:r>
      <w:r w:rsidRPr="005D038C">
        <w:rPr>
          <w:rFonts w:ascii="Times New Roman" w:hAnsi="Times New Roman" w:cs="Times New Roman"/>
          <w:sz w:val="24"/>
          <w:szCs w:val="24"/>
        </w:rPr>
        <w:t>v</w:t>
      </w:r>
      <w:r w:rsidRPr="005D038C">
        <w:rPr>
          <w:rFonts w:ascii="Times New Roman" w:hAnsi="Times New Roman" w:cs="Times New Roman"/>
          <w:i/>
          <w:iCs/>
          <w:sz w:val="24"/>
          <w:szCs w:val="24"/>
        </w:rPr>
        <w:t xml:space="preserve"> Pinetown Drive-in Cinema (Pty) Ltd</w:t>
      </w:r>
      <w:r>
        <w:rPr>
          <w:rFonts w:ascii="Times New Roman" w:hAnsi="Times New Roman" w:cs="Times New Roman"/>
          <w:sz w:val="24"/>
          <w:szCs w:val="24"/>
        </w:rPr>
        <w:t xml:space="preserve"> 1972(1) SA 464(D) at 469C-E; </w:t>
      </w:r>
      <w:r w:rsidRPr="005D038C">
        <w:rPr>
          <w:rFonts w:ascii="Times New Roman" w:hAnsi="Times New Roman" w:cs="Times New Roman"/>
          <w:i/>
          <w:iCs/>
          <w:sz w:val="24"/>
          <w:szCs w:val="24"/>
        </w:rPr>
        <w:t xml:space="preserve">Pearson </w:t>
      </w:r>
      <w:r w:rsidRPr="005D038C">
        <w:rPr>
          <w:rFonts w:ascii="Times New Roman" w:hAnsi="Times New Roman" w:cs="Times New Roman"/>
          <w:sz w:val="24"/>
          <w:szCs w:val="24"/>
        </w:rPr>
        <w:t>v</w:t>
      </w:r>
      <w:r w:rsidRPr="005D038C">
        <w:rPr>
          <w:rFonts w:ascii="Times New Roman" w:hAnsi="Times New Roman" w:cs="Times New Roman"/>
          <w:i/>
          <w:iCs/>
          <w:sz w:val="24"/>
          <w:szCs w:val="24"/>
        </w:rPr>
        <w:t xml:space="preserve"> Magrep Investments (Pty) Ltd </w:t>
      </w:r>
      <w:r>
        <w:rPr>
          <w:rFonts w:ascii="Times New Roman" w:hAnsi="Times New Roman" w:cs="Times New Roman"/>
          <w:sz w:val="24"/>
          <w:szCs w:val="24"/>
        </w:rPr>
        <w:t>1975(1) SA186 (D).</w:t>
      </w:r>
    </w:p>
    <w:p w:rsidR="00602391" w:rsidRDefault="00602391"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failure to establish a </w:t>
      </w:r>
      <w:r w:rsidRPr="00B35A49">
        <w:rPr>
          <w:rFonts w:ascii="Times New Roman" w:hAnsi="Times New Roman" w:cs="Times New Roman"/>
          <w:i/>
          <w:iCs/>
          <w:sz w:val="24"/>
          <w:szCs w:val="24"/>
        </w:rPr>
        <w:t>prima facie</w:t>
      </w:r>
      <w:r>
        <w:rPr>
          <w:rFonts w:ascii="Times New Roman" w:hAnsi="Times New Roman" w:cs="Times New Roman"/>
          <w:sz w:val="24"/>
          <w:szCs w:val="24"/>
        </w:rPr>
        <w:t xml:space="preserve"> right means that the application for an interim interdict cannot succeed.</w:t>
      </w:r>
    </w:p>
    <w:p w:rsidR="00602391" w:rsidRDefault="00602391"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requirement to be established is that there is a </w:t>
      </w:r>
      <w:r w:rsidR="001634F2">
        <w:rPr>
          <w:rFonts w:ascii="Times New Roman" w:hAnsi="Times New Roman" w:cs="Times New Roman"/>
          <w:sz w:val="24"/>
          <w:szCs w:val="24"/>
        </w:rPr>
        <w:t>well-grounded</w:t>
      </w:r>
      <w:r>
        <w:rPr>
          <w:rFonts w:ascii="Times New Roman" w:hAnsi="Times New Roman" w:cs="Times New Roman"/>
          <w:sz w:val="24"/>
          <w:szCs w:val="24"/>
        </w:rPr>
        <w:t xml:space="preserve"> apprehension of irreparable harm if the interim relief is not granted and the applicant ultimately suc</w:t>
      </w:r>
      <w:r w:rsidR="00263D89">
        <w:rPr>
          <w:rFonts w:ascii="Times New Roman" w:hAnsi="Times New Roman" w:cs="Times New Roman"/>
          <w:sz w:val="24"/>
          <w:szCs w:val="24"/>
        </w:rPr>
        <w:t>ceeds in establishing its right</w:t>
      </w:r>
      <w:r>
        <w:rPr>
          <w:rFonts w:ascii="Times New Roman" w:hAnsi="Times New Roman" w:cs="Times New Roman"/>
          <w:sz w:val="24"/>
          <w:szCs w:val="24"/>
        </w:rPr>
        <w:t xml:space="preserve">.  In </w:t>
      </w:r>
      <w:r w:rsidRPr="00B35A49">
        <w:rPr>
          <w:rFonts w:ascii="Times New Roman" w:hAnsi="Times New Roman" w:cs="Times New Roman"/>
          <w:i/>
          <w:iCs/>
          <w:sz w:val="24"/>
          <w:szCs w:val="24"/>
        </w:rPr>
        <w:t>casu</w:t>
      </w:r>
      <w:r>
        <w:rPr>
          <w:rFonts w:ascii="Times New Roman" w:hAnsi="Times New Roman" w:cs="Times New Roman"/>
          <w:sz w:val="24"/>
          <w:szCs w:val="24"/>
        </w:rPr>
        <w:t xml:space="preserve">, that which the applicant would reasonably apprehend has already taken place, since the property has been transferred from the fourth respondent to the first respondent.  The proposed transfer of the </w:t>
      </w:r>
      <w:r w:rsidR="00B8405F">
        <w:rPr>
          <w:rFonts w:ascii="Times New Roman" w:hAnsi="Times New Roman" w:cs="Times New Roman"/>
          <w:sz w:val="24"/>
          <w:szCs w:val="24"/>
        </w:rPr>
        <w:t>sub</w:t>
      </w:r>
      <w:r w:rsidR="00263D89">
        <w:rPr>
          <w:rFonts w:ascii="Times New Roman" w:hAnsi="Times New Roman" w:cs="Times New Roman"/>
          <w:sz w:val="24"/>
          <w:szCs w:val="24"/>
        </w:rPr>
        <w:t>division</w:t>
      </w:r>
      <w:r>
        <w:rPr>
          <w:rFonts w:ascii="Times New Roman" w:hAnsi="Times New Roman" w:cs="Times New Roman"/>
          <w:sz w:val="24"/>
          <w:szCs w:val="24"/>
        </w:rPr>
        <w:t xml:space="preserve"> to the second respondent is not irreparable harm because it is not irreversible if the applicant ultimately proves ownership of the property.  There is no suggestion that if the second respondent takes transfer it will dispose of the property.   After all, land is not a consumable good that would be depleted or altered in its substance by the transfer of the subdivision to the second respondent.</w:t>
      </w:r>
    </w:p>
    <w:p w:rsidR="00602391" w:rsidRDefault="00602391"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balance of convenience does not favour the granting of the interim relief.  The absence of irremediable harm to the applicant if the interdict is not granted weighs against the relief that is being sought.</w:t>
      </w:r>
    </w:p>
    <w:p w:rsidR="00602391" w:rsidRDefault="001634F2"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2391">
        <w:rPr>
          <w:rFonts w:ascii="Times New Roman" w:hAnsi="Times New Roman" w:cs="Times New Roman"/>
          <w:sz w:val="24"/>
          <w:szCs w:val="24"/>
        </w:rPr>
        <w:t xml:space="preserve">This </w:t>
      </w:r>
      <w:r>
        <w:rPr>
          <w:rFonts w:ascii="Times New Roman" w:hAnsi="Times New Roman" w:cs="Times New Roman"/>
          <w:sz w:val="24"/>
          <w:szCs w:val="24"/>
        </w:rPr>
        <w:t>is</w:t>
      </w:r>
      <w:r w:rsidR="00602391">
        <w:rPr>
          <w:rFonts w:ascii="Times New Roman" w:hAnsi="Times New Roman" w:cs="Times New Roman"/>
          <w:sz w:val="24"/>
          <w:szCs w:val="24"/>
        </w:rPr>
        <w:t xml:space="preserve"> not a case in which there is no alternative remedy.  If the applicant succeeds in the main matter to prove its ownership, then whatever transfer would have taken place can be reversed, and the effect of the indicatory action is to entitle the owner to recover the property from whoever might be in possession of it.  There are therefore adequate remedies to restore both possession and ownership if the applicant was to succeed in the main case.</w:t>
      </w:r>
    </w:p>
    <w:p w:rsidR="00602391" w:rsidRDefault="001634F2"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2391">
        <w:rPr>
          <w:rFonts w:ascii="Times New Roman" w:hAnsi="Times New Roman" w:cs="Times New Roman"/>
          <w:sz w:val="24"/>
          <w:szCs w:val="24"/>
        </w:rPr>
        <w:t xml:space="preserve">As for costs, the general rule is that these must follow the cause. No argument was submitted to justify a different approach.     </w:t>
      </w:r>
    </w:p>
    <w:p w:rsidR="00602391" w:rsidRDefault="00602391" w:rsidP="006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t>
      </w:r>
      <w:r w:rsidRPr="001634F2">
        <w:rPr>
          <w:rFonts w:ascii="Times New Roman" w:hAnsi="Times New Roman" w:cs="Times New Roman"/>
          <w:b/>
          <w:sz w:val="24"/>
          <w:szCs w:val="24"/>
        </w:rPr>
        <w:t>IT IS ORDERED THAT</w:t>
      </w:r>
      <w:r>
        <w:rPr>
          <w:rFonts w:ascii="Times New Roman" w:hAnsi="Times New Roman" w:cs="Times New Roman"/>
          <w:sz w:val="24"/>
          <w:szCs w:val="24"/>
        </w:rPr>
        <w:t>:</w:t>
      </w:r>
    </w:p>
    <w:p w:rsidR="00602391" w:rsidRDefault="00602391" w:rsidP="0060239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602391" w:rsidRDefault="00602391" w:rsidP="0060239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shall pay the costs.</w:t>
      </w:r>
    </w:p>
    <w:p w:rsidR="00602391" w:rsidRDefault="00602391" w:rsidP="00602391">
      <w:pPr>
        <w:spacing w:after="0" w:line="360" w:lineRule="auto"/>
        <w:jc w:val="both"/>
        <w:rPr>
          <w:rFonts w:ascii="Times New Roman" w:hAnsi="Times New Roman" w:cs="Times New Roman"/>
          <w:sz w:val="24"/>
          <w:szCs w:val="24"/>
        </w:rPr>
      </w:pPr>
    </w:p>
    <w:p w:rsidR="001634F2" w:rsidRDefault="001634F2" w:rsidP="00602391">
      <w:pPr>
        <w:spacing w:after="0" w:line="360" w:lineRule="auto"/>
        <w:jc w:val="both"/>
        <w:rPr>
          <w:rFonts w:ascii="Times New Roman" w:hAnsi="Times New Roman" w:cs="Times New Roman"/>
          <w:sz w:val="24"/>
          <w:szCs w:val="24"/>
        </w:rPr>
      </w:pPr>
    </w:p>
    <w:p w:rsidR="00602391" w:rsidRDefault="00602391" w:rsidP="00602391">
      <w:pPr>
        <w:spacing w:after="0" w:line="360" w:lineRule="auto"/>
        <w:jc w:val="both"/>
        <w:rPr>
          <w:rFonts w:ascii="Times New Roman" w:hAnsi="Times New Roman" w:cs="Times New Roman"/>
          <w:sz w:val="24"/>
          <w:szCs w:val="24"/>
        </w:rPr>
      </w:pPr>
      <w:r w:rsidRPr="007A505E">
        <w:rPr>
          <w:rFonts w:ascii="Times New Roman" w:hAnsi="Times New Roman" w:cs="Times New Roman"/>
          <w:b/>
          <w:bCs/>
          <w:smallCaps/>
          <w:sz w:val="24"/>
          <w:szCs w:val="24"/>
        </w:rPr>
        <w:t>Zhou</w:t>
      </w:r>
      <w:r w:rsidRPr="007A505E">
        <w:rPr>
          <w:rFonts w:ascii="Times New Roman" w:hAnsi="Times New Roman" w:cs="Times New Roman"/>
          <w:b/>
          <w:bCs/>
          <w:sz w:val="24"/>
          <w:szCs w:val="24"/>
        </w:rPr>
        <w:t xml:space="preserve"> J</w:t>
      </w:r>
      <w:r>
        <w:rPr>
          <w:rFonts w:ascii="Times New Roman" w:hAnsi="Times New Roman" w:cs="Times New Roman"/>
          <w:sz w:val="24"/>
          <w:szCs w:val="24"/>
        </w:rPr>
        <w:t>:…………………………………..</w:t>
      </w:r>
    </w:p>
    <w:p w:rsidR="00602391" w:rsidRDefault="00602391" w:rsidP="00602391">
      <w:pPr>
        <w:spacing w:after="0" w:line="360" w:lineRule="auto"/>
        <w:jc w:val="both"/>
        <w:rPr>
          <w:rFonts w:ascii="Times New Roman" w:hAnsi="Times New Roman" w:cs="Times New Roman"/>
          <w:sz w:val="24"/>
          <w:szCs w:val="24"/>
        </w:rPr>
      </w:pPr>
    </w:p>
    <w:p w:rsidR="00602391" w:rsidRDefault="00602391" w:rsidP="00602391">
      <w:pPr>
        <w:spacing w:after="0" w:line="360" w:lineRule="auto"/>
        <w:jc w:val="both"/>
        <w:rPr>
          <w:rFonts w:ascii="Times New Roman" w:hAnsi="Times New Roman" w:cs="Times New Roman"/>
          <w:sz w:val="24"/>
          <w:szCs w:val="24"/>
        </w:rPr>
      </w:pPr>
    </w:p>
    <w:p w:rsidR="00602391" w:rsidRDefault="00602391" w:rsidP="00602391">
      <w:pPr>
        <w:spacing w:after="0" w:line="240" w:lineRule="auto"/>
        <w:jc w:val="both"/>
        <w:rPr>
          <w:rFonts w:ascii="Times New Roman" w:hAnsi="Times New Roman" w:cs="Times New Roman"/>
          <w:sz w:val="24"/>
          <w:szCs w:val="24"/>
        </w:rPr>
      </w:pPr>
      <w:r w:rsidRPr="007A505E">
        <w:rPr>
          <w:rFonts w:ascii="Times New Roman" w:hAnsi="Times New Roman" w:cs="Times New Roman"/>
          <w:i/>
          <w:iCs/>
          <w:sz w:val="24"/>
          <w:szCs w:val="24"/>
        </w:rPr>
        <w:t>Gama &amp; Associates</w:t>
      </w:r>
      <w:r>
        <w:rPr>
          <w:rFonts w:ascii="Times New Roman" w:hAnsi="Times New Roman" w:cs="Times New Roman"/>
          <w:sz w:val="24"/>
          <w:szCs w:val="24"/>
        </w:rPr>
        <w:t>, applicant’s legal practitioners</w:t>
      </w:r>
    </w:p>
    <w:p w:rsidR="007A1A24" w:rsidRPr="00582B14" w:rsidRDefault="00602391" w:rsidP="001634F2">
      <w:pPr>
        <w:spacing w:after="0" w:line="240" w:lineRule="auto"/>
        <w:jc w:val="both"/>
        <w:rPr>
          <w:rFonts w:ascii="Times New Roman" w:hAnsi="Times New Roman" w:cs="Times New Roman"/>
          <w:sz w:val="24"/>
          <w:szCs w:val="24"/>
        </w:rPr>
      </w:pPr>
      <w:r w:rsidRPr="007A505E">
        <w:rPr>
          <w:rFonts w:ascii="Times New Roman" w:hAnsi="Times New Roman" w:cs="Times New Roman"/>
          <w:i/>
          <w:iCs/>
          <w:sz w:val="24"/>
          <w:szCs w:val="24"/>
        </w:rPr>
        <w:t>Samukange &amp; Hungwe</w:t>
      </w:r>
      <w:r>
        <w:rPr>
          <w:rFonts w:ascii="Times New Roman" w:hAnsi="Times New Roman" w:cs="Times New Roman"/>
          <w:sz w:val="24"/>
          <w:szCs w:val="24"/>
        </w:rPr>
        <w:t>, second respondent’s legal practitioners</w:t>
      </w:r>
    </w:p>
    <w:sectPr w:rsidR="007A1A24" w:rsidRPr="00582B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26" w:rsidRDefault="001B3526" w:rsidP="00ED58DC">
      <w:pPr>
        <w:spacing w:after="0" w:line="240" w:lineRule="auto"/>
      </w:pPr>
      <w:r>
        <w:separator/>
      </w:r>
    </w:p>
  </w:endnote>
  <w:endnote w:type="continuationSeparator" w:id="0">
    <w:p w:rsidR="001B3526" w:rsidRDefault="001B3526" w:rsidP="00ED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26" w:rsidRDefault="001B3526" w:rsidP="00ED58DC">
      <w:pPr>
        <w:spacing w:after="0" w:line="240" w:lineRule="auto"/>
      </w:pPr>
      <w:r>
        <w:separator/>
      </w:r>
    </w:p>
  </w:footnote>
  <w:footnote w:type="continuationSeparator" w:id="0">
    <w:p w:rsidR="001B3526" w:rsidRDefault="001B3526" w:rsidP="00ED5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038630"/>
      <w:docPartObj>
        <w:docPartGallery w:val="Page Numbers (Top of Page)"/>
        <w:docPartUnique/>
      </w:docPartObj>
    </w:sdtPr>
    <w:sdtEndPr>
      <w:rPr>
        <w:noProof/>
      </w:rPr>
    </w:sdtEndPr>
    <w:sdtContent>
      <w:p w:rsidR="00582B14" w:rsidRDefault="00582B14">
        <w:pPr>
          <w:pStyle w:val="Header"/>
          <w:jc w:val="right"/>
          <w:rPr>
            <w:noProof/>
          </w:rPr>
        </w:pPr>
        <w:r>
          <w:fldChar w:fldCharType="begin"/>
        </w:r>
        <w:r>
          <w:instrText xml:space="preserve"> PAGE   \* MERGEFORMAT </w:instrText>
        </w:r>
        <w:r>
          <w:fldChar w:fldCharType="separate"/>
        </w:r>
        <w:r w:rsidR="008A6EC7">
          <w:rPr>
            <w:noProof/>
          </w:rPr>
          <w:t>1</w:t>
        </w:r>
        <w:r>
          <w:rPr>
            <w:noProof/>
          </w:rPr>
          <w:fldChar w:fldCharType="end"/>
        </w:r>
      </w:p>
      <w:p w:rsidR="00582B14" w:rsidRDefault="00582B14">
        <w:pPr>
          <w:pStyle w:val="Header"/>
          <w:jc w:val="right"/>
          <w:rPr>
            <w:noProof/>
          </w:rPr>
        </w:pPr>
        <w:r>
          <w:rPr>
            <w:noProof/>
          </w:rPr>
          <w:t>HH</w:t>
        </w:r>
        <w:r w:rsidR="00D700EF">
          <w:rPr>
            <w:noProof/>
          </w:rPr>
          <w:t xml:space="preserve"> </w:t>
        </w:r>
        <w:r w:rsidR="00B8405F">
          <w:rPr>
            <w:noProof/>
          </w:rPr>
          <w:t>440-24</w:t>
        </w:r>
      </w:p>
      <w:p w:rsidR="00582B14" w:rsidRDefault="00304E83">
        <w:pPr>
          <w:pStyle w:val="Header"/>
          <w:jc w:val="right"/>
        </w:pPr>
        <w:r>
          <w:rPr>
            <w:noProof/>
          </w:rPr>
          <w:t xml:space="preserve">HCH </w:t>
        </w:r>
        <w:r w:rsidR="00263D89">
          <w:rPr>
            <w:noProof/>
          </w:rPr>
          <w:t>3634/24</w:t>
        </w:r>
      </w:p>
    </w:sdtContent>
  </w:sdt>
  <w:p w:rsidR="00ED58DC" w:rsidRDefault="00ED58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6635"/>
    <w:multiLevelType w:val="hybridMultilevel"/>
    <w:tmpl w:val="278A4D4A"/>
    <w:lvl w:ilvl="0" w:tplc="04090011">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1B8E5111"/>
    <w:multiLevelType w:val="hybridMultilevel"/>
    <w:tmpl w:val="E1E6F67C"/>
    <w:lvl w:ilvl="0" w:tplc="4AEA4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22A6C"/>
    <w:multiLevelType w:val="hybridMultilevel"/>
    <w:tmpl w:val="B980F5CE"/>
    <w:lvl w:ilvl="0" w:tplc="F2462A2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B871F7A"/>
    <w:multiLevelType w:val="hybridMultilevel"/>
    <w:tmpl w:val="0DDC0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F73CC"/>
    <w:multiLevelType w:val="hybridMultilevel"/>
    <w:tmpl w:val="72AC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540AA4"/>
    <w:multiLevelType w:val="hybridMultilevel"/>
    <w:tmpl w:val="F5F8E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802004"/>
    <w:multiLevelType w:val="hybridMultilevel"/>
    <w:tmpl w:val="B8E0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28"/>
    <w:rsid w:val="000476FE"/>
    <w:rsid w:val="00062985"/>
    <w:rsid w:val="00083B3B"/>
    <w:rsid w:val="00084D7A"/>
    <w:rsid w:val="00111739"/>
    <w:rsid w:val="001200FB"/>
    <w:rsid w:val="001634F2"/>
    <w:rsid w:val="001A2B40"/>
    <w:rsid w:val="001B3526"/>
    <w:rsid w:val="001C268F"/>
    <w:rsid w:val="001F57A7"/>
    <w:rsid w:val="001F5BEF"/>
    <w:rsid w:val="00213128"/>
    <w:rsid w:val="00250F3E"/>
    <w:rsid w:val="00260719"/>
    <w:rsid w:val="00263D89"/>
    <w:rsid w:val="0027363A"/>
    <w:rsid w:val="002804CD"/>
    <w:rsid w:val="002E5EDB"/>
    <w:rsid w:val="00304E83"/>
    <w:rsid w:val="00353D7C"/>
    <w:rsid w:val="003A176B"/>
    <w:rsid w:val="003B2DEE"/>
    <w:rsid w:val="003C54A8"/>
    <w:rsid w:val="003D6628"/>
    <w:rsid w:val="0041547C"/>
    <w:rsid w:val="00481C36"/>
    <w:rsid w:val="00484FE8"/>
    <w:rsid w:val="004928AE"/>
    <w:rsid w:val="004C1206"/>
    <w:rsid w:val="00544CE2"/>
    <w:rsid w:val="00556075"/>
    <w:rsid w:val="00582B14"/>
    <w:rsid w:val="005C7FFE"/>
    <w:rsid w:val="005E3E3A"/>
    <w:rsid w:val="005E405D"/>
    <w:rsid w:val="005E46DD"/>
    <w:rsid w:val="005F56B4"/>
    <w:rsid w:val="00602391"/>
    <w:rsid w:val="0065375C"/>
    <w:rsid w:val="00662887"/>
    <w:rsid w:val="00697748"/>
    <w:rsid w:val="006A71A0"/>
    <w:rsid w:val="006B237D"/>
    <w:rsid w:val="006D0444"/>
    <w:rsid w:val="006F0F78"/>
    <w:rsid w:val="007632B0"/>
    <w:rsid w:val="007710C0"/>
    <w:rsid w:val="00797A64"/>
    <w:rsid w:val="007A17CD"/>
    <w:rsid w:val="007A1A24"/>
    <w:rsid w:val="007A589F"/>
    <w:rsid w:val="007B1768"/>
    <w:rsid w:val="007C5CA5"/>
    <w:rsid w:val="007D78A7"/>
    <w:rsid w:val="00804C2F"/>
    <w:rsid w:val="00813CA7"/>
    <w:rsid w:val="0083650A"/>
    <w:rsid w:val="008A6EC7"/>
    <w:rsid w:val="008C16CA"/>
    <w:rsid w:val="008C25EE"/>
    <w:rsid w:val="008C4D8D"/>
    <w:rsid w:val="008E75DD"/>
    <w:rsid w:val="008F3114"/>
    <w:rsid w:val="0091035A"/>
    <w:rsid w:val="0093507F"/>
    <w:rsid w:val="0095537C"/>
    <w:rsid w:val="0098365D"/>
    <w:rsid w:val="009A2D90"/>
    <w:rsid w:val="009A7714"/>
    <w:rsid w:val="009C14A3"/>
    <w:rsid w:val="009D2776"/>
    <w:rsid w:val="009D40AB"/>
    <w:rsid w:val="00A3376B"/>
    <w:rsid w:val="00A41E5A"/>
    <w:rsid w:val="00A52D7D"/>
    <w:rsid w:val="00A973C2"/>
    <w:rsid w:val="00AA07AB"/>
    <w:rsid w:val="00AA4EE8"/>
    <w:rsid w:val="00B3452D"/>
    <w:rsid w:val="00B51035"/>
    <w:rsid w:val="00B672EB"/>
    <w:rsid w:val="00B8405F"/>
    <w:rsid w:val="00BD3C72"/>
    <w:rsid w:val="00C53D04"/>
    <w:rsid w:val="00C571C0"/>
    <w:rsid w:val="00C609F8"/>
    <w:rsid w:val="00CD2C8B"/>
    <w:rsid w:val="00D22B9D"/>
    <w:rsid w:val="00D65411"/>
    <w:rsid w:val="00D700EF"/>
    <w:rsid w:val="00D733AB"/>
    <w:rsid w:val="00DC0883"/>
    <w:rsid w:val="00DC3B7F"/>
    <w:rsid w:val="00E04FF0"/>
    <w:rsid w:val="00E21F68"/>
    <w:rsid w:val="00E52934"/>
    <w:rsid w:val="00E5491A"/>
    <w:rsid w:val="00E72102"/>
    <w:rsid w:val="00E940E9"/>
    <w:rsid w:val="00EC41E6"/>
    <w:rsid w:val="00ED58DC"/>
    <w:rsid w:val="00F276E2"/>
    <w:rsid w:val="00F45208"/>
    <w:rsid w:val="00F72868"/>
    <w:rsid w:val="00F84D03"/>
    <w:rsid w:val="00FC55DD"/>
    <w:rsid w:val="00FD56EF"/>
    <w:rsid w:val="00FF27E4"/>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0F3F-A2C6-4DE2-8CD6-725FFA36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DC"/>
  </w:style>
  <w:style w:type="paragraph" w:styleId="Footer">
    <w:name w:val="footer"/>
    <w:basedOn w:val="Normal"/>
    <w:link w:val="FooterChar"/>
    <w:uiPriority w:val="99"/>
    <w:unhideWhenUsed/>
    <w:rsid w:val="00ED5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DC"/>
  </w:style>
  <w:style w:type="paragraph" w:styleId="ListParagraph">
    <w:name w:val="List Paragraph"/>
    <w:basedOn w:val="Normal"/>
    <w:uiPriority w:val="34"/>
    <w:qFormat/>
    <w:rsid w:val="001C268F"/>
    <w:pPr>
      <w:ind w:left="720"/>
      <w:contextualSpacing/>
    </w:pPr>
  </w:style>
  <w:style w:type="paragraph" w:styleId="NoSpacing">
    <w:name w:val="No Spacing"/>
    <w:uiPriority w:val="1"/>
    <w:qFormat/>
    <w:rsid w:val="003A176B"/>
    <w:pPr>
      <w:spacing w:after="0" w:line="240" w:lineRule="auto"/>
    </w:pPr>
    <w:rPr>
      <w:kern w:val="2"/>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2024-09-27T14:25:00Z</cp:lastPrinted>
  <dcterms:created xsi:type="dcterms:W3CDTF">2024-10-04T09:35:00Z</dcterms:created>
  <dcterms:modified xsi:type="dcterms:W3CDTF">2024-10-04T09:35:00Z</dcterms:modified>
</cp:coreProperties>
</file>