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C10" w:rsidRDefault="003B4C10">
      <w:pPr>
        <w:rPr>
          <w:rFonts w:ascii="Times New Roman" w:hAnsi="Times New Roman" w:cs="Times New Roman"/>
          <w:sz w:val="24"/>
          <w:szCs w:val="24"/>
        </w:rPr>
      </w:pPr>
      <w:bookmarkStart w:id="0" w:name="_GoBack"/>
      <w:bookmarkEnd w:id="0"/>
    </w:p>
    <w:p w:rsidR="00235446" w:rsidRDefault="00235446" w:rsidP="00235446">
      <w:pPr>
        <w:spacing w:after="0" w:line="240" w:lineRule="auto"/>
        <w:rPr>
          <w:rFonts w:ascii="Times New Roman" w:hAnsi="Times New Roman" w:cs="Times New Roman"/>
          <w:sz w:val="24"/>
          <w:szCs w:val="24"/>
        </w:rPr>
      </w:pPr>
      <w:r>
        <w:rPr>
          <w:rFonts w:ascii="Times New Roman" w:hAnsi="Times New Roman" w:cs="Times New Roman"/>
          <w:sz w:val="24"/>
          <w:szCs w:val="24"/>
        </w:rPr>
        <w:t>EAGLE LITHIUM RESOURCES (PVT) LTD</w:t>
      </w:r>
    </w:p>
    <w:p w:rsidR="00235446" w:rsidRDefault="00235446" w:rsidP="0023544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235446" w:rsidRDefault="00235446" w:rsidP="00235446">
      <w:pPr>
        <w:spacing w:after="0" w:line="240" w:lineRule="auto"/>
        <w:rPr>
          <w:rFonts w:ascii="Times New Roman" w:hAnsi="Times New Roman" w:cs="Times New Roman"/>
          <w:sz w:val="24"/>
          <w:szCs w:val="24"/>
        </w:rPr>
      </w:pPr>
      <w:r>
        <w:rPr>
          <w:rFonts w:ascii="Times New Roman" w:hAnsi="Times New Roman" w:cs="Times New Roman"/>
          <w:sz w:val="24"/>
          <w:szCs w:val="24"/>
        </w:rPr>
        <w:t>PAUL MASAMVU</w:t>
      </w:r>
    </w:p>
    <w:p w:rsidR="00235446" w:rsidRDefault="00235446" w:rsidP="0023544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235446" w:rsidRDefault="00235446" w:rsidP="002354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PROVINCIAL MINING DIRECTOR MASHONALAND EAST </w:t>
      </w:r>
    </w:p>
    <w:p w:rsidR="00235446" w:rsidRDefault="00235446" w:rsidP="00235446">
      <w:pPr>
        <w:spacing w:after="0" w:line="240" w:lineRule="auto"/>
        <w:rPr>
          <w:rFonts w:ascii="Times New Roman" w:hAnsi="Times New Roman" w:cs="Times New Roman"/>
          <w:sz w:val="24"/>
          <w:szCs w:val="24"/>
        </w:rPr>
      </w:pPr>
      <w:r>
        <w:rPr>
          <w:rFonts w:ascii="Times New Roman" w:hAnsi="Times New Roman" w:cs="Times New Roman"/>
          <w:sz w:val="24"/>
          <w:szCs w:val="24"/>
        </w:rPr>
        <w:t>(MARONDERA) N.O</w:t>
      </w:r>
    </w:p>
    <w:p w:rsidR="00235446" w:rsidRDefault="00235446" w:rsidP="00235446">
      <w:pPr>
        <w:spacing w:after="0" w:line="240" w:lineRule="auto"/>
        <w:rPr>
          <w:rFonts w:ascii="Times New Roman" w:hAnsi="Times New Roman" w:cs="Times New Roman"/>
          <w:sz w:val="24"/>
          <w:szCs w:val="24"/>
        </w:rPr>
      </w:pPr>
    </w:p>
    <w:p w:rsidR="00235446" w:rsidRDefault="00235446" w:rsidP="00235446">
      <w:pPr>
        <w:spacing w:after="0" w:line="240" w:lineRule="auto"/>
        <w:rPr>
          <w:rFonts w:ascii="Times New Roman" w:hAnsi="Times New Roman" w:cs="Times New Roman"/>
          <w:sz w:val="24"/>
          <w:szCs w:val="24"/>
        </w:rPr>
      </w:pPr>
    </w:p>
    <w:p w:rsidR="00235446" w:rsidRDefault="00235446" w:rsidP="0023544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235446" w:rsidRDefault="00235446" w:rsidP="00235446">
      <w:pPr>
        <w:spacing w:after="0" w:line="240" w:lineRule="auto"/>
        <w:rPr>
          <w:rFonts w:ascii="Times New Roman" w:hAnsi="Times New Roman" w:cs="Times New Roman"/>
          <w:sz w:val="24"/>
          <w:szCs w:val="24"/>
        </w:rPr>
      </w:pPr>
      <w:r>
        <w:rPr>
          <w:rFonts w:ascii="Times New Roman" w:hAnsi="Times New Roman" w:cs="Times New Roman"/>
          <w:sz w:val="24"/>
          <w:szCs w:val="24"/>
        </w:rPr>
        <w:t>CHITAPI J</w:t>
      </w:r>
    </w:p>
    <w:p w:rsidR="00235446" w:rsidRDefault="00235446" w:rsidP="002354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28, 29 September </w:t>
      </w:r>
      <w:r w:rsidR="00A66C6A">
        <w:rPr>
          <w:rFonts w:ascii="Times New Roman" w:hAnsi="Times New Roman" w:cs="Times New Roman"/>
          <w:sz w:val="24"/>
          <w:szCs w:val="24"/>
        </w:rPr>
        <w:t>&amp;</w:t>
      </w:r>
      <w:r>
        <w:rPr>
          <w:rFonts w:ascii="Times New Roman" w:hAnsi="Times New Roman" w:cs="Times New Roman"/>
          <w:sz w:val="24"/>
          <w:szCs w:val="24"/>
        </w:rPr>
        <w:t xml:space="preserve"> </w:t>
      </w:r>
      <w:r w:rsidR="00A66C6A">
        <w:rPr>
          <w:rFonts w:ascii="Times New Roman" w:hAnsi="Times New Roman" w:cs="Times New Roman"/>
          <w:sz w:val="24"/>
          <w:szCs w:val="24"/>
        </w:rPr>
        <w:t>25</w:t>
      </w:r>
      <w:r>
        <w:rPr>
          <w:rFonts w:ascii="Times New Roman" w:hAnsi="Times New Roman" w:cs="Times New Roman"/>
          <w:sz w:val="24"/>
          <w:szCs w:val="24"/>
        </w:rPr>
        <w:t xml:space="preserve"> October 2023</w:t>
      </w:r>
    </w:p>
    <w:p w:rsidR="00235446" w:rsidRDefault="00235446" w:rsidP="00235446">
      <w:pPr>
        <w:spacing w:after="0" w:line="240" w:lineRule="auto"/>
        <w:rPr>
          <w:rFonts w:ascii="Times New Roman" w:hAnsi="Times New Roman" w:cs="Times New Roman"/>
          <w:sz w:val="24"/>
          <w:szCs w:val="24"/>
        </w:rPr>
      </w:pPr>
    </w:p>
    <w:p w:rsidR="00235446" w:rsidRDefault="00235446" w:rsidP="00235446">
      <w:pPr>
        <w:spacing w:after="0" w:line="240" w:lineRule="auto"/>
        <w:rPr>
          <w:rFonts w:ascii="Times New Roman" w:hAnsi="Times New Roman" w:cs="Times New Roman"/>
          <w:sz w:val="24"/>
          <w:szCs w:val="24"/>
        </w:rPr>
      </w:pPr>
    </w:p>
    <w:p w:rsidR="00235446" w:rsidRPr="00235446" w:rsidRDefault="00235446" w:rsidP="00235446">
      <w:pPr>
        <w:spacing w:after="0" w:line="240" w:lineRule="auto"/>
        <w:rPr>
          <w:rFonts w:ascii="Times New Roman" w:hAnsi="Times New Roman" w:cs="Times New Roman"/>
          <w:b/>
          <w:sz w:val="24"/>
          <w:szCs w:val="24"/>
        </w:rPr>
      </w:pPr>
      <w:r w:rsidRPr="00235446">
        <w:rPr>
          <w:rFonts w:ascii="Times New Roman" w:hAnsi="Times New Roman" w:cs="Times New Roman"/>
          <w:b/>
          <w:sz w:val="24"/>
          <w:szCs w:val="24"/>
        </w:rPr>
        <w:t>Urgent Chamber Application</w:t>
      </w:r>
    </w:p>
    <w:p w:rsidR="00235446" w:rsidRDefault="00235446" w:rsidP="00235446">
      <w:pPr>
        <w:spacing w:after="0" w:line="240" w:lineRule="auto"/>
        <w:rPr>
          <w:rFonts w:ascii="Times New Roman" w:hAnsi="Times New Roman" w:cs="Times New Roman"/>
          <w:sz w:val="24"/>
          <w:szCs w:val="24"/>
        </w:rPr>
      </w:pPr>
    </w:p>
    <w:p w:rsidR="00235446" w:rsidRDefault="00235446" w:rsidP="00235446">
      <w:pPr>
        <w:spacing w:after="0" w:line="240" w:lineRule="auto"/>
        <w:rPr>
          <w:rFonts w:ascii="Times New Roman" w:hAnsi="Times New Roman" w:cs="Times New Roman"/>
          <w:sz w:val="24"/>
          <w:szCs w:val="24"/>
        </w:rPr>
      </w:pPr>
    </w:p>
    <w:p w:rsidR="00235446" w:rsidRDefault="00235446" w:rsidP="00235446">
      <w:pPr>
        <w:spacing w:after="0" w:line="240" w:lineRule="auto"/>
        <w:rPr>
          <w:rFonts w:ascii="Times New Roman" w:hAnsi="Times New Roman" w:cs="Times New Roman"/>
          <w:sz w:val="24"/>
          <w:szCs w:val="24"/>
        </w:rPr>
      </w:pPr>
      <w:r w:rsidRPr="00235446">
        <w:rPr>
          <w:rFonts w:ascii="Times New Roman" w:hAnsi="Times New Roman" w:cs="Times New Roman"/>
          <w:i/>
          <w:sz w:val="24"/>
          <w:szCs w:val="24"/>
        </w:rPr>
        <w:t>L Uriri</w:t>
      </w:r>
      <w:r>
        <w:rPr>
          <w:rFonts w:ascii="Times New Roman" w:hAnsi="Times New Roman" w:cs="Times New Roman"/>
          <w:sz w:val="24"/>
          <w:szCs w:val="24"/>
        </w:rPr>
        <w:t>, for the applicant</w:t>
      </w:r>
    </w:p>
    <w:p w:rsidR="00235446" w:rsidRDefault="00235446" w:rsidP="00235446">
      <w:pPr>
        <w:spacing w:after="0" w:line="240" w:lineRule="auto"/>
        <w:rPr>
          <w:rFonts w:ascii="Times New Roman" w:hAnsi="Times New Roman" w:cs="Times New Roman"/>
          <w:sz w:val="24"/>
          <w:szCs w:val="24"/>
        </w:rPr>
      </w:pPr>
      <w:r w:rsidRPr="00235446">
        <w:rPr>
          <w:rFonts w:ascii="Times New Roman" w:hAnsi="Times New Roman" w:cs="Times New Roman"/>
          <w:i/>
          <w:sz w:val="24"/>
          <w:szCs w:val="24"/>
        </w:rPr>
        <w:t>D C Ngwerume</w:t>
      </w:r>
      <w:r>
        <w:rPr>
          <w:rFonts w:ascii="Times New Roman" w:hAnsi="Times New Roman" w:cs="Times New Roman"/>
          <w:sz w:val="24"/>
          <w:szCs w:val="24"/>
        </w:rPr>
        <w:t>, for the respondents</w:t>
      </w:r>
    </w:p>
    <w:p w:rsidR="00235446" w:rsidRDefault="00235446" w:rsidP="00235446">
      <w:pPr>
        <w:spacing w:after="0" w:line="240" w:lineRule="auto"/>
        <w:rPr>
          <w:rFonts w:ascii="Times New Roman" w:hAnsi="Times New Roman" w:cs="Times New Roman"/>
          <w:sz w:val="24"/>
          <w:szCs w:val="24"/>
        </w:rPr>
      </w:pPr>
    </w:p>
    <w:p w:rsidR="00235446" w:rsidRDefault="00235446" w:rsidP="00235446">
      <w:pPr>
        <w:spacing w:after="0" w:line="240" w:lineRule="auto"/>
        <w:rPr>
          <w:rFonts w:ascii="Times New Roman" w:hAnsi="Times New Roman" w:cs="Times New Roman"/>
          <w:sz w:val="24"/>
          <w:szCs w:val="24"/>
        </w:rPr>
      </w:pPr>
    </w:p>
    <w:p w:rsidR="00235446" w:rsidRDefault="00235446" w:rsidP="00235446">
      <w:pPr>
        <w:spacing w:after="0" w:line="360" w:lineRule="auto"/>
        <w:ind w:firstLine="720"/>
        <w:jc w:val="both"/>
        <w:rPr>
          <w:rFonts w:ascii="Times New Roman" w:hAnsi="Times New Roman" w:cs="Times New Roman"/>
          <w:sz w:val="24"/>
          <w:szCs w:val="24"/>
        </w:rPr>
      </w:pPr>
      <w:r w:rsidRPr="00235446">
        <w:rPr>
          <w:rFonts w:ascii="Times New Roman" w:hAnsi="Times New Roman" w:cs="Times New Roman"/>
          <w:b/>
          <w:sz w:val="24"/>
          <w:szCs w:val="24"/>
        </w:rPr>
        <w:t>CHITAPI J</w:t>
      </w:r>
      <w:r>
        <w:rPr>
          <w:rFonts w:ascii="Times New Roman" w:hAnsi="Times New Roman" w:cs="Times New Roman"/>
          <w:sz w:val="24"/>
          <w:szCs w:val="24"/>
        </w:rPr>
        <w:t xml:space="preserve">:     In this </w:t>
      </w:r>
      <w:r w:rsidR="0054303B">
        <w:rPr>
          <w:rFonts w:ascii="Times New Roman" w:hAnsi="Times New Roman" w:cs="Times New Roman"/>
          <w:sz w:val="24"/>
          <w:szCs w:val="24"/>
        </w:rPr>
        <w:t>u</w:t>
      </w:r>
      <w:r>
        <w:rPr>
          <w:rFonts w:ascii="Times New Roman" w:hAnsi="Times New Roman" w:cs="Times New Roman"/>
          <w:sz w:val="24"/>
          <w:szCs w:val="24"/>
        </w:rPr>
        <w:t xml:space="preserve">rgent </w:t>
      </w:r>
      <w:r w:rsidR="0054303B">
        <w:rPr>
          <w:rFonts w:ascii="Times New Roman" w:hAnsi="Times New Roman" w:cs="Times New Roman"/>
          <w:sz w:val="24"/>
          <w:szCs w:val="24"/>
        </w:rPr>
        <w:t>c</w:t>
      </w:r>
      <w:r>
        <w:rPr>
          <w:rFonts w:ascii="Times New Roman" w:hAnsi="Times New Roman" w:cs="Times New Roman"/>
          <w:sz w:val="24"/>
          <w:szCs w:val="24"/>
        </w:rPr>
        <w:t>hamber application, the parties filed heads of argument after the applicant was granted leave to file an answering affidavit</w:t>
      </w:r>
      <w:r w:rsidR="0054303B">
        <w:rPr>
          <w:rFonts w:ascii="Times New Roman" w:hAnsi="Times New Roman" w:cs="Times New Roman"/>
          <w:sz w:val="24"/>
          <w:szCs w:val="24"/>
        </w:rPr>
        <w:t xml:space="preserve"> and did so</w:t>
      </w:r>
      <w:r>
        <w:rPr>
          <w:rFonts w:ascii="Times New Roman" w:hAnsi="Times New Roman" w:cs="Times New Roman"/>
          <w:sz w:val="24"/>
          <w:szCs w:val="24"/>
        </w:rPr>
        <w:t>.  The parties thereafter mutually agreed that I determine the application on the basis of the filed papers and heads of argument without convening a forma</w:t>
      </w:r>
      <w:r w:rsidR="003B0EA9">
        <w:rPr>
          <w:rFonts w:ascii="Times New Roman" w:hAnsi="Times New Roman" w:cs="Times New Roman"/>
          <w:sz w:val="24"/>
          <w:szCs w:val="24"/>
        </w:rPr>
        <w:t>l</w:t>
      </w:r>
      <w:r>
        <w:rPr>
          <w:rFonts w:ascii="Times New Roman" w:hAnsi="Times New Roman" w:cs="Times New Roman"/>
          <w:sz w:val="24"/>
          <w:szCs w:val="24"/>
        </w:rPr>
        <w:t xml:space="preserve"> hearing.</w:t>
      </w:r>
    </w:p>
    <w:p w:rsidR="00235446" w:rsidRDefault="00235446" w:rsidP="002354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and the first respondent as they are named </w:t>
      </w:r>
      <w:r w:rsidR="0054303B">
        <w:rPr>
          <w:rFonts w:ascii="Times New Roman" w:hAnsi="Times New Roman" w:cs="Times New Roman"/>
          <w:sz w:val="24"/>
          <w:szCs w:val="24"/>
        </w:rPr>
        <w:t>i</w:t>
      </w:r>
      <w:r>
        <w:rPr>
          <w:rFonts w:ascii="Times New Roman" w:hAnsi="Times New Roman" w:cs="Times New Roman"/>
          <w:sz w:val="24"/>
          <w:szCs w:val="24"/>
        </w:rPr>
        <w:t xml:space="preserve">n the </w:t>
      </w:r>
      <w:r w:rsidR="003B0EA9">
        <w:rPr>
          <w:rFonts w:ascii="Times New Roman" w:hAnsi="Times New Roman" w:cs="Times New Roman"/>
          <w:sz w:val="24"/>
          <w:szCs w:val="24"/>
        </w:rPr>
        <w:t>heading to the application are registered holders of what the applicant claims to be adjo</w:t>
      </w:r>
      <w:r w:rsidR="0054303B">
        <w:rPr>
          <w:rFonts w:ascii="Times New Roman" w:hAnsi="Times New Roman" w:cs="Times New Roman"/>
          <w:sz w:val="24"/>
          <w:szCs w:val="24"/>
        </w:rPr>
        <w:t>i</w:t>
      </w:r>
      <w:r w:rsidR="003B0EA9">
        <w:rPr>
          <w:rFonts w:ascii="Times New Roman" w:hAnsi="Times New Roman" w:cs="Times New Roman"/>
          <w:sz w:val="24"/>
          <w:szCs w:val="24"/>
        </w:rPr>
        <w:t xml:space="preserve">ning mining claims situated in Goromonzi, Mashonaland East Province.  The applicants claim which concerns the dispute between the applicant and the first respondent is a called “Step Aside” registered </w:t>
      </w:r>
      <w:r w:rsidR="00B57CA6">
        <w:rPr>
          <w:rFonts w:ascii="Times New Roman" w:hAnsi="Times New Roman" w:cs="Times New Roman"/>
          <w:sz w:val="24"/>
          <w:szCs w:val="24"/>
        </w:rPr>
        <w:t>numbers 19948</w:t>
      </w:r>
      <w:r w:rsidR="003B0EA9">
        <w:rPr>
          <w:rFonts w:ascii="Times New Roman" w:hAnsi="Times New Roman" w:cs="Times New Roman"/>
          <w:sz w:val="24"/>
          <w:szCs w:val="24"/>
        </w:rPr>
        <w:t xml:space="preserve"> BM. The first respondent holds title to a mining block called Colga, registration number ME 536G and Colga registered number ME537.  The first respondent avers that his </w:t>
      </w:r>
      <w:r w:rsidR="00B57CA6">
        <w:rPr>
          <w:rFonts w:ascii="Times New Roman" w:hAnsi="Times New Roman" w:cs="Times New Roman"/>
          <w:sz w:val="24"/>
          <w:szCs w:val="24"/>
        </w:rPr>
        <w:t>mining blocks do not adjo</w:t>
      </w:r>
      <w:r w:rsidR="0054303B">
        <w:rPr>
          <w:rFonts w:ascii="Times New Roman" w:hAnsi="Times New Roman" w:cs="Times New Roman"/>
          <w:sz w:val="24"/>
          <w:szCs w:val="24"/>
        </w:rPr>
        <w:t>i</w:t>
      </w:r>
      <w:r w:rsidR="00B57CA6">
        <w:rPr>
          <w:rFonts w:ascii="Times New Roman" w:hAnsi="Times New Roman" w:cs="Times New Roman"/>
          <w:sz w:val="24"/>
          <w:szCs w:val="24"/>
        </w:rPr>
        <w:t>n with the applicant blocks.</w:t>
      </w:r>
    </w:p>
    <w:p w:rsidR="00B57CA6" w:rsidRDefault="00B57CA6" w:rsidP="0023544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seeks an interdict by way of the court granting a provisional order.  The provisional order sought is exp</w:t>
      </w:r>
      <w:r w:rsidR="0054303B">
        <w:rPr>
          <w:rFonts w:ascii="Times New Roman" w:hAnsi="Times New Roman" w:cs="Times New Roman"/>
          <w:sz w:val="24"/>
          <w:szCs w:val="24"/>
        </w:rPr>
        <w:t>res</w:t>
      </w:r>
      <w:r>
        <w:rPr>
          <w:rFonts w:ascii="Times New Roman" w:hAnsi="Times New Roman" w:cs="Times New Roman"/>
          <w:sz w:val="24"/>
          <w:szCs w:val="24"/>
        </w:rPr>
        <w:t>sed as follows:</w:t>
      </w:r>
    </w:p>
    <w:p w:rsidR="00B3036E" w:rsidRDefault="00B3036E" w:rsidP="00B3036E">
      <w:pPr>
        <w:spacing w:after="0" w:line="360" w:lineRule="auto"/>
        <w:ind w:firstLine="720"/>
        <w:jc w:val="both"/>
        <w:rPr>
          <w:rFonts w:ascii="Times New Roman" w:hAnsi="Times New Roman" w:cs="Times New Roman"/>
          <w:sz w:val="24"/>
          <w:szCs w:val="24"/>
        </w:rPr>
      </w:pPr>
    </w:p>
    <w:p w:rsidR="00B3036E" w:rsidRDefault="00B3036E" w:rsidP="00B3036E">
      <w:pPr>
        <w:spacing w:after="0" w:line="360" w:lineRule="auto"/>
        <w:ind w:firstLine="720"/>
        <w:jc w:val="both"/>
        <w:rPr>
          <w:rFonts w:ascii="Times New Roman" w:hAnsi="Times New Roman" w:cs="Times New Roman"/>
          <w:sz w:val="24"/>
          <w:szCs w:val="24"/>
        </w:rPr>
      </w:pPr>
    </w:p>
    <w:p w:rsidR="00B57CA6" w:rsidRPr="00953B68" w:rsidRDefault="00B3036E" w:rsidP="00B3036E">
      <w:pPr>
        <w:spacing w:after="0" w:line="360" w:lineRule="auto"/>
        <w:ind w:firstLine="720"/>
        <w:jc w:val="both"/>
        <w:rPr>
          <w:rFonts w:ascii="Times New Roman" w:hAnsi="Times New Roman" w:cs="Times New Roman"/>
          <w:b/>
          <w:sz w:val="24"/>
          <w:szCs w:val="24"/>
        </w:rPr>
      </w:pPr>
      <w:r w:rsidRPr="00953B68">
        <w:rPr>
          <w:rFonts w:ascii="Times New Roman" w:hAnsi="Times New Roman" w:cs="Times New Roman"/>
          <w:b/>
          <w:sz w:val="24"/>
          <w:szCs w:val="24"/>
        </w:rPr>
        <w:lastRenderedPageBreak/>
        <w:t xml:space="preserve">TERMS OF FINAL ORDER SOUGHT </w:t>
      </w:r>
    </w:p>
    <w:p w:rsidR="00B3036E" w:rsidRPr="00B3036E" w:rsidRDefault="00B3036E" w:rsidP="00B3036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you show ca</w:t>
      </w:r>
      <w:r w:rsidR="00F92C4F">
        <w:rPr>
          <w:rFonts w:ascii="Times New Roman" w:hAnsi="Times New Roman" w:cs="Times New Roman"/>
          <w:sz w:val="24"/>
          <w:szCs w:val="24"/>
        </w:rPr>
        <w:t>u</w:t>
      </w:r>
      <w:r>
        <w:rPr>
          <w:rFonts w:ascii="Times New Roman" w:hAnsi="Times New Roman" w:cs="Times New Roman"/>
          <w:sz w:val="24"/>
          <w:szCs w:val="24"/>
        </w:rPr>
        <w:t>se to the Honourable Court why a final order should not be made in the following terms:</w:t>
      </w:r>
    </w:p>
    <w:p w:rsidR="00E67B82" w:rsidRDefault="00B3036E" w:rsidP="00B57CA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respondent’s conduct in mining and extracting lithium ore from the disputed area, being the eastern boundary of Step Aside claim number 19948 BM belonging to the applicant, be and is hereby declared to be lawful.</w:t>
      </w:r>
    </w:p>
    <w:p w:rsidR="00B3036E" w:rsidRDefault="00B3036E" w:rsidP="00B57CA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shall pay costs on legal practitioner-client scale.</w:t>
      </w:r>
    </w:p>
    <w:p w:rsidR="00B3036E" w:rsidRDefault="00B3036E" w:rsidP="00B3036E">
      <w:pPr>
        <w:pStyle w:val="ListParagraph"/>
        <w:spacing w:after="0" w:line="360" w:lineRule="auto"/>
        <w:ind w:left="1440"/>
        <w:jc w:val="both"/>
        <w:rPr>
          <w:rFonts w:ascii="Times New Roman" w:hAnsi="Times New Roman" w:cs="Times New Roman"/>
          <w:sz w:val="24"/>
          <w:szCs w:val="24"/>
        </w:rPr>
      </w:pPr>
    </w:p>
    <w:p w:rsidR="00B3036E" w:rsidRPr="00866FB0" w:rsidRDefault="00B3036E" w:rsidP="00866FB0">
      <w:pPr>
        <w:spacing w:after="0" w:line="360" w:lineRule="auto"/>
        <w:ind w:firstLine="720"/>
        <w:jc w:val="both"/>
        <w:rPr>
          <w:rFonts w:ascii="Times New Roman" w:hAnsi="Times New Roman" w:cs="Times New Roman"/>
          <w:b/>
          <w:sz w:val="24"/>
          <w:szCs w:val="24"/>
        </w:rPr>
      </w:pPr>
      <w:r w:rsidRPr="00866FB0">
        <w:rPr>
          <w:rFonts w:ascii="Times New Roman" w:hAnsi="Times New Roman" w:cs="Times New Roman"/>
          <w:b/>
          <w:sz w:val="24"/>
          <w:szCs w:val="24"/>
        </w:rPr>
        <w:t>INTERIM RELIEF GRANTED</w:t>
      </w:r>
    </w:p>
    <w:p w:rsidR="00B3036E" w:rsidRPr="00B3036E" w:rsidRDefault="00B3036E" w:rsidP="00B303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Pending the determination of this matter, the applicant is granted the following relief:</w:t>
      </w:r>
    </w:p>
    <w:p w:rsidR="00B3036E" w:rsidRDefault="00B3036E" w:rsidP="00B3036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w:t>
      </w:r>
      <w:r w:rsidR="00953B68">
        <w:rPr>
          <w:rFonts w:ascii="Times New Roman" w:hAnsi="Times New Roman" w:cs="Times New Roman"/>
          <w:sz w:val="24"/>
          <w:szCs w:val="24"/>
        </w:rPr>
        <w:t>spondent be and is hereby ordered to return the estimated 6,275 (six thousand two hundred and seventy-five) tonnes of lithium ore he caused to be removed from the disputed area which is the subject of an appeal under HC CIA 232/23, situated on the applicant’s mining</w:t>
      </w:r>
      <w:r w:rsidR="00F92C4F">
        <w:rPr>
          <w:rFonts w:ascii="Times New Roman" w:hAnsi="Times New Roman" w:cs="Times New Roman"/>
          <w:sz w:val="24"/>
          <w:szCs w:val="24"/>
        </w:rPr>
        <w:t xml:space="preserve"> claim</w:t>
      </w:r>
      <w:r w:rsidR="00953B68">
        <w:rPr>
          <w:rFonts w:ascii="Times New Roman" w:hAnsi="Times New Roman" w:cs="Times New Roman"/>
          <w:sz w:val="24"/>
          <w:szCs w:val="24"/>
        </w:rPr>
        <w:t>, being Step Aside claim number 19948 BM within three</w:t>
      </w:r>
      <w:r w:rsidR="000B1398">
        <w:rPr>
          <w:rFonts w:ascii="Times New Roman" w:hAnsi="Times New Roman" w:cs="Times New Roman"/>
          <w:sz w:val="24"/>
          <w:szCs w:val="24"/>
        </w:rPr>
        <w:t xml:space="preserve"> </w:t>
      </w:r>
      <w:r w:rsidR="00953B68">
        <w:rPr>
          <w:rFonts w:ascii="Times New Roman" w:hAnsi="Times New Roman" w:cs="Times New Roman"/>
          <w:sz w:val="24"/>
          <w:szCs w:val="24"/>
        </w:rPr>
        <w:t>(3) days of service of this order upon him.</w:t>
      </w:r>
    </w:p>
    <w:p w:rsidR="00953B68" w:rsidRDefault="00953B68" w:rsidP="00B3036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w:t>
      </w:r>
      <w:r w:rsidR="000B1398">
        <w:rPr>
          <w:rFonts w:ascii="Times New Roman" w:hAnsi="Times New Roman" w:cs="Times New Roman"/>
          <w:sz w:val="24"/>
          <w:szCs w:val="24"/>
        </w:rPr>
        <w:t>respondent or</w:t>
      </w:r>
      <w:r w:rsidR="00076612">
        <w:rPr>
          <w:rFonts w:ascii="Times New Roman" w:hAnsi="Times New Roman" w:cs="Times New Roman"/>
          <w:sz w:val="24"/>
          <w:szCs w:val="24"/>
        </w:rPr>
        <w:t xml:space="preserve"> anyone acting through him,</w:t>
      </w:r>
      <w:r w:rsidR="000B1398">
        <w:rPr>
          <w:rFonts w:ascii="Times New Roman" w:hAnsi="Times New Roman" w:cs="Times New Roman"/>
          <w:sz w:val="24"/>
          <w:szCs w:val="24"/>
        </w:rPr>
        <w:t xml:space="preserve"> </w:t>
      </w:r>
      <w:r w:rsidR="00076612">
        <w:rPr>
          <w:rFonts w:ascii="Times New Roman" w:hAnsi="Times New Roman" w:cs="Times New Roman"/>
          <w:sz w:val="24"/>
          <w:szCs w:val="24"/>
        </w:rPr>
        <w:t>on his</w:t>
      </w:r>
      <w:r w:rsidR="000B1398">
        <w:rPr>
          <w:rFonts w:ascii="Times New Roman" w:hAnsi="Times New Roman" w:cs="Times New Roman"/>
          <w:sz w:val="24"/>
          <w:szCs w:val="24"/>
        </w:rPr>
        <w:t xml:space="preserve"> behalf or otherwise in concert with him be interdicted, barred and stopped from entering upon, conducting blasting and extraction activities upon the disputed area which is the subject of an appeal pending before this Honourable Court under HC 232/23.</w:t>
      </w:r>
    </w:p>
    <w:p w:rsidR="000B1398" w:rsidRPr="00B3036E" w:rsidRDefault="000B1398" w:rsidP="00B3036E">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or anyone acting through him, on his behalf or otherwise in concert, with him be interdicted, barred and stopped from entering upon the applicant’s claim, namely Step Aside claim number  19948 BM, conducting any mining activities and otherwise interfering with the applicant’s use and enjoyment of the same.</w:t>
      </w:r>
    </w:p>
    <w:p w:rsidR="00B57CA6" w:rsidRDefault="00B57CA6" w:rsidP="00B57CA6">
      <w:pPr>
        <w:spacing w:after="0" w:line="360" w:lineRule="auto"/>
        <w:jc w:val="both"/>
        <w:rPr>
          <w:rFonts w:ascii="Times New Roman" w:hAnsi="Times New Roman" w:cs="Times New Roman"/>
          <w:sz w:val="24"/>
          <w:szCs w:val="24"/>
        </w:rPr>
      </w:pPr>
    </w:p>
    <w:p w:rsidR="00B57CA6" w:rsidRDefault="00B57CA6" w:rsidP="00866F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w:t>
      </w:r>
      <w:r w:rsidR="00E67B82">
        <w:rPr>
          <w:rFonts w:ascii="Times New Roman" w:hAnsi="Times New Roman" w:cs="Times New Roman"/>
          <w:sz w:val="24"/>
          <w:szCs w:val="24"/>
        </w:rPr>
        <w:t>ies are not stranger</w:t>
      </w:r>
      <w:r w:rsidR="00F92C4F">
        <w:rPr>
          <w:rFonts w:ascii="Times New Roman" w:hAnsi="Times New Roman" w:cs="Times New Roman"/>
          <w:sz w:val="24"/>
          <w:szCs w:val="24"/>
        </w:rPr>
        <w:t>s</w:t>
      </w:r>
      <w:r w:rsidR="00E67B82">
        <w:rPr>
          <w:rFonts w:ascii="Times New Roman" w:hAnsi="Times New Roman" w:cs="Times New Roman"/>
          <w:sz w:val="24"/>
          <w:szCs w:val="24"/>
        </w:rPr>
        <w:t xml:space="preserve"> to the court in this litigation.  Under case number HC 4633/23, the applicant filed an urgent application </w:t>
      </w:r>
      <w:r w:rsidR="00737EEB">
        <w:rPr>
          <w:rFonts w:ascii="Times New Roman" w:hAnsi="Times New Roman" w:cs="Times New Roman"/>
          <w:sz w:val="24"/>
          <w:szCs w:val="24"/>
        </w:rPr>
        <w:t>against</w:t>
      </w:r>
      <w:r w:rsidR="00E67B82">
        <w:rPr>
          <w:rFonts w:ascii="Times New Roman" w:hAnsi="Times New Roman" w:cs="Times New Roman"/>
          <w:sz w:val="24"/>
          <w:szCs w:val="24"/>
        </w:rPr>
        <w:t xml:space="preserve"> the same respondents herein.  The </w:t>
      </w:r>
      <w:r w:rsidR="00737EEB">
        <w:rPr>
          <w:rFonts w:ascii="Times New Roman" w:hAnsi="Times New Roman" w:cs="Times New Roman"/>
          <w:sz w:val="24"/>
          <w:szCs w:val="24"/>
        </w:rPr>
        <w:t xml:space="preserve">interim relief sought was </w:t>
      </w:r>
      <w:r w:rsidR="00E67B82">
        <w:rPr>
          <w:rFonts w:ascii="Times New Roman" w:hAnsi="Times New Roman" w:cs="Times New Roman"/>
          <w:sz w:val="24"/>
          <w:szCs w:val="24"/>
        </w:rPr>
        <w:t xml:space="preserve">the same as </w:t>
      </w:r>
      <w:r w:rsidR="00E67B82" w:rsidRPr="00737EEB">
        <w:rPr>
          <w:rFonts w:ascii="Times New Roman" w:hAnsi="Times New Roman" w:cs="Times New Roman"/>
          <w:i/>
          <w:sz w:val="24"/>
          <w:szCs w:val="24"/>
        </w:rPr>
        <w:t>in casu</w:t>
      </w:r>
      <w:r w:rsidR="00E67B82">
        <w:rPr>
          <w:rFonts w:ascii="Times New Roman" w:hAnsi="Times New Roman" w:cs="Times New Roman"/>
          <w:sz w:val="24"/>
          <w:szCs w:val="24"/>
        </w:rPr>
        <w:t xml:space="preserve"> save that the applicant in case number HC 4633/23 </w:t>
      </w:r>
      <w:r w:rsidR="00737EEB">
        <w:rPr>
          <w:rFonts w:ascii="Times New Roman" w:hAnsi="Times New Roman" w:cs="Times New Roman"/>
          <w:sz w:val="24"/>
          <w:szCs w:val="24"/>
        </w:rPr>
        <w:t>put th</w:t>
      </w:r>
      <w:r w:rsidR="00E67B82">
        <w:rPr>
          <w:rFonts w:ascii="Times New Roman" w:hAnsi="Times New Roman" w:cs="Times New Roman"/>
          <w:sz w:val="24"/>
          <w:szCs w:val="24"/>
        </w:rPr>
        <w:t>e</w:t>
      </w:r>
      <w:r w:rsidR="00737EEB">
        <w:rPr>
          <w:rFonts w:ascii="Times New Roman" w:hAnsi="Times New Roman" w:cs="Times New Roman"/>
          <w:sz w:val="24"/>
          <w:szCs w:val="24"/>
        </w:rPr>
        <w:t xml:space="preserve"> </w:t>
      </w:r>
      <w:r w:rsidR="00E67B82">
        <w:rPr>
          <w:rFonts w:ascii="Times New Roman" w:hAnsi="Times New Roman" w:cs="Times New Roman"/>
          <w:sz w:val="24"/>
          <w:szCs w:val="24"/>
        </w:rPr>
        <w:t>figure of t</w:t>
      </w:r>
      <w:r w:rsidR="00F92C4F">
        <w:rPr>
          <w:rFonts w:ascii="Times New Roman" w:hAnsi="Times New Roman" w:cs="Times New Roman"/>
          <w:sz w:val="24"/>
          <w:szCs w:val="24"/>
        </w:rPr>
        <w:t>onne</w:t>
      </w:r>
      <w:r w:rsidR="00E67B82">
        <w:rPr>
          <w:rFonts w:ascii="Times New Roman" w:hAnsi="Times New Roman" w:cs="Times New Roman"/>
          <w:sz w:val="24"/>
          <w:szCs w:val="24"/>
        </w:rPr>
        <w:t xml:space="preserve">s </w:t>
      </w:r>
      <w:r w:rsidR="00737EEB">
        <w:rPr>
          <w:rFonts w:ascii="Times New Roman" w:hAnsi="Times New Roman" w:cs="Times New Roman"/>
          <w:sz w:val="24"/>
          <w:szCs w:val="24"/>
        </w:rPr>
        <w:t>of lithium to be returned to the applicant at 1975 t</w:t>
      </w:r>
      <w:r w:rsidR="00F92C4F">
        <w:rPr>
          <w:rFonts w:ascii="Times New Roman" w:hAnsi="Times New Roman" w:cs="Times New Roman"/>
          <w:sz w:val="24"/>
          <w:szCs w:val="24"/>
        </w:rPr>
        <w:t>onne</w:t>
      </w:r>
      <w:r w:rsidR="00737EEB">
        <w:rPr>
          <w:rFonts w:ascii="Times New Roman" w:hAnsi="Times New Roman" w:cs="Times New Roman"/>
          <w:sz w:val="24"/>
          <w:szCs w:val="24"/>
        </w:rPr>
        <w:t xml:space="preserve">s and at 6275 </w:t>
      </w:r>
      <w:r w:rsidR="00F92C4F">
        <w:rPr>
          <w:rFonts w:ascii="Times New Roman" w:hAnsi="Times New Roman" w:cs="Times New Roman"/>
          <w:sz w:val="24"/>
          <w:szCs w:val="24"/>
        </w:rPr>
        <w:t xml:space="preserve">tonnes </w:t>
      </w:r>
      <w:r w:rsidR="00737EEB">
        <w:rPr>
          <w:rFonts w:ascii="Times New Roman" w:hAnsi="Times New Roman" w:cs="Times New Roman"/>
          <w:sz w:val="24"/>
          <w:szCs w:val="24"/>
        </w:rPr>
        <w:t xml:space="preserve">in the current </w:t>
      </w:r>
      <w:r w:rsidR="00737EEB">
        <w:rPr>
          <w:rFonts w:ascii="Times New Roman" w:hAnsi="Times New Roman" w:cs="Times New Roman"/>
          <w:sz w:val="24"/>
          <w:szCs w:val="24"/>
        </w:rPr>
        <w:lastRenderedPageBreak/>
        <w:t xml:space="preserve">applicant.  The applicant’s contention is that the lithium </w:t>
      </w:r>
      <w:r w:rsidR="00F92C4F">
        <w:rPr>
          <w:rFonts w:ascii="Times New Roman" w:hAnsi="Times New Roman" w:cs="Times New Roman"/>
          <w:sz w:val="24"/>
          <w:szCs w:val="24"/>
        </w:rPr>
        <w:t>o</w:t>
      </w:r>
      <w:r w:rsidR="00737EEB">
        <w:rPr>
          <w:rFonts w:ascii="Times New Roman" w:hAnsi="Times New Roman" w:cs="Times New Roman"/>
          <w:sz w:val="24"/>
          <w:szCs w:val="24"/>
        </w:rPr>
        <w:t>re whose return it claims was or has been moved from its claim in which the first respondent has encroached</w:t>
      </w:r>
      <w:r w:rsidR="005069F1">
        <w:rPr>
          <w:rFonts w:ascii="Times New Roman" w:hAnsi="Times New Roman" w:cs="Times New Roman"/>
          <w:sz w:val="24"/>
          <w:szCs w:val="24"/>
        </w:rPr>
        <w:t>.</w:t>
      </w:r>
    </w:p>
    <w:p w:rsidR="009656C0" w:rsidRDefault="009656C0" w:rsidP="00866F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Application HC 4633/23 was dealt with by </w:t>
      </w:r>
      <w:r w:rsidRPr="00EF504A">
        <w:rPr>
          <w:rFonts w:ascii="Times New Roman" w:hAnsi="Times New Roman" w:cs="Times New Roman"/>
          <w:smallCaps/>
          <w:sz w:val="24"/>
          <w:szCs w:val="24"/>
        </w:rPr>
        <w:t>Munangati</w:t>
      </w:r>
      <w:r>
        <w:rPr>
          <w:rFonts w:ascii="Times New Roman" w:hAnsi="Times New Roman" w:cs="Times New Roman"/>
          <w:sz w:val="24"/>
          <w:szCs w:val="24"/>
        </w:rPr>
        <w:t>-</w:t>
      </w:r>
      <w:r w:rsidRPr="00EF504A">
        <w:rPr>
          <w:rFonts w:ascii="Times New Roman" w:hAnsi="Times New Roman" w:cs="Times New Roman"/>
          <w:smallCaps/>
          <w:sz w:val="24"/>
          <w:szCs w:val="24"/>
        </w:rPr>
        <w:t>Manongwa</w:t>
      </w:r>
      <w:r>
        <w:rPr>
          <w:rFonts w:ascii="Times New Roman" w:hAnsi="Times New Roman" w:cs="Times New Roman"/>
          <w:sz w:val="24"/>
          <w:szCs w:val="24"/>
        </w:rPr>
        <w:t xml:space="preserve"> J.  The learned judge directed the second respondent to deal with and finalize the disputed encroachment of the parties mining claims.  The f</w:t>
      </w:r>
      <w:r w:rsidR="00F92C4F">
        <w:rPr>
          <w:rFonts w:ascii="Times New Roman" w:hAnsi="Times New Roman" w:cs="Times New Roman"/>
          <w:sz w:val="24"/>
          <w:szCs w:val="24"/>
        </w:rPr>
        <w:t>ull</w:t>
      </w:r>
      <w:r>
        <w:rPr>
          <w:rFonts w:ascii="Times New Roman" w:hAnsi="Times New Roman" w:cs="Times New Roman"/>
          <w:sz w:val="24"/>
          <w:szCs w:val="24"/>
        </w:rPr>
        <w:t xml:space="preserve"> order date</w:t>
      </w:r>
      <w:r w:rsidR="00F92C4F">
        <w:rPr>
          <w:rFonts w:ascii="Times New Roman" w:hAnsi="Times New Roman" w:cs="Times New Roman"/>
          <w:sz w:val="24"/>
          <w:szCs w:val="24"/>
        </w:rPr>
        <w:t>d</w:t>
      </w:r>
      <w:r>
        <w:rPr>
          <w:rFonts w:ascii="Times New Roman" w:hAnsi="Times New Roman" w:cs="Times New Roman"/>
          <w:sz w:val="24"/>
          <w:szCs w:val="24"/>
        </w:rPr>
        <w:t>17 July 2023 granted by consent of the parties reads as follows:</w:t>
      </w:r>
    </w:p>
    <w:p w:rsidR="00EF504A" w:rsidRDefault="00EF504A" w:rsidP="00B57CA6">
      <w:pPr>
        <w:spacing w:after="0" w:line="360" w:lineRule="auto"/>
        <w:ind w:left="720"/>
        <w:jc w:val="both"/>
        <w:rPr>
          <w:rFonts w:ascii="Times New Roman" w:hAnsi="Times New Roman" w:cs="Times New Roman"/>
          <w:sz w:val="24"/>
          <w:szCs w:val="24"/>
        </w:rPr>
      </w:pPr>
    </w:p>
    <w:p w:rsidR="00EF504A" w:rsidRPr="00866FB0" w:rsidRDefault="00EF504A" w:rsidP="00B57CA6">
      <w:pPr>
        <w:spacing w:after="0" w:line="360" w:lineRule="auto"/>
        <w:ind w:left="720"/>
        <w:jc w:val="both"/>
        <w:rPr>
          <w:rFonts w:ascii="Times New Roman" w:hAnsi="Times New Roman" w:cs="Times New Roman"/>
        </w:rPr>
      </w:pPr>
      <w:r w:rsidRPr="00866FB0">
        <w:rPr>
          <w:rFonts w:ascii="Times New Roman" w:hAnsi="Times New Roman" w:cs="Times New Roman"/>
        </w:rPr>
        <w:t>“</w:t>
      </w:r>
      <w:r w:rsidR="000B1398" w:rsidRPr="00866FB0">
        <w:rPr>
          <w:rFonts w:ascii="Times New Roman" w:hAnsi="Times New Roman" w:cs="Times New Roman"/>
          <w:b/>
        </w:rPr>
        <w:t>IT IS ORDERED BY CONSENT THAT</w:t>
      </w:r>
      <w:r w:rsidRPr="00866FB0">
        <w:rPr>
          <w:rFonts w:ascii="Times New Roman" w:hAnsi="Times New Roman" w:cs="Times New Roman"/>
        </w:rPr>
        <w:t>:</w:t>
      </w:r>
    </w:p>
    <w:p w:rsidR="00EF504A" w:rsidRPr="00866FB0" w:rsidRDefault="00866FB0" w:rsidP="00866FB0">
      <w:pPr>
        <w:pStyle w:val="ListParagraph"/>
        <w:numPr>
          <w:ilvl w:val="0"/>
          <w:numId w:val="5"/>
        </w:numPr>
        <w:spacing w:after="0" w:line="360" w:lineRule="auto"/>
        <w:jc w:val="both"/>
        <w:rPr>
          <w:rFonts w:ascii="Times New Roman" w:hAnsi="Times New Roman" w:cs="Times New Roman"/>
        </w:rPr>
      </w:pPr>
      <w:r w:rsidRPr="00866FB0">
        <w:rPr>
          <w:rFonts w:ascii="Times New Roman" w:hAnsi="Times New Roman" w:cs="Times New Roman"/>
        </w:rPr>
        <w:t>The second respond is directed to determine and finalize the encroachment dispute between the parties within 10 (ten) days from the granting of this order</w:t>
      </w:r>
    </w:p>
    <w:p w:rsidR="00866FB0" w:rsidRPr="00866FB0" w:rsidRDefault="00866FB0" w:rsidP="00866FB0">
      <w:pPr>
        <w:pStyle w:val="ListParagraph"/>
        <w:numPr>
          <w:ilvl w:val="0"/>
          <w:numId w:val="5"/>
        </w:numPr>
        <w:spacing w:after="0" w:line="360" w:lineRule="auto"/>
        <w:jc w:val="both"/>
        <w:rPr>
          <w:rFonts w:ascii="Times New Roman" w:hAnsi="Times New Roman" w:cs="Times New Roman"/>
        </w:rPr>
      </w:pPr>
      <w:r w:rsidRPr="00866FB0">
        <w:rPr>
          <w:rFonts w:ascii="Times New Roman" w:hAnsi="Times New Roman" w:cs="Times New Roman"/>
        </w:rPr>
        <w:t>Pending the finalization of the encroachment dispute referred to in paragraph 1 above, both parties are prohibited from carrying out nay operational and mining activities within 20 metres of either side of the fence erected by the first respondent.</w:t>
      </w:r>
    </w:p>
    <w:p w:rsidR="00866FB0" w:rsidRPr="00866FB0" w:rsidRDefault="00866FB0" w:rsidP="00866FB0">
      <w:pPr>
        <w:pStyle w:val="ListParagraph"/>
        <w:numPr>
          <w:ilvl w:val="0"/>
          <w:numId w:val="5"/>
        </w:numPr>
        <w:spacing w:after="0" w:line="360" w:lineRule="auto"/>
        <w:jc w:val="both"/>
        <w:rPr>
          <w:rFonts w:ascii="Times New Roman" w:hAnsi="Times New Roman" w:cs="Times New Roman"/>
        </w:rPr>
      </w:pPr>
      <w:r w:rsidRPr="00866FB0">
        <w:rPr>
          <w:rFonts w:ascii="Times New Roman" w:hAnsi="Times New Roman" w:cs="Times New Roman"/>
        </w:rPr>
        <w:t>The second respondent shall forthwith in the presence of each part’s representative confirm and mark the extent of 20 metres mentioned in paragraph 2 above.</w:t>
      </w:r>
    </w:p>
    <w:p w:rsidR="00866FB0" w:rsidRPr="00866FB0" w:rsidRDefault="00866FB0" w:rsidP="00866FB0">
      <w:pPr>
        <w:pStyle w:val="ListParagraph"/>
        <w:numPr>
          <w:ilvl w:val="0"/>
          <w:numId w:val="5"/>
        </w:numPr>
        <w:spacing w:after="0" w:line="360" w:lineRule="auto"/>
        <w:jc w:val="both"/>
        <w:rPr>
          <w:rFonts w:ascii="Times New Roman" w:hAnsi="Times New Roman" w:cs="Times New Roman"/>
        </w:rPr>
      </w:pPr>
      <w:r w:rsidRPr="00866FB0">
        <w:rPr>
          <w:rFonts w:ascii="Times New Roman" w:hAnsi="Times New Roman" w:cs="Times New Roman"/>
        </w:rPr>
        <w:t>The first respondent shall not remove dispose, alienate or otherwise deal with the lithium ore already mined in the disputed area.</w:t>
      </w:r>
    </w:p>
    <w:p w:rsidR="00EF504A" w:rsidRDefault="00866FB0" w:rsidP="00866FB0">
      <w:pPr>
        <w:pStyle w:val="ListParagraph"/>
        <w:numPr>
          <w:ilvl w:val="0"/>
          <w:numId w:val="5"/>
        </w:numPr>
        <w:spacing w:after="0" w:line="360" w:lineRule="auto"/>
        <w:jc w:val="both"/>
        <w:rPr>
          <w:rFonts w:ascii="Times New Roman" w:hAnsi="Times New Roman" w:cs="Times New Roman"/>
        </w:rPr>
      </w:pPr>
      <w:r w:rsidRPr="00866FB0">
        <w:rPr>
          <w:rFonts w:ascii="Times New Roman" w:hAnsi="Times New Roman" w:cs="Times New Roman"/>
        </w:rPr>
        <w:t>Costs shall be in the cause.</w:t>
      </w:r>
      <w:r>
        <w:rPr>
          <w:rFonts w:ascii="Times New Roman" w:hAnsi="Times New Roman" w:cs="Times New Roman"/>
        </w:rPr>
        <w:t>”</w:t>
      </w:r>
    </w:p>
    <w:p w:rsidR="00866FB0" w:rsidRPr="00866FB0" w:rsidRDefault="00866FB0" w:rsidP="00866FB0">
      <w:pPr>
        <w:pStyle w:val="ListParagraph"/>
        <w:spacing w:after="0" w:line="360" w:lineRule="auto"/>
        <w:ind w:left="1440"/>
        <w:jc w:val="both"/>
        <w:rPr>
          <w:rFonts w:ascii="Times New Roman" w:hAnsi="Times New Roman" w:cs="Times New Roman"/>
        </w:rPr>
      </w:pPr>
    </w:p>
    <w:p w:rsidR="00EF504A" w:rsidRDefault="00EF504A" w:rsidP="00866FB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consent order had the effect of regulating the rights of the parties to the disputed area temporar</w:t>
      </w:r>
      <w:r w:rsidR="00F92C4F">
        <w:rPr>
          <w:rFonts w:ascii="Times New Roman" w:hAnsi="Times New Roman" w:cs="Times New Roman"/>
          <w:sz w:val="24"/>
          <w:szCs w:val="24"/>
        </w:rPr>
        <w:t>il</w:t>
      </w:r>
      <w:r>
        <w:rPr>
          <w:rFonts w:ascii="Times New Roman" w:hAnsi="Times New Roman" w:cs="Times New Roman"/>
          <w:sz w:val="24"/>
          <w:szCs w:val="24"/>
        </w:rPr>
        <w:t xml:space="preserve">y </w:t>
      </w:r>
      <w:r w:rsidR="00F92C4F">
        <w:rPr>
          <w:rFonts w:ascii="Times New Roman" w:hAnsi="Times New Roman" w:cs="Times New Roman"/>
          <w:sz w:val="24"/>
          <w:szCs w:val="24"/>
        </w:rPr>
        <w:t>pe</w:t>
      </w:r>
      <w:r>
        <w:rPr>
          <w:rFonts w:ascii="Times New Roman" w:hAnsi="Times New Roman" w:cs="Times New Roman"/>
          <w:sz w:val="24"/>
          <w:szCs w:val="24"/>
        </w:rPr>
        <w:t xml:space="preserve">nding the determination of the dispute by the second respondent within ten days.  The second respondent then made a determination on 1 August 2023.  The determination </w:t>
      </w:r>
      <w:r w:rsidR="00F92C4F">
        <w:rPr>
          <w:rFonts w:ascii="Times New Roman" w:hAnsi="Times New Roman" w:cs="Times New Roman"/>
          <w:sz w:val="24"/>
          <w:szCs w:val="24"/>
        </w:rPr>
        <w:t xml:space="preserve">was </w:t>
      </w:r>
      <w:r>
        <w:rPr>
          <w:rFonts w:ascii="Times New Roman" w:hAnsi="Times New Roman" w:cs="Times New Roman"/>
          <w:sz w:val="24"/>
          <w:szCs w:val="24"/>
        </w:rPr>
        <w:t>structured in a manner that consisted of ‘The Background’ ‘Findings’  ‘Discussion’ and ‘Determination’.  The determination reads as follows:</w:t>
      </w:r>
    </w:p>
    <w:p w:rsidR="00F67F30" w:rsidRDefault="00F67F30" w:rsidP="00B57CA6">
      <w:pPr>
        <w:spacing w:after="0" w:line="360" w:lineRule="auto"/>
        <w:ind w:left="720"/>
        <w:jc w:val="both"/>
        <w:rPr>
          <w:rFonts w:ascii="Times New Roman" w:hAnsi="Times New Roman" w:cs="Times New Roman"/>
          <w:sz w:val="24"/>
          <w:szCs w:val="24"/>
        </w:rPr>
      </w:pPr>
    </w:p>
    <w:p w:rsidR="00F67F30" w:rsidRPr="00895C91" w:rsidRDefault="00F67F30" w:rsidP="004A0A67">
      <w:pPr>
        <w:spacing w:after="0" w:line="240" w:lineRule="auto"/>
        <w:ind w:left="720"/>
        <w:jc w:val="both"/>
        <w:rPr>
          <w:rFonts w:ascii="Times New Roman" w:hAnsi="Times New Roman" w:cs="Times New Roman"/>
          <w:b/>
        </w:rPr>
      </w:pPr>
      <w:r w:rsidRPr="00895C91">
        <w:rPr>
          <w:rFonts w:ascii="Times New Roman" w:hAnsi="Times New Roman" w:cs="Times New Roman"/>
          <w:b/>
        </w:rPr>
        <w:t xml:space="preserve">“4.0 Determination </w:t>
      </w:r>
    </w:p>
    <w:p w:rsidR="00F67F30" w:rsidRPr="004A0A67" w:rsidRDefault="00F67F30" w:rsidP="004A0A67">
      <w:pPr>
        <w:spacing w:after="0" w:line="240" w:lineRule="auto"/>
        <w:ind w:left="720"/>
        <w:jc w:val="both"/>
        <w:rPr>
          <w:rFonts w:ascii="Times New Roman" w:hAnsi="Times New Roman" w:cs="Times New Roman"/>
        </w:rPr>
      </w:pPr>
      <w:r w:rsidRPr="004A0A67">
        <w:rPr>
          <w:rFonts w:ascii="Times New Roman" w:hAnsi="Times New Roman" w:cs="Times New Roman"/>
        </w:rPr>
        <w:t>After taking into consideration all the information provided during the hearing meeting, documentary evidence as well as field evidence:</w:t>
      </w:r>
    </w:p>
    <w:p w:rsidR="00F67F30" w:rsidRPr="004A0A67" w:rsidRDefault="00F67F30" w:rsidP="004A0A67">
      <w:pPr>
        <w:pStyle w:val="ListParagraph"/>
        <w:numPr>
          <w:ilvl w:val="0"/>
          <w:numId w:val="2"/>
        </w:numPr>
        <w:spacing w:after="0" w:line="240" w:lineRule="auto"/>
        <w:jc w:val="both"/>
        <w:rPr>
          <w:rFonts w:ascii="Times New Roman" w:hAnsi="Times New Roman" w:cs="Times New Roman"/>
        </w:rPr>
      </w:pPr>
      <w:r w:rsidRPr="004A0A67">
        <w:rPr>
          <w:rFonts w:ascii="Times New Roman" w:hAnsi="Times New Roman" w:cs="Times New Roman"/>
        </w:rPr>
        <w:t>It not in dispute that Eagle Lithium Resources (Pvt) Ltd is the prior pegges between the two mines.  However there is no clear cut evidence from available information to suggest encroachment of Colga1 and Colga 2 into Step Aside block of claims.  It’s a case of possibly realized mineralization potential on the area which has resulted into allegations of encroachment by Eagle Lithium Resources (Pvt) Ltd</w:t>
      </w:r>
      <w:r w:rsidR="00737DF2" w:rsidRPr="004A0A67">
        <w:rPr>
          <w:rFonts w:ascii="Times New Roman" w:hAnsi="Times New Roman" w:cs="Times New Roman"/>
        </w:rPr>
        <w:t>.</w:t>
      </w:r>
    </w:p>
    <w:p w:rsidR="00737DF2" w:rsidRPr="004A0A67" w:rsidRDefault="00737DF2" w:rsidP="004A0A67">
      <w:pPr>
        <w:pStyle w:val="ListParagraph"/>
        <w:numPr>
          <w:ilvl w:val="0"/>
          <w:numId w:val="2"/>
        </w:numPr>
        <w:spacing w:after="0" w:line="240" w:lineRule="auto"/>
        <w:jc w:val="both"/>
        <w:rPr>
          <w:rFonts w:ascii="Times New Roman" w:hAnsi="Times New Roman" w:cs="Times New Roman"/>
        </w:rPr>
      </w:pPr>
      <w:r w:rsidRPr="004A0A67">
        <w:rPr>
          <w:rFonts w:ascii="Times New Roman" w:hAnsi="Times New Roman" w:cs="Times New Roman"/>
        </w:rPr>
        <w:t>Paul Masamvu’s fence is straying outside of his blocks of claims bounds by two (2) metres and is hereby ordered to reposition the fence to match the bounds of his blocks of claims</w:t>
      </w:r>
      <w:r w:rsidR="005A3B4F" w:rsidRPr="004A0A67">
        <w:rPr>
          <w:rFonts w:ascii="Times New Roman" w:hAnsi="Times New Roman" w:cs="Times New Roman"/>
        </w:rPr>
        <w:t>.</w:t>
      </w:r>
    </w:p>
    <w:p w:rsidR="005A3B4F" w:rsidRDefault="005A3B4F" w:rsidP="004A0A67">
      <w:pPr>
        <w:pStyle w:val="ListParagraph"/>
        <w:numPr>
          <w:ilvl w:val="0"/>
          <w:numId w:val="2"/>
        </w:numPr>
        <w:spacing w:after="0" w:line="240" w:lineRule="auto"/>
        <w:jc w:val="both"/>
        <w:rPr>
          <w:rFonts w:ascii="Times New Roman" w:hAnsi="Times New Roman" w:cs="Times New Roman"/>
        </w:rPr>
      </w:pPr>
      <w:r w:rsidRPr="004A0A67">
        <w:rPr>
          <w:rFonts w:ascii="Times New Roman" w:hAnsi="Times New Roman" w:cs="Times New Roman"/>
        </w:rPr>
        <w:lastRenderedPageBreak/>
        <w:t xml:space="preserve">Eagle Lithium Resources (Pvt) Ltd should get </w:t>
      </w:r>
      <w:r w:rsidR="004A0A67" w:rsidRPr="004A0A67">
        <w:rPr>
          <w:rFonts w:ascii="Times New Roman" w:hAnsi="Times New Roman" w:cs="Times New Roman"/>
        </w:rPr>
        <w:t>their block of claim surveyed by a competent person and erect permanent beacons.”</w:t>
      </w:r>
    </w:p>
    <w:p w:rsidR="004A0A67" w:rsidRDefault="004A0A67" w:rsidP="004A0A67">
      <w:pPr>
        <w:spacing w:after="0" w:line="240" w:lineRule="auto"/>
        <w:jc w:val="both"/>
        <w:rPr>
          <w:rFonts w:ascii="Times New Roman" w:hAnsi="Times New Roman" w:cs="Times New Roman"/>
        </w:rPr>
      </w:pPr>
    </w:p>
    <w:p w:rsidR="004A0A67" w:rsidRDefault="004A0A67" w:rsidP="004A0A67">
      <w:pPr>
        <w:spacing w:after="0" w:line="240" w:lineRule="auto"/>
        <w:jc w:val="both"/>
        <w:rPr>
          <w:rFonts w:ascii="Times New Roman" w:hAnsi="Times New Roman" w:cs="Times New Roman"/>
        </w:rPr>
      </w:pPr>
    </w:p>
    <w:p w:rsidR="004A0A67" w:rsidRDefault="004A0A67" w:rsidP="004A0A67">
      <w:pPr>
        <w:spacing w:after="0" w:line="360" w:lineRule="auto"/>
        <w:ind w:firstLine="720"/>
        <w:jc w:val="both"/>
        <w:rPr>
          <w:rFonts w:ascii="Times New Roman" w:hAnsi="Times New Roman" w:cs="Times New Roman"/>
          <w:sz w:val="24"/>
          <w:szCs w:val="24"/>
        </w:rPr>
      </w:pPr>
      <w:r w:rsidRPr="004A0A67">
        <w:rPr>
          <w:rFonts w:ascii="Times New Roman" w:hAnsi="Times New Roman" w:cs="Times New Roman"/>
          <w:sz w:val="24"/>
          <w:szCs w:val="24"/>
        </w:rPr>
        <w:t>On 16 August 2023, the applicant, dissatisfied with the determination of the second respondent noted an appeal against</w:t>
      </w:r>
      <w:r>
        <w:rPr>
          <w:rFonts w:ascii="Times New Roman" w:hAnsi="Times New Roman" w:cs="Times New Roman"/>
          <w:sz w:val="24"/>
          <w:szCs w:val="24"/>
        </w:rPr>
        <w:t xml:space="preserve"> the determination to this court under case number CIA 232/23.  The said appeal is pending determination.  The current application is informed by the summarized background a</w:t>
      </w:r>
      <w:r w:rsidR="00A13358">
        <w:rPr>
          <w:rFonts w:ascii="Times New Roman" w:hAnsi="Times New Roman" w:cs="Times New Roman"/>
          <w:sz w:val="24"/>
          <w:szCs w:val="24"/>
        </w:rPr>
        <w:t>nd alleged developments which the applicant alleges to have accused.</w:t>
      </w:r>
    </w:p>
    <w:p w:rsidR="00A13358" w:rsidRDefault="00A13358" w:rsidP="004A0A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averred that it filed an appeal against the determination of the second respondent.  It avers that despite the noting of the appeal which the applicant suggests that it suspends the determination appealed against, the first respondent has continued to unlawfully remove lithium from the disputed area of encroachments.  The applicant averred that unless the first respondent is interdicted from removing and in the same vein ordered to return </w:t>
      </w:r>
      <w:r w:rsidR="00CF4060">
        <w:rPr>
          <w:rFonts w:ascii="Times New Roman" w:hAnsi="Times New Roman" w:cs="Times New Roman"/>
          <w:sz w:val="24"/>
          <w:szCs w:val="24"/>
        </w:rPr>
        <w:t>ore</w:t>
      </w:r>
      <w:r>
        <w:rPr>
          <w:rFonts w:ascii="Times New Roman" w:hAnsi="Times New Roman" w:cs="Times New Roman"/>
          <w:sz w:val="24"/>
          <w:szCs w:val="24"/>
        </w:rPr>
        <w:t xml:space="preserve"> removed from the disputed area the appeal would be rendered academic as the area of dispute would have been mined and depleted thus prejudicing the rights of the applicant if the appeal succeeded.  The applicant averred that the first </w:t>
      </w:r>
      <w:r w:rsidR="00B25114">
        <w:rPr>
          <w:rFonts w:ascii="Times New Roman" w:hAnsi="Times New Roman" w:cs="Times New Roman"/>
          <w:sz w:val="24"/>
          <w:szCs w:val="24"/>
        </w:rPr>
        <w:t>respondent’s</w:t>
      </w:r>
      <w:r>
        <w:rPr>
          <w:rFonts w:ascii="Times New Roman" w:hAnsi="Times New Roman" w:cs="Times New Roman"/>
          <w:sz w:val="24"/>
          <w:szCs w:val="24"/>
        </w:rPr>
        <w:t xml:space="preserve"> workers had again encroached on the applicants claim and were mining lithium therefrom and removing it.  The applicant averred that </w:t>
      </w:r>
      <w:r w:rsidR="00B25114">
        <w:rPr>
          <w:rFonts w:ascii="Times New Roman" w:hAnsi="Times New Roman" w:cs="Times New Roman"/>
          <w:sz w:val="24"/>
          <w:szCs w:val="24"/>
        </w:rPr>
        <w:t>the provisional</w:t>
      </w:r>
      <w:r>
        <w:rPr>
          <w:rFonts w:ascii="Times New Roman" w:hAnsi="Times New Roman" w:cs="Times New Roman"/>
          <w:sz w:val="24"/>
          <w:szCs w:val="24"/>
        </w:rPr>
        <w:t xml:space="preserve"> order by consent had the effect of excluding from mining a </w:t>
      </w:r>
      <w:r w:rsidR="00B25114">
        <w:rPr>
          <w:rFonts w:ascii="Times New Roman" w:hAnsi="Times New Roman" w:cs="Times New Roman"/>
          <w:sz w:val="24"/>
          <w:szCs w:val="24"/>
        </w:rPr>
        <w:t>forty metre wide exclusion zone or area being the area in dispute.  The applicant then related to the requirements for the grant of the interdict which it seeks.</w:t>
      </w:r>
    </w:p>
    <w:p w:rsidR="00B25114" w:rsidRDefault="00B25114" w:rsidP="004A0A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respondent did not oppose the application.  The first respondent opposed the application.  In the opposing affidavit the first respondent averred that the applicant did not have </w:t>
      </w:r>
      <w:r w:rsidRPr="00B25114">
        <w:rPr>
          <w:rFonts w:ascii="Times New Roman" w:hAnsi="Times New Roman" w:cs="Times New Roman"/>
          <w:i/>
          <w:sz w:val="24"/>
          <w:szCs w:val="24"/>
        </w:rPr>
        <w:t>locus standi</w:t>
      </w:r>
      <w:r>
        <w:rPr>
          <w:rFonts w:ascii="Times New Roman" w:hAnsi="Times New Roman" w:cs="Times New Roman"/>
          <w:sz w:val="24"/>
          <w:szCs w:val="24"/>
        </w:rPr>
        <w:t xml:space="preserve"> to seek an interdict against the respondents because its claims and that of the applicant did not share</w:t>
      </w:r>
      <w:r w:rsidR="000C1F28">
        <w:rPr>
          <w:rFonts w:ascii="Times New Roman" w:hAnsi="Times New Roman" w:cs="Times New Roman"/>
          <w:sz w:val="24"/>
          <w:szCs w:val="24"/>
        </w:rPr>
        <w:t xml:space="preserve"> boundaries.   The first respondent further averred in this regard that the co-ordinates of the claims of the applicant and those of the first respondent left an island between the two claims of fifty metres th</w:t>
      </w:r>
      <w:r w:rsidR="00F92C4F">
        <w:rPr>
          <w:rFonts w:ascii="Times New Roman" w:hAnsi="Times New Roman" w:cs="Times New Roman"/>
          <w:sz w:val="24"/>
          <w:szCs w:val="24"/>
        </w:rPr>
        <w:t>at</w:t>
      </w:r>
      <w:r w:rsidR="000C1F28">
        <w:rPr>
          <w:rFonts w:ascii="Times New Roman" w:hAnsi="Times New Roman" w:cs="Times New Roman"/>
          <w:sz w:val="24"/>
          <w:szCs w:val="24"/>
        </w:rPr>
        <w:t xml:space="preserve"> separat</w:t>
      </w:r>
      <w:r w:rsidR="00F92C4F">
        <w:rPr>
          <w:rFonts w:ascii="Times New Roman" w:hAnsi="Times New Roman" w:cs="Times New Roman"/>
          <w:sz w:val="24"/>
          <w:szCs w:val="24"/>
        </w:rPr>
        <w:t>e</w:t>
      </w:r>
      <w:r w:rsidR="000C1F28">
        <w:rPr>
          <w:rFonts w:ascii="Times New Roman" w:hAnsi="Times New Roman" w:cs="Times New Roman"/>
          <w:sz w:val="24"/>
          <w:szCs w:val="24"/>
        </w:rPr>
        <w:t xml:space="preserve"> the claims.  It was averred that the fifty metres area belonged to the “Mining Development” (sic).  It is diff</w:t>
      </w:r>
      <w:r w:rsidR="00F92C4F">
        <w:rPr>
          <w:rFonts w:ascii="Times New Roman" w:hAnsi="Times New Roman" w:cs="Times New Roman"/>
          <w:sz w:val="24"/>
          <w:szCs w:val="24"/>
        </w:rPr>
        <w:t>icul</w:t>
      </w:r>
      <w:r w:rsidR="000C1F28">
        <w:rPr>
          <w:rFonts w:ascii="Times New Roman" w:hAnsi="Times New Roman" w:cs="Times New Roman"/>
          <w:sz w:val="24"/>
          <w:szCs w:val="24"/>
        </w:rPr>
        <w:t xml:space="preserve">t to understand the first respondents’ objection to the </w:t>
      </w:r>
      <w:r w:rsidR="000C1F28" w:rsidRPr="000C1F28">
        <w:rPr>
          <w:rFonts w:ascii="Times New Roman" w:hAnsi="Times New Roman" w:cs="Times New Roman"/>
          <w:i/>
          <w:sz w:val="24"/>
          <w:szCs w:val="24"/>
        </w:rPr>
        <w:t>locus standi</w:t>
      </w:r>
      <w:r w:rsidR="000C1F28">
        <w:rPr>
          <w:rFonts w:ascii="Times New Roman" w:hAnsi="Times New Roman" w:cs="Times New Roman"/>
          <w:sz w:val="24"/>
          <w:szCs w:val="24"/>
        </w:rPr>
        <w:t xml:space="preserve"> of the applicant to bring this application against the first respondent.  In his heads of argument, the first respondent submitted that its objection to the </w:t>
      </w:r>
      <w:r w:rsidR="000C1F28" w:rsidRPr="00252D20">
        <w:rPr>
          <w:rFonts w:ascii="Times New Roman" w:hAnsi="Times New Roman" w:cs="Times New Roman"/>
          <w:i/>
          <w:sz w:val="24"/>
          <w:szCs w:val="24"/>
        </w:rPr>
        <w:t>locus standi</w:t>
      </w:r>
      <w:r w:rsidR="000C1F28">
        <w:rPr>
          <w:rFonts w:ascii="Times New Roman" w:hAnsi="Times New Roman" w:cs="Times New Roman"/>
          <w:sz w:val="24"/>
          <w:szCs w:val="24"/>
        </w:rPr>
        <w:t xml:space="preserve"> of the applicant was not addressed by the applicant</w:t>
      </w:r>
      <w:r w:rsidR="00F92C4F">
        <w:rPr>
          <w:rFonts w:ascii="Times New Roman" w:hAnsi="Times New Roman" w:cs="Times New Roman"/>
          <w:sz w:val="24"/>
          <w:szCs w:val="24"/>
        </w:rPr>
        <w:t>.</w:t>
      </w:r>
      <w:r w:rsidR="000C1F28">
        <w:rPr>
          <w:rFonts w:ascii="Times New Roman" w:hAnsi="Times New Roman" w:cs="Times New Roman"/>
          <w:sz w:val="24"/>
          <w:szCs w:val="24"/>
        </w:rPr>
        <w:t xml:space="preserve"> I assume that the first respondent was referring to the point no</w:t>
      </w:r>
      <w:r w:rsidR="00F92C4F">
        <w:rPr>
          <w:rFonts w:ascii="Times New Roman" w:hAnsi="Times New Roman" w:cs="Times New Roman"/>
          <w:sz w:val="24"/>
          <w:szCs w:val="24"/>
        </w:rPr>
        <w:t>t</w:t>
      </w:r>
      <w:r w:rsidR="000C1F28">
        <w:rPr>
          <w:rFonts w:ascii="Times New Roman" w:hAnsi="Times New Roman" w:cs="Times New Roman"/>
          <w:sz w:val="24"/>
          <w:szCs w:val="24"/>
        </w:rPr>
        <w:t xml:space="preserve"> being </w:t>
      </w:r>
      <w:r w:rsidR="00D85C96">
        <w:rPr>
          <w:rFonts w:ascii="Times New Roman" w:hAnsi="Times New Roman" w:cs="Times New Roman"/>
          <w:sz w:val="24"/>
          <w:szCs w:val="24"/>
        </w:rPr>
        <w:t>addressed by</w:t>
      </w:r>
      <w:r w:rsidR="000C1F28">
        <w:rPr>
          <w:rFonts w:ascii="Times New Roman" w:hAnsi="Times New Roman" w:cs="Times New Roman"/>
          <w:sz w:val="24"/>
          <w:szCs w:val="24"/>
        </w:rPr>
        <w:t xml:space="preserve"> the applicant, </w:t>
      </w:r>
      <w:r w:rsidR="00D85C96">
        <w:rPr>
          <w:rFonts w:ascii="Times New Roman" w:hAnsi="Times New Roman" w:cs="Times New Roman"/>
          <w:sz w:val="24"/>
          <w:szCs w:val="24"/>
        </w:rPr>
        <w:t xml:space="preserve">I did not find such argument therein.  It is I think pertinent to </w:t>
      </w:r>
      <w:r w:rsidR="00D85C96">
        <w:rPr>
          <w:rFonts w:ascii="Times New Roman" w:hAnsi="Times New Roman" w:cs="Times New Roman"/>
          <w:sz w:val="24"/>
          <w:szCs w:val="24"/>
        </w:rPr>
        <w:lastRenderedPageBreak/>
        <w:t xml:space="preserve">appreciate that the issue of </w:t>
      </w:r>
      <w:r w:rsidR="00D85C96" w:rsidRPr="00D85C96">
        <w:rPr>
          <w:rFonts w:ascii="Times New Roman" w:hAnsi="Times New Roman" w:cs="Times New Roman"/>
          <w:i/>
          <w:sz w:val="24"/>
          <w:szCs w:val="24"/>
        </w:rPr>
        <w:t>locus standi</w:t>
      </w:r>
      <w:r w:rsidR="00D85C96">
        <w:rPr>
          <w:rFonts w:ascii="Times New Roman" w:hAnsi="Times New Roman" w:cs="Times New Roman"/>
          <w:sz w:val="24"/>
          <w:szCs w:val="24"/>
        </w:rPr>
        <w:t xml:space="preserve"> as was raised in the opposing affidavit </w:t>
      </w:r>
      <w:r w:rsidR="00F92C4F">
        <w:rPr>
          <w:rFonts w:ascii="Times New Roman" w:hAnsi="Times New Roman" w:cs="Times New Roman"/>
          <w:sz w:val="24"/>
          <w:szCs w:val="24"/>
        </w:rPr>
        <w:t>was</w:t>
      </w:r>
      <w:r w:rsidR="00D85C96">
        <w:rPr>
          <w:rFonts w:ascii="Times New Roman" w:hAnsi="Times New Roman" w:cs="Times New Roman"/>
          <w:sz w:val="24"/>
          <w:szCs w:val="24"/>
        </w:rPr>
        <w:t xml:space="preserve"> denied and addressed squarely by the first respondent on the answering</w:t>
      </w:r>
      <w:r w:rsidR="00F92C4F">
        <w:rPr>
          <w:rFonts w:ascii="Times New Roman" w:hAnsi="Times New Roman" w:cs="Times New Roman"/>
          <w:sz w:val="24"/>
          <w:szCs w:val="24"/>
        </w:rPr>
        <w:t xml:space="preserve"> affidavit</w:t>
      </w:r>
      <w:r w:rsidR="00D85C96">
        <w:rPr>
          <w:rFonts w:ascii="Times New Roman" w:hAnsi="Times New Roman" w:cs="Times New Roman"/>
          <w:sz w:val="24"/>
          <w:szCs w:val="24"/>
        </w:rPr>
        <w:t>.  Cause of action and defences in application procedure are founded on the three sets of affidavits, the founding, the opposing and the answering affidavit and no</w:t>
      </w:r>
      <w:r w:rsidR="00CF4060">
        <w:rPr>
          <w:rFonts w:ascii="Times New Roman" w:hAnsi="Times New Roman" w:cs="Times New Roman"/>
          <w:sz w:val="24"/>
          <w:szCs w:val="24"/>
        </w:rPr>
        <w:t>t</w:t>
      </w:r>
      <w:r w:rsidR="00D85C96">
        <w:rPr>
          <w:rFonts w:ascii="Times New Roman" w:hAnsi="Times New Roman" w:cs="Times New Roman"/>
          <w:sz w:val="24"/>
          <w:szCs w:val="24"/>
        </w:rPr>
        <w:t xml:space="preserve"> in heads of arguments which are intended to facilitate part</w:t>
      </w:r>
      <w:r w:rsidR="00F92C4F">
        <w:rPr>
          <w:rFonts w:ascii="Times New Roman" w:hAnsi="Times New Roman" w:cs="Times New Roman"/>
          <w:sz w:val="24"/>
          <w:szCs w:val="24"/>
        </w:rPr>
        <w:t>ies</w:t>
      </w:r>
      <w:r w:rsidR="00D85C96">
        <w:rPr>
          <w:rFonts w:ascii="Times New Roman" w:hAnsi="Times New Roman" w:cs="Times New Roman"/>
          <w:sz w:val="24"/>
          <w:szCs w:val="24"/>
        </w:rPr>
        <w:t xml:space="preserve"> to summarize and support thei</w:t>
      </w:r>
      <w:r w:rsidR="00F92C4F">
        <w:rPr>
          <w:rFonts w:ascii="Times New Roman" w:hAnsi="Times New Roman" w:cs="Times New Roman"/>
          <w:sz w:val="24"/>
          <w:szCs w:val="24"/>
        </w:rPr>
        <w:t xml:space="preserve">r cases with legal authorities </w:t>
      </w:r>
      <w:r w:rsidR="00D85C96">
        <w:rPr>
          <w:rFonts w:ascii="Times New Roman" w:hAnsi="Times New Roman" w:cs="Times New Roman"/>
          <w:sz w:val="24"/>
          <w:szCs w:val="24"/>
        </w:rPr>
        <w:t>which may assist the court to justly determine the matter.</w:t>
      </w:r>
    </w:p>
    <w:p w:rsidR="00D85C96" w:rsidRDefault="00D85C96" w:rsidP="004A0A67">
      <w:pPr>
        <w:spacing w:after="0" w:line="360" w:lineRule="auto"/>
        <w:ind w:firstLine="720"/>
        <w:jc w:val="both"/>
        <w:rPr>
          <w:rFonts w:ascii="Times New Roman" w:hAnsi="Times New Roman" w:cs="Times New Roman"/>
          <w:sz w:val="24"/>
          <w:szCs w:val="24"/>
        </w:rPr>
      </w:pPr>
      <w:r w:rsidRPr="00D85C96">
        <w:rPr>
          <w:rFonts w:ascii="Times New Roman" w:hAnsi="Times New Roman" w:cs="Times New Roman"/>
          <w:i/>
          <w:sz w:val="24"/>
          <w:szCs w:val="24"/>
        </w:rPr>
        <w:t>Locus standi</w:t>
      </w:r>
      <w:r>
        <w:rPr>
          <w:rFonts w:ascii="Times New Roman" w:hAnsi="Times New Roman" w:cs="Times New Roman"/>
          <w:sz w:val="24"/>
          <w:szCs w:val="24"/>
        </w:rPr>
        <w:t xml:space="preserve"> in its basic definition de</w:t>
      </w:r>
      <w:r w:rsidR="00F92C4F">
        <w:rPr>
          <w:rFonts w:ascii="Times New Roman" w:hAnsi="Times New Roman" w:cs="Times New Roman"/>
          <w:sz w:val="24"/>
          <w:szCs w:val="24"/>
        </w:rPr>
        <w:t>n</w:t>
      </w:r>
      <w:r>
        <w:rPr>
          <w:rFonts w:ascii="Times New Roman" w:hAnsi="Times New Roman" w:cs="Times New Roman"/>
          <w:sz w:val="24"/>
          <w:szCs w:val="24"/>
        </w:rPr>
        <w:t xml:space="preserve">otes the interest of a party to sue or defend the subject matter of litigation.  The applicant averred that </w:t>
      </w:r>
      <w:r w:rsidR="00BF5AAD">
        <w:rPr>
          <w:rFonts w:ascii="Times New Roman" w:hAnsi="Times New Roman" w:cs="Times New Roman"/>
          <w:sz w:val="24"/>
          <w:szCs w:val="24"/>
        </w:rPr>
        <w:t xml:space="preserve">its </w:t>
      </w:r>
      <w:r w:rsidR="00BC2C02">
        <w:rPr>
          <w:rFonts w:ascii="Times New Roman" w:hAnsi="Times New Roman" w:cs="Times New Roman"/>
          <w:sz w:val="24"/>
          <w:szCs w:val="24"/>
        </w:rPr>
        <w:t>mining</w:t>
      </w:r>
      <w:r w:rsidR="00BF5AAD">
        <w:rPr>
          <w:rFonts w:ascii="Times New Roman" w:hAnsi="Times New Roman" w:cs="Times New Roman"/>
          <w:sz w:val="24"/>
          <w:szCs w:val="24"/>
        </w:rPr>
        <w:t xml:space="preserve"> </w:t>
      </w:r>
      <w:r w:rsidR="00BC2C02">
        <w:rPr>
          <w:rFonts w:ascii="Times New Roman" w:hAnsi="Times New Roman" w:cs="Times New Roman"/>
          <w:sz w:val="24"/>
          <w:szCs w:val="24"/>
        </w:rPr>
        <w:t>claim</w:t>
      </w:r>
      <w:r w:rsidR="00BF5AAD">
        <w:rPr>
          <w:rFonts w:ascii="Times New Roman" w:hAnsi="Times New Roman" w:cs="Times New Roman"/>
          <w:sz w:val="24"/>
          <w:szCs w:val="24"/>
        </w:rPr>
        <w:t xml:space="preserve"> shares a boundary with the first respondent</w:t>
      </w:r>
      <w:r w:rsidR="00946A2A">
        <w:rPr>
          <w:rFonts w:ascii="Times New Roman" w:hAnsi="Times New Roman" w:cs="Times New Roman"/>
          <w:sz w:val="24"/>
          <w:szCs w:val="24"/>
        </w:rPr>
        <w:t xml:space="preserve">’s claims and that the first respondent encroached on its mining claim </w:t>
      </w:r>
      <w:r w:rsidR="00F92C4F">
        <w:rPr>
          <w:rFonts w:ascii="Times New Roman" w:hAnsi="Times New Roman" w:cs="Times New Roman"/>
          <w:sz w:val="24"/>
          <w:szCs w:val="24"/>
        </w:rPr>
        <w:t xml:space="preserve">and </w:t>
      </w:r>
      <w:r w:rsidR="00946A2A">
        <w:rPr>
          <w:rFonts w:ascii="Times New Roman" w:hAnsi="Times New Roman" w:cs="Times New Roman"/>
          <w:sz w:val="24"/>
          <w:szCs w:val="24"/>
        </w:rPr>
        <w:t xml:space="preserve">continues to illegally extract lithium from the disputed area.  It is common cause that </w:t>
      </w:r>
      <w:r w:rsidR="00946A2A" w:rsidRPr="00946A2A">
        <w:rPr>
          <w:rFonts w:ascii="Times New Roman" w:hAnsi="Times New Roman" w:cs="Times New Roman"/>
          <w:smallCaps/>
          <w:sz w:val="24"/>
          <w:szCs w:val="24"/>
        </w:rPr>
        <w:t>Munangati</w:t>
      </w:r>
      <w:r w:rsidR="00946A2A">
        <w:rPr>
          <w:rFonts w:ascii="Times New Roman" w:hAnsi="Times New Roman" w:cs="Times New Roman"/>
          <w:sz w:val="24"/>
          <w:szCs w:val="24"/>
        </w:rPr>
        <w:t>-</w:t>
      </w:r>
      <w:r w:rsidR="00946A2A" w:rsidRPr="00946A2A">
        <w:rPr>
          <w:rFonts w:ascii="Times New Roman" w:hAnsi="Times New Roman" w:cs="Times New Roman"/>
          <w:smallCaps/>
          <w:sz w:val="24"/>
          <w:szCs w:val="24"/>
        </w:rPr>
        <w:t>Manongwa</w:t>
      </w:r>
      <w:r w:rsidR="00946A2A">
        <w:rPr>
          <w:rFonts w:ascii="Times New Roman" w:hAnsi="Times New Roman" w:cs="Times New Roman"/>
          <w:sz w:val="24"/>
          <w:szCs w:val="24"/>
        </w:rPr>
        <w:t xml:space="preserve"> J in case number HC 4633/23 ordered that the second respondent should determine the encroachment dispute.  The second respondent did so as already noted.  The determination of the second respondent was inconc</w:t>
      </w:r>
      <w:r w:rsidR="0098146D">
        <w:rPr>
          <w:rFonts w:ascii="Times New Roman" w:hAnsi="Times New Roman" w:cs="Times New Roman"/>
          <w:sz w:val="24"/>
          <w:szCs w:val="24"/>
        </w:rPr>
        <w:t xml:space="preserve">lusive.  The parties were advised by the learned judge to reconsider their positions in the light of the </w:t>
      </w:r>
      <w:r w:rsidR="00CA7EE3">
        <w:rPr>
          <w:rFonts w:ascii="Times New Roman" w:hAnsi="Times New Roman" w:cs="Times New Roman"/>
          <w:sz w:val="24"/>
          <w:szCs w:val="24"/>
        </w:rPr>
        <w:t xml:space="preserve">inconclusive nature of the determination of the second respondent and his direction that the applicant should survey its claims and erect permanent beacons to obviously resolve the current and future disputes.  For as long the parties accept as it is common cause that there is a disputed boundary or a land mass between their </w:t>
      </w:r>
      <w:r w:rsidR="002206DD">
        <w:rPr>
          <w:rFonts w:ascii="Times New Roman" w:hAnsi="Times New Roman" w:cs="Times New Roman"/>
          <w:sz w:val="24"/>
          <w:szCs w:val="24"/>
        </w:rPr>
        <w:t>respective claims</w:t>
      </w:r>
      <w:r w:rsidR="00F92C4F">
        <w:rPr>
          <w:rFonts w:ascii="Times New Roman" w:hAnsi="Times New Roman" w:cs="Times New Roman"/>
          <w:sz w:val="24"/>
          <w:szCs w:val="24"/>
        </w:rPr>
        <w:t xml:space="preserve">. </w:t>
      </w:r>
      <w:r w:rsidR="00CA7EE3">
        <w:rPr>
          <w:rFonts w:ascii="Times New Roman" w:hAnsi="Times New Roman" w:cs="Times New Roman"/>
          <w:sz w:val="24"/>
          <w:szCs w:val="24"/>
        </w:rPr>
        <w:t xml:space="preserve"> </w:t>
      </w:r>
      <w:r w:rsidR="00F92C4F">
        <w:rPr>
          <w:rFonts w:ascii="Times New Roman" w:hAnsi="Times New Roman" w:cs="Times New Roman"/>
          <w:sz w:val="24"/>
          <w:szCs w:val="24"/>
        </w:rPr>
        <w:t>T</w:t>
      </w:r>
      <w:r w:rsidR="00CA7EE3">
        <w:rPr>
          <w:rFonts w:ascii="Times New Roman" w:hAnsi="Times New Roman" w:cs="Times New Roman"/>
          <w:sz w:val="24"/>
          <w:szCs w:val="24"/>
        </w:rPr>
        <w:t>he</w:t>
      </w:r>
      <w:r w:rsidR="00CF4060">
        <w:rPr>
          <w:rFonts w:ascii="Times New Roman" w:hAnsi="Times New Roman" w:cs="Times New Roman"/>
          <w:sz w:val="24"/>
          <w:szCs w:val="24"/>
        </w:rPr>
        <w:t>n</w:t>
      </w:r>
      <w:r w:rsidR="00CA7EE3">
        <w:rPr>
          <w:rFonts w:ascii="Times New Roman" w:hAnsi="Times New Roman" w:cs="Times New Roman"/>
          <w:sz w:val="24"/>
          <w:szCs w:val="24"/>
        </w:rPr>
        <w:t xml:space="preserve"> they both have </w:t>
      </w:r>
      <w:r w:rsidR="00CA7EE3" w:rsidRPr="00F92C4F">
        <w:rPr>
          <w:rFonts w:ascii="Times New Roman" w:hAnsi="Times New Roman" w:cs="Times New Roman"/>
          <w:i/>
          <w:sz w:val="24"/>
          <w:szCs w:val="24"/>
        </w:rPr>
        <w:t xml:space="preserve">locus </w:t>
      </w:r>
      <w:r w:rsidR="00F92C4F" w:rsidRPr="00F92C4F">
        <w:rPr>
          <w:rFonts w:ascii="Times New Roman" w:hAnsi="Times New Roman" w:cs="Times New Roman"/>
          <w:i/>
          <w:sz w:val="24"/>
          <w:szCs w:val="24"/>
        </w:rPr>
        <w:t>standi</w:t>
      </w:r>
      <w:r w:rsidR="00F92C4F">
        <w:rPr>
          <w:rFonts w:ascii="Times New Roman" w:hAnsi="Times New Roman" w:cs="Times New Roman"/>
          <w:sz w:val="24"/>
          <w:szCs w:val="24"/>
        </w:rPr>
        <w:t xml:space="preserve"> </w:t>
      </w:r>
      <w:r w:rsidR="00CA7EE3">
        <w:rPr>
          <w:rFonts w:ascii="Times New Roman" w:hAnsi="Times New Roman" w:cs="Times New Roman"/>
          <w:sz w:val="24"/>
          <w:szCs w:val="24"/>
        </w:rPr>
        <w:t>to inst</w:t>
      </w:r>
      <w:r w:rsidR="002206DD">
        <w:rPr>
          <w:rFonts w:ascii="Times New Roman" w:hAnsi="Times New Roman" w:cs="Times New Roman"/>
          <w:sz w:val="24"/>
          <w:szCs w:val="24"/>
        </w:rPr>
        <w:t xml:space="preserve">itute proceedings and defend such proceedings as the case may be.  The fact that their positions on encroachment are polarized does not remove </w:t>
      </w:r>
      <w:r w:rsidR="002206DD" w:rsidRPr="002206DD">
        <w:rPr>
          <w:rFonts w:ascii="Times New Roman" w:hAnsi="Times New Roman" w:cs="Times New Roman"/>
          <w:i/>
          <w:sz w:val="24"/>
          <w:szCs w:val="24"/>
        </w:rPr>
        <w:t>locus standi</w:t>
      </w:r>
      <w:r w:rsidR="002206DD">
        <w:rPr>
          <w:rFonts w:ascii="Times New Roman" w:hAnsi="Times New Roman" w:cs="Times New Roman"/>
          <w:sz w:val="24"/>
          <w:szCs w:val="24"/>
        </w:rPr>
        <w:t xml:space="preserve"> on their part.  The determination on encroachment is a matter of factual dispute to be determined to finality.  The court has not yet pronounced on the matter by final order or judgment.  The point </w:t>
      </w:r>
      <w:r w:rsidR="002206DD" w:rsidRPr="002206DD">
        <w:rPr>
          <w:rFonts w:ascii="Times New Roman" w:hAnsi="Times New Roman" w:cs="Times New Roman"/>
          <w:i/>
          <w:sz w:val="24"/>
          <w:szCs w:val="24"/>
        </w:rPr>
        <w:t>in limine</w:t>
      </w:r>
      <w:r w:rsidR="002206DD">
        <w:rPr>
          <w:rFonts w:ascii="Times New Roman" w:hAnsi="Times New Roman" w:cs="Times New Roman"/>
          <w:sz w:val="24"/>
          <w:szCs w:val="24"/>
        </w:rPr>
        <w:t xml:space="preserve"> on </w:t>
      </w:r>
      <w:r w:rsidR="002206DD" w:rsidRPr="002206DD">
        <w:rPr>
          <w:rFonts w:ascii="Times New Roman" w:hAnsi="Times New Roman" w:cs="Times New Roman"/>
          <w:i/>
          <w:sz w:val="24"/>
          <w:szCs w:val="24"/>
        </w:rPr>
        <w:t>locus standi</w:t>
      </w:r>
      <w:r w:rsidR="002206DD">
        <w:rPr>
          <w:rFonts w:ascii="Times New Roman" w:hAnsi="Times New Roman" w:cs="Times New Roman"/>
          <w:sz w:val="24"/>
          <w:szCs w:val="24"/>
        </w:rPr>
        <w:t xml:space="preserve"> has no merit because the applicants and first respondent both have a real and substantial interest in the dispute before the court.  </w:t>
      </w:r>
      <w:r w:rsidR="000D78C1">
        <w:rPr>
          <w:rFonts w:ascii="Times New Roman" w:hAnsi="Times New Roman" w:cs="Times New Roman"/>
          <w:sz w:val="24"/>
          <w:szCs w:val="24"/>
        </w:rPr>
        <w:t>The test</w:t>
      </w:r>
      <w:r w:rsidR="002206DD">
        <w:rPr>
          <w:rFonts w:ascii="Times New Roman" w:hAnsi="Times New Roman" w:cs="Times New Roman"/>
          <w:sz w:val="24"/>
          <w:szCs w:val="24"/>
        </w:rPr>
        <w:t xml:space="preserve"> of </w:t>
      </w:r>
      <w:r w:rsidR="002206DD" w:rsidRPr="000D78C1">
        <w:rPr>
          <w:rFonts w:ascii="Times New Roman" w:hAnsi="Times New Roman" w:cs="Times New Roman"/>
          <w:i/>
          <w:sz w:val="24"/>
          <w:szCs w:val="24"/>
        </w:rPr>
        <w:t>locus standi</w:t>
      </w:r>
      <w:r w:rsidR="002206DD">
        <w:rPr>
          <w:rFonts w:ascii="Times New Roman" w:hAnsi="Times New Roman" w:cs="Times New Roman"/>
          <w:sz w:val="24"/>
          <w:szCs w:val="24"/>
        </w:rPr>
        <w:t xml:space="preserve"> being that a party has </w:t>
      </w:r>
      <w:r w:rsidR="002206DD" w:rsidRPr="000D78C1">
        <w:rPr>
          <w:rFonts w:ascii="Times New Roman" w:hAnsi="Times New Roman" w:cs="Times New Roman"/>
          <w:i/>
          <w:sz w:val="24"/>
          <w:szCs w:val="24"/>
        </w:rPr>
        <w:t>locus stan</w:t>
      </w:r>
      <w:r w:rsidR="000D78C1" w:rsidRPr="000D78C1">
        <w:rPr>
          <w:rFonts w:ascii="Times New Roman" w:hAnsi="Times New Roman" w:cs="Times New Roman"/>
          <w:i/>
          <w:sz w:val="24"/>
          <w:szCs w:val="24"/>
        </w:rPr>
        <w:t>di</w:t>
      </w:r>
      <w:r w:rsidR="000D78C1">
        <w:rPr>
          <w:rFonts w:ascii="Times New Roman" w:hAnsi="Times New Roman" w:cs="Times New Roman"/>
          <w:sz w:val="24"/>
          <w:szCs w:val="24"/>
        </w:rPr>
        <w:t xml:space="preserve"> if the party has a real and substantial</w:t>
      </w:r>
      <w:r w:rsidR="002206DD">
        <w:rPr>
          <w:rFonts w:ascii="Times New Roman" w:hAnsi="Times New Roman" w:cs="Times New Roman"/>
          <w:sz w:val="24"/>
          <w:szCs w:val="24"/>
        </w:rPr>
        <w:t xml:space="preserve"> interest is well reversed.</w:t>
      </w:r>
    </w:p>
    <w:p w:rsidR="002206DD" w:rsidRPr="004A0A67" w:rsidRDefault="002206DD" w:rsidP="004A0A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w:t>
      </w:r>
      <w:r w:rsidRPr="000D78C1">
        <w:rPr>
          <w:rFonts w:ascii="Times New Roman" w:hAnsi="Times New Roman" w:cs="Times New Roman"/>
          <w:i/>
          <w:sz w:val="24"/>
          <w:szCs w:val="24"/>
        </w:rPr>
        <w:t>Allied Bank Limited</w:t>
      </w:r>
      <w:r>
        <w:rPr>
          <w:rFonts w:ascii="Times New Roman" w:hAnsi="Times New Roman" w:cs="Times New Roman"/>
          <w:sz w:val="24"/>
          <w:szCs w:val="24"/>
        </w:rPr>
        <w:t xml:space="preserve"> v </w:t>
      </w:r>
      <w:r w:rsidR="000D78C1" w:rsidRPr="000D78C1">
        <w:rPr>
          <w:rFonts w:ascii="Times New Roman" w:hAnsi="Times New Roman" w:cs="Times New Roman"/>
          <w:i/>
          <w:sz w:val="24"/>
          <w:szCs w:val="24"/>
        </w:rPr>
        <w:t>D</w:t>
      </w:r>
      <w:r w:rsidRPr="000D78C1">
        <w:rPr>
          <w:rFonts w:ascii="Times New Roman" w:hAnsi="Times New Roman" w:cs="Times New Roman"/>
          <w:i/>
          <w:sz w:val="24"/>
          <w:szCs w:val="24"/>
        </w:rPr>
        <w:t>engu and Another</w:t>
      </w:r>
      <w:r>
        <w:rPr>
          <w:rFonts w:ascii="Times New Roman" w:hAnsi="Times New Roman" w:cs="Times New Roman"/>
          <w:sz w:val="24"/>
          <w:szCs w:val="24"/>
        </w:rPr>
        <w:t xml:space="preserve"> SC 52/16</w:t>
      </w:r>
    </w:p>
    <w:p w:rsidR="00EF504A" w:rsidRDefault="000D78C1" w:rsidP="004A0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point </w:t>
      </w:r>
      <w:r w:rsidRPr="000D78C1">
        <w:rPr>
          <w:rFonts w:ascii="Times New Roman" w:hAnsi="Times New Roman" w:cs="Times New Roman"/>
          <w:i/>
          <w:sz w:val="24"/>
          <w:szCs w:val="24"/>
        </w:rPr>
        <w:t>in limine</w:t>
      </w:r>
      <w:r>
        <w:rPr>
          <w:rFonts w:ascii="Times New Roman" w:hAnsi="Times New Roman" w:cs="Times New Roman"/>
          <w:sz w:val="24"/>
          <w:szCs w:val="24"/>
        </w:rPr>
        <w:t xml:space="preserve"> raised by the respondent was that the dispute between the parties was already </w:t>
      </w:r>
      <w:r w:rsidRPr="000D78C1">
        <w:rPr>
          <w:rFonts w:ascii="Times New Roman" w:hAnsi="Times New Roman" w:cs="Times New Roman"/>
          <w:i/>
          <w:sz w:val="24"/>
          <w:szCs w:val="24"/>
        </w:rPr>
        <w:t>lis pendens</w:t>
      </w:r>
      <w:r>
        <w:rPr>
          <w:rFonts w:ascii="Times New Roman" w:hAnsi="Times New Roman" w:cs="Times New Roman"/>
          <w:sz w:val="24"/>
          <w:szCs w:val="24"/>
        </w:rPr>
        <w:t xml:space="preserve"> in case number HC 4633/23 already referred to in this judgment.  It will be noted that indeed case number HC 4633/23 has not been finalized.  Indeed the applicant </w:t>
      </w:r>
      <w:r w:rsidR="00F92C4F">
        <w:rPr>
          <w:rFonts w:ascii="Times New Roman" w:hAnsi="Times New Roman" w:cs="Times New Roman"/>
          <w:sz w:val="24"/>
          <w:szCs w:val="24"/>
        </w:rPr>
        <w:t xml:space="preserve">was </w:t>
      </w:r>
      <w:r>
        <w:rPr>
          <w:rFonts w:ascii="Times New Roman" w:hAnsi="Times New Roman" w:cs="Times New Roman"/>
          <w:sz w:val="24"/>
          <w:szCs w:val="24"/>
        </w:rPr>
        <w:t xml:space="preserve">advised to decide on way forward in the light of the determination made by the first respondent </w:t>
      </w:r>
      <w:r>
        <w:rPr>
          <w:rFonts w:ascii="Times New Roman" w:hAnsi="Times New Roman" w:cs="Times New Roman"/>
          <w:sz w:val="24"/>
          <w:szCs w:val="24"/>
        </w:rPr>
        <w:lastRenderedPageBreak/>
        <w:t>pursuant to the order of court on the disputed boundaries of the parties claims.  Neither of the parties has taken steps to bring the case to finality.  Note was also made on th</w:t>
      </w:r>
      <w:r w:rsidR="00F52B38">
        <w:rPr>
          <w:rFonts w:ascii="Times New Roman" w:hAnsi="Times New Roman" w:cs="Times New Roman"/>
          <w:sz w:val="24"/>
          <w:szCs w:val="24"/>
        </w:rPr>
        <w:t>e</w:t>
      </w:r>
      <w:r>
        <w:rPr>
          <w:rFonts w:ascii="Times New Roman" w:hAnsi="Times New Roman" w:cs="Times New Roman"/>
          <w:sz w:val="24"/>
          <w:szCs w:val="24"/>
        </w:rPr>
        <w:t xml:space="preserve"> similarities of the reliefs sought I case number HC 4633/23 and in the current case.  The app</w:t>
      </w:r>
      <w:r w:rsidR="00F52B38">
        <w:rPr>
          <w:rFonts w:ascii="Times New Roman" w:hAnsi="Times New Roman" w:cs="Times New Roman"/>
          <w:sz w:val="24"/>
          <w:szCs w:val="24"/>
        </w:rPr>
        <w:t>licant’s argument in the answering affidavit was that the interim relief granted in case number HC 4633/23 was premised on the determination of the first respondent being made in terms the interim order given therein.  It is common cause that the applicant appealed against that order.</w:t>
      </w:r>
    </w:p>
    <w:p w:rsidR="00F52B38" w:rsidRDefault="00F52B38" w:rsidP="00F92C4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averred that the current application arises from a different cause of action.  The applicant denied that it ignored the letter from the Registrar on the need to take a position in relation to case number HC 4633/23.  It attached a copy of its letter to the Registrar dated 17 August 2023 in which it </w:t>
      </w:r>
      <w:r w:rsidR="00255A1F">
        <w:rPr>
          <w:rFonts w:ascii="Times New Roman" w:hAnsi="Times New Roman" w:cs="Times New Roman"/>
          <w:sz w:val="24"/>
          <w:szCs w:val="24"/>
        </w:rPr>
        <w:t xml:space="preserve">advised </w:t>
      </w:r>
      <w:r w:rsidR="00F92C4F">
        <w:rPr>
          <w:rFonts w:ascii="Times New Roman" w:hAnsi="Times New Roman" w:cs="Times New Roman"/>
          <w:sz w:val="24"/>
          <w:szCs w:val="24"/>
        </w:rPr>
        <w:t xml:space="preserve">that </w:t>
      </w:r>
      <w:r w:rsidR="00255A1F">
        <w:rPr>
          <w:rFonts w:ascii="Times New Roman" w:hAnsi="Times New Roman" w:cs="Times New Roman"/>
          <w:sz w:val="24"/>
          <w:szCs w:val="24"/>
        </w:rPr>
        <w:t>it</w:t>
      </w:r>
      <w:r>
        <w:rPr>
          <w:rFonts w:ascii="Times New Roman" w:hAnsi="Times New Roman" w:cs="Times New Roman"/>
          <w:sz w:val="24"/>
          <w:szCs w:val="24"/>
        </w:rPr>
        <w:t xml:space="preserve"> had noted an appeal against</w:t>
      </w:r>
      <w:r w:rsidR="00255A1F">
        <w:rPr>
          <w:rFonts w:ascii="Times New Roman" w:hAnsi="Times New Roman" w:cs="Times New Roman"/>
          <w:sz w:val="24"/>
          <w:szCs w:val="24"/>
        </w:rPr>
        <w:t xml:space="preserve"> the determination of the second respondent thereby rendering the determination suspended until the appeal is determined.  The applicant indicated that it intended to pursue the application unless the first respondent agreed to a stay of the matter pending appeal.  I must therefore </w:t>
      </w:r>
      <w:r w:rsidR="00F92C4F">
        <w:rPr>
          <w:rFonts w:ascii="Times New Roman" w:hAnsi="Times New Roman" w:cs="Times New Roman"/>
          <w:sz w:val="24"/>
          <w:szCs w:val="24"/>
        </w:rPr>
        <w:t>record that the assertion that the applicant ignore</w:t>
      </w:r>
      <w:r w:rsidR="00255A1F">
        <w:rPr>
          <w:rFonts w:ascii="Times New Roman" w:hAnsi="Times New Roman" w:cs="Times New Roman"/>
          <w:sz w:val="24"/>
          <w:szCs w:val="24"/>
        </w:rPr>
        <w:t>d correspondence from the judge on way forward in the matter</w:t>
      </w:r>
      <w:r w:rsidR="00F92C4F">
        <w:rPr>
          <w:rFonts w:ascii="Times New Roman" w:hAnsi="Times New Roman" w:cs="Times New Roman"/>
          <w:sz w:val="24"/>
          <w:szCs w:val="24"/>
        </w:rPr>
        <w:t xml:space="preserve"> was false</w:t>
      </w:r>
      <w:r w:rsidR="00255A1F">
        <w:rPr>
          <w:rFonts w:ascii="Times New Roman" w:hAnsi="Times New Roman" w:cs="Times New Roman"/>
          <w:sz w:val="24"/>
          <w:szCs w:val="24"/>
        </w:rPr>
        <w:t xml:space="preserve">.  As case number HC 4633/23 stands, the same stands uncompleted with the applicant having advised that the matter should proceed.  A set down </w:t>
      </w:r>
      <w:r w:rsidR="00F92C4F">
        <w:rPr>
          <w:rFonts w:ascii="Times New Roman" w:hAnsi="Times New Roman" w:cs="Times New Roman"/>
          <w:sz w:val="24"/>
          <w:szCs w:val="24"/>
        </w:rPr>
        <w:t xml:space="preserve">date </w:t>
      </w:r>
      <w:r w:rsidR="00255A1F">
        <w:rPr>
          <w:rFonts w:ascii="Times New Roman" w:hAnsi="Times New Roman" w:cs="Times New Roman"/>
          <w:sz w:val="24"/>
          <w:szCs w:val="24"/>
        </w:rPr>
        <w:t>has to be given through the registrar and either party can seek the set down</w:t>
      </w:r>
      <w:r w:rsidR="00CF766B">
        <w:rPr>
          <w:rFonts w:ascii="Times New Roman" w:hAnsi="Times New Roman" w:cs="Times New Roman"/>
          <w:sz w:val="24"/>
          <w:szCs w:val="24"/>
        </w:rPr>
        <w:t>.</w:t>
      </w:r>
    </w:p>
    <w:p w:rsidR="00D43A93" w:rsidRDefault="00CF766B" w:rsidP="004A0A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to whether the relief sought herein is </w:t>
      </w:r>
      <w:r w:rsidRPr="00CF766B">
        <w:rPr>
          <w:rFonts w:ascii="Times New Roman" w:hAnsi="Times New Roman" w:cs="Times New Roman"/>
          <w:i/>
          <w:sz w:val="24"/>
          <w:szCs w:val="24"/>
        </w:rPr>
        <w:t>lis pendens</w:t>
      </w:r>
      <w:r>
        <w:rPr>
          <w:rFonts w:ascii="Times New Roman" w:hAnsi="Times New Roman" w:cs="Times New Roman"/>
          <w:sz w:val="24"/>
          <w:szCs w:val="24"/>
        </w:rPr>
        <w:t xml:space="preserve"> in case number HC 4633/23 I think not after reading the papers and the parties submissions.  The relief sought </w:t>
      </w:r>
      <w:r w:rsidRPr="00CF766B">
        <w:rPr>
          <w:rFonts w:ascii="Times New Roman" w:hAnsi="Times New Roman" w:cs="Times New Roman"/>
          <w:i/>
          <w:sz w:val="24"/>
          <w:szCs w:val="24"/>
        </w:rPr>
        <w:t>in casu</w:t>
      </w:r>
      <w:r>
        <w:rPr>
          <w:rFonts w:ascii="Times New Roman" w:hAnsi="Times New Roman" w:cs="Times New Roman"/>
          <w:sz w:val="24"/>
          <w:szCs w:val="24"/>
        </w:rPr>
        <w:t xml:space="preserve"> is premised upon the alleged blasting, mining and extraction and removal of ore by the first respondent’s Chinese proxies or counter parts from the dispu</w:t>
      </w:r>
      <w:r w:rsidR="00B80C8C">
        <w:rPr>
          <w:rFonts w:ascii="Times New Roman" w:hAnsi="Times New Roman" w:cs="Times New Roman"/>
          <w:sz w:val="24"/>
          <w:szCs w:val="24"/>
        </w:rPr>
        <w:t xml:space="preserve">ted area </w:t>
      </w:r>
      <w:r w:rsidR="00D43A93">
        <w:rPr>
          <w:rFonts w:ascii="Times New Roman" w:hAnsi="Times New Roman" w:cs="Times New Roman"/>
          <w:sz w:val="24"/>
          <w:szCs w:val="24"/>
        </w:rPr>
        <w:t>wherein</w:t>
      </w:r>
      <w:r w:rsidR="00B80C8C">
        <w:rPr>
          <w:rFonts w:ascii="Times New Roman" w:hAnsi="Times New Roman" w:cs="Times New Roman"/>
          <w:sz w:val="24"/>
          <w:szCs w:val="24"/>
        </w:rPr>
        <w:t xml:space="preserve"> encroachment is alleged to have take</w:t>
      </w:r>
      <w:r w:rsidR="00F92C4F">
        <w:rPr>
          <w:rFonts w:ascii="Times New Roman" w:hAnsi="Times New Roman" w:cs="Times New Roman"/>
          <w:sz w:val="24"/>
          <w:szCs w:val="24"/>
        </w:rPr>
        <w:t>n</w:t>
      </w:r>
      <w:r w:rsidR="00B80C8C">
        <w:rPr>
          <w:rFonts w:ascii="Times New Roman" w:hAnsi="Times New Roman" w:cs="Times New Roman"/>
          <w:sz w:val="24"/>
          <w:szCs w:val="24"/>
        </w:rPr>
        <w:t xml:space="preserve"> place.  The applicant averred that the activities took place between 15-21 August 2023 when the first respondent moved several truckloads of lithium ore numbering about 170 in total.  The applicant estimated the amount of ore moved at 4300 tonnes making it 6275 tonnes making account</w:t>
      </w:r>
    </w:p>
    <w:p w:rsidR="00D43A93" w:rsidRDefault="00D43A93" w:rsidP="005606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of the one already removed at the time of filing application HC 4633/23.  The applicant produced copies of l</w:t>
      </w:r>
      <w:r w:rsidR="00F92C4F">
        <w:rPr>
          <w:rFonts w:ascii="Times New Roman" w:hAnsi="Times New Roman" w:cs="Times New Roman"/>
          <w:sz w:val="24"/>
          <w:szCs w:val="24"/>
        </w:rPr>
        <w:t>o</w:t>
      </w:r>
      <w:r>
        <w:rPr>
          <w:rFonts w:ascii="Times New Roman" w:hAnsi="Times New Roman" w:cs="Times New Roman"/>
          <w:sz w:val="24"/>
          <w:szCs w:val="24"/>
        </w:rPr>
        <w:t>ading records for the allegedly removed lithium ore.  The first respondent did not challenge the evidence of the removed loads.  The first respondent instead mentioned that the applicant was wrongly seeking to interdict the mining over an area which did not belong to it.</w:t>
      </w:r>
    </w:p>
    <w:p w:rsidR="00D43A93" w:rsidRDefault="00D43A93" w:rsidP="005606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first respondent also took objection </w:t>
      </w:r>
      <w:r w:rsidRPr="006D74E3">
        <w:rPr>
          <w:rFonts w:ascii="Times New Roman" w:hAnsi="Times New Roman" w:cs="Times New Roman"/>
          <w:i/>
          <w:iCs/>
          <w:sz w:val="24"/>
          <w:szCs w:val="24"/>
        </w:rPr>
        <w:t>in limine</w:t>
      </w:r>
      <w:r>
        <w:rPr>
          <w:rFonts w:ascii="Times New Roman" w:hAnsi="Times New Roman" w:cs="Times New Roman"/>
          <w:sz w:val="24"/>
          <w:szCs w:val="24"/>
        </w:rPr>
        <w:t xml:space="preserve"> to the urgency of the matter.  He averred that the applicant had after the second respondent’s determination of 1 August 2023 failed to set down an application HC 4633/23 and further ignored a letter from the Registrar directing the parties to indicate their intention on the way forward in the matter.  It has already been noted that the applicant did not ignore the alleged letter but advised that it intended to pursue the application further unless the first respondent agreed to a stay of proceedings pending appeal.  The first respondent averred that the applicant was not compliant with s 363(1) of the Mines and Minerals Act [</w:t>
      </w:r>
      <w:r w:rsidRPr="00294427">
        <w:rPr>
          <w:rFonts w:ascii="Times New Roman" w:hAnsi="Times New Roman" w:cs="Times New Roman"/>
          <w:i/>
          <w:iCs/>
          <w:sz w:val="24"/>
          <w:szCs w:val="24"/>
        </w:rPr>
        <w:t>Chapter 21:05</w:t>
      </w:r>
      <w:r>
        <w:rPr>
          <w:rFonts w:ascii="Times New Roman" w:hAnsi="Times New Roman" w:cs="Times New Roman"/>
          <w:sz w:val="24"/>
          <w:szCs w:val="24"/>
        </w:rPr>
        <w:t>] which required that every mining claim holder should point out pegs, notices, beacons and other land marks at the direction or request of the Mining Commissioner.  He averred that the applicant did not have a clear right to approach the court and that its appeal CA 232/23 was devoid of merit.  The first respondent also averred that the applicant had not abided by the second responde</w:t>
      </w:r>
      <w:r w:rsidR="00DE3671">
        <w:rPr>
          <w:rFonts w:ascii="Times New Roman" w:hAnsi="Times New Roman" w:cs="Times New Roman"/>
          <w:sz w:val="24"/>
          <w:szCs w:val="24"/>
        </w:rPr>
        <w:t>nt’s determination to erect beacons</w:t>
      </w:r>
      <w:r>
        <w:rPr>
          <w:rFonts w:ascii="Times New Roman" w:hAnsi="Times New Roman" w:cs="Times New Roman"/>
          <w:sz w:val="24"/>
          <w:szCs w:val="24"/>
        </w:rPr>
        <w:t xml:space="preserve"> after proper survey to demarcate to claims.  It had not done so.  It seemed to me that the first respondent conflated urgency of the application with requirements for the grant of an interdict.</w:t>
      </w:r>
    </w:p>
    <w:p w:rsidR="00D43A93" w:rsidRDefault="00D43A93" w:rsidP="005606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averred that the need to act arose upon the applicant discovering truckloads of lithium ore being moved by the first respondent from the disputed mining area during the period 15 to 21 August 2023.  The applicant then filed this application on 24 August 2023.  The first respondent averred that the need for the applicant to act arose when it received the determination of the second respondent on 1 August 2023 and in failing to set down case number HC 4633/23 thereafter.  The first respondent averred that the applicant also ignored the Registrar’s letter dated 10 August 2023 already referred.  The letter as noted was not ignored.  It is, however, any view that the need to act must be the events of the resumption of mining and ore removal which had been suspended in the interim consent order granted by </w:t>
      </w:r>
      <w:r w:rsidRPr="00FC7141">
        <w:rPr>
          <w:rFonts w:ascii="Times New Roman" w:hAnsi="Times New Roman" w:cs="Times New Roman"/>
          <w:smallCaps/>
          <w:sz w:val="24"/>
          <w:szCs w:val="24"/>
        </w:rPr>
        <w:t>Munangati-Manongwa J</w:t>
      </w:r>
      <w:r>
        <w:rPr>
          <w:rFonts w:ascii="Times New Roman" w:hAnsi="Times New Roman" w:cs="Times New Roman"/>
          <w:sz w:val="24"/>
          <w:szCs w:val="24"/>
        </w:rPr>
        <w:t xml:space="preserve"> in case number HC 4633/23.  Case number HC 4633/23 remained unfinalized and remains so.  The learned judge asked the parties to indicate how it was intended to proceed with the case in the light of the determination of the second respondent.  The applicant contrary to what the first respondent alleges, communicated its po</w:t>
      </w:r>
      <w:r w:rsidR="00DE3671">
        <w:rPr>
          <w:rFonts w:ascii="Times New Roman" w:hAnsi="Times New Roman" w:cs="Times New Roman"/>
          <w:sz w:val="24"/>
          <w:szCs w:val="24"/>
        </w:rPr>
        <w:t>si</w:t>
      </w:r>
      <w:r>
        <w:rPr>
          <w:rFonts w:ascii="Times New Roman" w:hAnsi="Times New Roman" w:cs="Times New Roman"/>
          <w:sz w:val="24"/>
          <w:szCs w:val="24"/>
        </w:rPr>
        <w:t>tion that it wanted the matter to proceed to finalization.</w:t>
      </w:r>
    </w:p>
    <w:p w:rsidR="00D43A93" w:rsidRDefault="00D43A93" w:rsidP="005606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is clear to me is that the determination of the second respondent was not formally admitted as evidence in the application HC 4633/23.  It still has to be dealt with by </w:t>
      </w:r>
      <w:r w:rsidRPr="00365F10">
        <w:rPr>
          <w:rFonts w:ascii="Times New Roman" w:hAnsi="Times New Roman" w:cs="Times New Roman"/>
          <w:smallCaps/>
          <w:sz w:val="24"/>
          <w:szCs w:val="24"/>
        </w:rPr>
        <w:t>Munangati-</w:t>
      </w:r>
      <w:r w:rsidRPr="00365F10">
        <w:rPr>
          <w:rFonts w:ascii="Times New Roman" w:hAnsi="Times New Roman" w:cs="Times New Roman"/>
          <w:smallCaps/>
          <w:sz w:val="24"/>
          <w:szCs w:val="24"/>
        </w:rPr>
        <w:lastRenderedPageBreak/>
        <w:t>Manongwa J</w:t>
      </w:r>
      <w:r>
        <w:rPr>
          <w:rFonts w:ascii="Times New Roman" w:hAnsi="Times New Roman" w:cs="Times New Roman"/>
          <w:sz w:val="24"/>
          <w:szCs w:val="24"/>
        </w:rPr>
        <w:t xml:space="preserve"> and case number HC 4633/23 still remains a partly heard matter of </w:t>
      </w:r>
      <w:r w:rsidRPr="00365F10">
        <w:rPr>
          <w:rFonts w:ascii="Times New Roman" w:hAnsi="Times New Roman" w:cs="Times New Roman"/>
          <w:smallCaps/>
          <w:sz w:val="24"/>
          <w:szCs w:val="24"/>
        </w:rPr>
        <w:t>Munangati-Manongwa J.</w:t>
      </w:r>
      <w:r>
        <w:rPr>
          <w:rFonts w:ascii="Times New Roman" w:hAnsi="Times New Roman" w:cs="Times New Roman"/>
          <w:sz w:val="24"/>
          <w:szCs w:val="24"/>
        </w:rPr>
        <w:t xml:space="preserve">  The applicant took the precaution to note an appeal against the determination aforesaid.  The effect of the report if admitted by the court, is a decision of the court and not the parties.  The report remains uninterrogated and there is no agreement on its correct</w:t>
      </w:r>
      <w:r w:rsidR="00DE3671">
        <w:rPr>
          <w:rFonts w:ascii="Times New Roman" w:hAnsi="Times New Roman" w:cs="Times New Roman"/>
          <w:sz w:val="24"/>
          <w:szCs w:val="24"/>
        </w:rPr>
        <w:t>ness</w:t>
      </w:r>
      <w:r>
        <w:rPr>
          <w:rFonts w:ascii="Times New Roman" w:hAnsi="Times New Roman" w:cs="Times New Roman"/>
          <w:sz w:val="24"/>
          <w:szCs w:val="24"/>
        </w:rPr>
        <w:t xml:space="preserve"> between the parties.  The first respondent was and is not entitled to judge the report as correct.  It is a function of the court.  The same applies to the applicant.  Its position that the determination is wrong is only its position.  The court which ordered that the determination be made must speak on the report and what the court says is the decision of the court which informs how the matter may be finalized.  The respondent was not entitled to consider the matter finalized by the filing of the report without the court making the final decision.  In my view, the removal </w:t>
      </w:r>
      <w:r w:rsidR="00DE3671">
        <w:rPr>
          <w:rFonts w:ascii="Times New Roman" w:hAnsi="Times New Roman" w:cs="Times New Roman"/>
          <w:sz w:val="24"/>
          <w:szCs w:val="24"/>
        </w:rPr>
        <w:t xml:space="preserve">of </w:t>
      </w:r>
      <w:r>
        <w:rPr>
          <w:rFonts w:ascii="Times New Roman" w:hAnsi="Times New Roman" w:cs="Times New Roman"/>
          <w:sz w:val="24"/>
          <w:szCs w:val="24"/>
        </w:rPr>
        <w:t>ore from the disputed area before the court concluded case number HC 4633/23 created a situation that entitled the applicant to approach the court on an urgent basis.  See</w:t>
      </w:r>
      <w:r w:rsidR="005606B6">
        <w:rPr>
          <w:rFonts w:ascii="Times New Roman" w:hAnsi="Times New Roman" w:cs="Times New Roman"/>
          <w:sz w:val="24"/>
          <w:szCs w:val="24"/>
        </w:rPr>
        <w:t xml:space="preserve"> </w:t>
      </w:r>
      <w:r w:rsidR="005606B6" w:rsidRPr="005606B6">
        <w:rPr>
          <w:rFonts w:ascii="Times New Roman" w:hAnsi="Times New Roman" w:cs="Times New Roman"/>
          <w:i/>
          <w:sz w:val="24"/>
          <w:szCs w:val="24"/>
        </w:rPr>
        <w:t>Andrew John Pascoe</w:t>
      </w:r>
      <w:r w:rsidR="005606B6">
        <w:rPr>
          <w:rFonts w:ascii="Times New Roman" w:hAnsi="Times New Roman" w:cs="Times New Roman"/>
          <w:sz w:val="24"/>
          <w:szCs w:val="24"/>
        </w:rPr>
        <w:t xml:space="preserve"> </w:t>
      </w:r>
      <w:r>
        <w:rPr>
          <w:rFonts w:ascii="Times New Roman" w:hAnsi="Times New Roman" w:cs="Times New Roman"/>
          <w:sz w:val="24"/>
          <w:szCs w:val="24"/>
        </w:rPr>
        <w:t xml:space="preserve">v </w:t>
      </w:r>
      <w:r w:rsidRPr="00DA0FA2">
        <w:rPr>
          <w:rFonts w:ascii="Times New Roman" w:hAnsi="Times New Roman" w:cs="Times New Roman"/>
          <w:i/>
          <w:iCs/>
          <w:sz w:val="24"/>
          <w:szCs w:val="24"/>
        </w:rPr>
        <w:t>Ministry of Lands &amp; Rural Resettlement &amp; Attorney General</w:t>
      </w:r>
      <w:r>
        <w:rPr>
          <w:rFonts w:ascii="Times New Roman" w:hAnsi="Times New Roman" w:cs="Times New Roman"/>
          <w:sz w:val="24"/>
          <w:szCs w:val="24"/>
        </w:rPr>
        <w:t xml:space="preserve"> HH 11-17 in which various authorities on urgency are referred to.</w:t>
      </w:r>
    </w:p>
    <w:p w:rsidR="00D43A93" w:rsidRDefault="00D43A93" w:rsidP="007763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noted in the </w:t>
      </w:r>
      <w:r w:rsidRPr="006109EE">
        <w:rPr>
          <w:rFonts w:ascii="Times New Roman" w:hAnsi="Times New Roman" w:cs="Times New Roman"/>
          <w:i/>
          <w:iCs/>
          <w:sz w:val="24"/>
          <w:szCs w:val="24"/>
        </w:rPr>
        <w:t>Pascoe case</w:t>
      </w:r>
      <w:r>
        <w:rPr>
          <w:rFonts w:ascii="Times New Roman" w:hAnsi="Times New Roman" w:cs="Times New Roman"/>
          <w:sz w:val="24"/>
          <w:szCs w:val="24"/>
        </w:rPr>
        <w:t xml:space="preserve"> aforesaid adopting the timeless authority of </w:t>
      </w:r>
      <w:r w:rsidRPr="00F202FF">
        <w:rPr>
          <w:rFonts w:ascii="Times New Roman" w:hAnsi="Times New Roman" w:cs="Times New Roman"/>
          <w:i/>
          <w:iCs/>
          <w:sz w:val="24"/>
          <w:szCs w:val="24"/>
        </w:rPr>
        <w:t xml:space="preserve">Kuvarega </w:t>
      </w:r>
      <w:r w:rsidRPr="007763B7">
        <w:rPr>
          <w:rFonts w:ascii="Times New Roman" w:hAnsi="Times New Roman" w:cs="Times New Roman"/>
          <w:iCs/>
          <w:sz w:val="24"/>
          <w:szCs w:val="24"/>
        </w:rPr>
        <w:t xml:space="preserve">v </w:t>
      </w:r>
      <w:r w:rsidRPr="00F202FF">
        <w:rPr>
          <w:rFonts w:ascii="Times New Roman" w:hAnsi="Times New Roman" w:cs="Times New Roman"/>
          <w:i/>
          <w:iCs/>
          <w:sz w:val="24"/>
          <w:szCs w:val="24"/>
        </w:rPr>
        <w:t xml:space="preserve">Registrar General &amp; Anor </w:t>
      </w:r>
      <w:r>
        <w:rPr>
          <w:rFonts w:ascii="Times New Roman" w:hAnsi="Times New Roman" w:cs="Times New Roman"/>
          <w:sz w:val="24"/>
          <w:szCs w:val="24"/>
        </w:rPr>
        <w:t xml:space="preserve">1998(1) ZLR 189 that the applicant in an urgent application must act immediately that the wrong against him or her is committed.  The applicant must demonstrate irreparable harm actual or potential and that if the court does not address the </w:t>
      </w:r>
      <w:r w:rsidR="00DE3671">
        <w:rPr>
          <w:rFonts w:ascii="Times New Roman" w:hAnsi="Times New Roman" w:cs="Times New Roman"/>
          <w:sz w:val="24"/>
          <w:szCs w:val="24"/>
        </w:rPr>
        <w:t xml:space="preserve">harm </w:t>
      </w:r>
      <w:r>
        <w:rPr>
          <w:rFonts w:ascii="Times New Roman" w:hAnsi="Times New Roman" w:cs="Times New Roman"/>
          <w:sz w:val="24"/>
          <w:szCs w:val="24"/>
        </w:rPr>
        <w:t>immediately</w:t>
      </w:r>
      <w:r w:rsidR="00DE3671">
        <w:rPr>
          <w:rFonts w:ascii="Times New Roman" w:hAnsi="Times New Roman" w:cs="Times New Roman"/>
          <w:sz w:val="24"/>
          <w:szCs w:val="24"/>
        </w:rPr>
        <w:t>,</w:t>
      </w:r>
      <w:r>
        <w:rPr>
          <w:rFonts w:ascii="Times New Roman" w:hAnsi="Times New Roman" w:cs="Times New Roman"/>
          <w:sz w:val="24"/>
          <w:szCs w:val="24"/>
        </w:rPr>
        <w:t xml:space="preserve"> there would be irreparable harm which cannot be addressed adequately by an alternative remedy.  I would not have been persuaded that the applicant has no alternative remedy and adjudged the matter not urgent.  There is, however, an </w:t>
      </w:r>
      <w:r w:rsidR="00DE3671">
        <w:rPr>
          <w:rFonts w:ascii="Times New Roman" w:hAnsi="Times New Roman" w:cs="Times New Roman"/>
          <w:sz w:val="24"/>
          <w:szCs w:val="24"/>
        </w:rPr>
        <w:t>issue arising in this application which</w:t>
      </w:r>
      <w:r>
        <w:rPr>
          <w:rFonts w:ascii="Times New Roman" w:hAnsi="Times New Roman" w:cs="Times New Roman"/>
          <w:sz w:val="24"/>
          <w:szCs w:val="24"/>
        </w:rPr>
        <w:t xml:space="preserve"> that is of great concern.  It is that the first respondent appears to have usurped the function of the court by acting on </w:t>
      </w:r>
      <w:r w:rsidR="00AE41FF">
        <w:rPr>
          <w:rFonts w:ascii="Times New Roman" w:hAnsi="Times New Roman" w:cs="Times New Roman"/>
          <w:sz w:val="24"/>
          <w:szCs w:val="24"/>
        </w:rPr>
        <w:t xml:space="preserve">a </w:t>
      </w:r>
      <w:r>
        <w:rPr>
          <w:rFonts w:ascii="Times New Roman" w:hAnsi="Times New Roman" w:cs="Times New Roman"/>
          <w:sz w:val="24"/>
          <w:szCs w:val="24"/>
        </w:rPr>
        <w:t xml:space="preserve">determination of the second respondent before the court which ordered that it be made has spoken on it and finalized the boundary dispute the subject of case number HC 4633/23.  A party should not usurp or undermine the function of the court.  Court process must be protected, respected and given effect to.  </w:t>
      </w:r>
      <w:r w:rsidRPr="009654EB">
        <w:rPr>
          <w:rFonts w:ascii="Times New Roman" w:hAnsi="Times New Roman" w:cs="Times New Roman"/>
          <w:i/>
          <w:iCs/>
          <w:sz w:val="24"/>
          <w:szCs w:val="24"/>
        </w:rPr>
        <w:t>In casu</w:t>
      </w:r>
      <w:r>
        <w:rPr>
          <w:rFonts w:ascii="Times New Roman" w:hAnsi="Times New Roman" w:cs="Times New Roman"/>
          <w:sz w:val="24"/>
          <w:szCs w:val="24"/>
        </w:rPr>
        <w:t xml:space="preserve"> this will be achieved by placing the parties in the same position in which they were pending the final determination of case number HC 4633/23 because although the current application relates to loads of ore removed after case number HC 4633/23 had </w:t>
      </w:r>
      <w:r>
        <w:rPr>
          <w:rFonts w:ascii="Times New Roman" w:hAnsi="Times New Roman" w:cs="Times New Roman"/>
          <w:sz w:val="24"/>
          <w:szCs w:val="24"/>
        </w:rPr>
        <w:lastRenderedPageBreak/>
        <w:t xml:space="preserve">been commenced, the removal appears to be continuation after the moratorium granted </w:t>
      </w:r>
      <w:r w:rsidR="00AE41FF">
        <w:rPr>
          <w:rFonts w:ascii="Times New Roman" w:hAnsi="Times New Roman" w:cs="Times New Roman"/>
          <w:sz w:val="24"/>
          <w:szCs w:val="24"/>
        </w:rPr>
        <w:t>i</w:t>
      </w:r>
      <w:r>
        <w:rPr>
          <w:rFonts w:ascii="Times New Roman" w:hAnsi="Times New Roman" w:cs="Times New Roman"/>
          <w:sz w:val="24"/>
          <w:szCs w:val="24"/>
        </w:rPr>
        <w:t>n the interim order in case number HC 4633/23.</w:t>
      </w:r>
    </w:p>
    <w:p w:rsidR="00D43A93" w:rsidRDefault="00D43A93" w:rsidP="007763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prays for an interdict to stop the first respondent from removing ore and mining on the disputed boundary area.  The first respondent has argued strenuously that the applicant is non-compliant with the law on pegging and erecting beacons.  It has placed the second respondent’s determination which </w:t>
      </w:r>
      <w:r w:rsidRPr="00E367EF">
        <w:rPr>
          <w:rFonts w:ascii="Times New Roman" w:hAnsi="Times New Roman" w:cs="Times New Roman"/>
          <w:smallCaps/>
          <w:sz w:val="24"/>
          <w:szCs w:val="24"/>
        </w:rPr>
        <w:t>Munangati-Manongwa J</w:t>
      </w:r>
      <w:r>
        <w:rPr>
          <w:rFonts w:ascii="Times New Roman" w:hAnsi="Times New Roman" w:cs="Times New Roman"/>
          <w:sz w:val="24"/>
          <w:szCs w:val="24"/>
        </w:rPr>
        <w:t xml:space="preserve"> ordered it be done, as a basis for impugning the applicant’s claim.  The first respondent </w:t>
      </w:r>
      <w:r w:rsidR="00AE41FF">
        <w:rPr>
          <w:rFonts w:ascii="Times New Roman" w:hAnsi="Times New Roman" w:cs="Times New Roman"/>
          <w:sz w:val="24"/>
          <w:szCs w:val="24"/>
        </w:rPr>
        <w:t>wa</w:t>
      </w:r>
      <w:r>
        <w:rPr>
          <w:rFonts w:ascii="Times New Roman" w:hAnsi="Times New Roman" w:cs="Times New Roman"/>
          <w:sz w:val="24"/>
          <w:szCs w:val="24"/>
        </w:rPr>
        <w:t>s misguided or ill-advised to make conclusions which only the court can make before the court ha</w:t>
      </w:r>
      <w:r w:rsidR="00AE41FF">
        <w:rPr>
          <w:rFonts w:ascii="Times New Roman" w:hAnsi="Times New Roman" w:cs="Times New Roman"/>
          <w:sz w:val="24"/>
          <w:szCs w:val="24"/>
        </w:rPr>
        <w:t>d</w:t>
      </w:r>
      <w:r>
        <w:rPr>
          <w:rFonts w:ascii="Times New Roman" w:hAnsi="Times New Roman" w:cs="Times New Roman"/>
          <w:sz w:val="24"/>
          <w:szCs w:val="24"/>
        </w:rPr>
        <w:t xml:space="preserve"> made </w:t>
      </w:r>
      <w:r w:rsidR="00AE41FF">
        <w:rPr>
          <w:rFonts w:ascii="Times New Roman" w:hAnsi="Times New Roman" w:cs="Times New Roman"/>
          <w:sz w:val="24"/>
          <w:szCs w:val="24"/>
        </w:rPr>
        <w:t>findings</w:t>
      </w:r>
      <w:r>
        <w:rPr>
          <w:rFonts w:ascii="Times New Roman" w:hAnsi="Times New Roman" w:cs="Times New Roman"/>
          <w:sz w:val="24"/>
          <w:szCs w:val="24"/>
        </w:rPr>
        <w:t xml:space="preserve"> on the determination.  The first respondent must be stopped from engaging in acts which undermine the judicial process in case number HC 4633/23.</w:t>
      </w:r>
    </w:p>
    <w:p w:rsidR="00D43A93" w:rsidRDefault="00D43A93" w:rsidP="007763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in seeking an interdict </w:t>
      </w:r>
      <w:r w:rsidRPr="007F6B25">
        <w:rPr>
          <w:rFonts w:ascii="Times New Roman" w:hAnsi="Times New Roman" w:cs="Times New Roman"/>
          <w:i/>
          <w:iCs/>
          <w:sz w:val="24"/>
          <w:szCs w:val="24"/>
        </w:rPr>
        <w:t>in casu</w:t>
      </w:r>
      <w:r>
        <w:rPr>
          <w:rFonts w:ascii="Times New Roman" w:hAnsi="Times New Roman" w:cs="Times New Roman"/>
          <w:sz w:val="24"/>
          <w:szCs w:val="24"/>
        </w:rPr>
        <w:t xml:space="preserve"> averred that it had a </w:t>
      </w:r>
      <w:r w:rsidRPr="007F6B25">
        <w:rPr>
          <w:rFonts w:ascii="Times New Roman" w:hAnsi="Times New Roman" w:cs="Times New Roman"/>
          <w:i/>
          <w:iCs/>
          <w:sz w:val="24"/>
          <w:szCs w:val="24"/>
        </w:rPr>
        <w:t>prima facie</w:t>
      </w:r>
      <w:r>
        <w:rPr>
          <w:rFonts w:ascii="Times New Roman" w:hAnsi="Times New Roman" w:cs="Times New Roman"/>
          <w:sz w:val="24"/>
          <w:szCs w:val="24"/>
        </w:rPr>
        <w:t xml:space="preserve"> right to the relief sought.  The </w:t>
      </w:r>
      <w:r w:rsidRPr="007F6B25">
        <w:rPr>
          <w:rFonts w:ascii="Times New Roman" w:hAnsi="Times New Roman" w:cs="Times New Roman"/>
          <w:i/>
          <w:iCs/>
          <w:sz w:val="24"/>
          <w:szCs w:val="24"/>
        </w:rPr>
        <w:t>prima facie</w:t>
      </w:r>
      <w:r>
        <w:rPr>
          <w:rFonts w:ascii="Times New Roman" w:hAnsi="Times New Roman" w:cs="Times New Roman"/>
          <w:sz w:val="24"/>
          <w:szCs w:val="24"/>
        </w:rPr>
        <w:t xml:space="preserve"> right exists warranting protection.  There is uncertainty on the right of the first respondent to exploit the ore reserves in an area wherein the court ordered that the boundaries of the applicant’s claims vis-à-vis those of the first respondent in determined by the second respondent.  The court has still to deal with the matter case number HC 4633/23 to finality.  In this regard the applicant has averred that the its pending appeal further provides a </w:t>
      </w:r>
      <w:r w:rsidRPr="001A1339">
        <w:rPr>
          <w:rFonts w:ascii="Times New Roman" w:hAnsi="Times New Roman" w:cs="Times New Roman"/>
          <w:i/>
          <w:iCs/>
          <w:sz w:val="24"/>
          <w:szCs w:val="24"/>
        </w:rPr>
        <w:t>prima facie</w:t>
      </w:r>
      <w:r>
        <w:rPr>
          <w:rFonts w:ascii="Times New Roman" w:hAnsi="Times New Roman" w:cs="Times New Roman"/>
          <w:sz w:val="24"/>
          <w:szCs w:val="24"/>
        </w:rPr>
        <w:t xml:space="preserve"> right.  That may well be so.  However, the compelling issue is that the dispute between the parties has not been finalized by the court and the court has </w:t>
      </w:r>
      <w:r w:rsidR="00AE41FF">
        <w:rPr>
          <w:rFonts w:ascii="Times New Roman" w:hAnsi="Times New Roman" w:cs="Times New Roman"/>
          <w:sz w:val="24"/>
          <w:szCs w:val="24"/>
        </w:rPr>
        <w:t>a</w:t>
      </w:r>
      <w:r>
        <w:rPr>
          <w:rFonts w:ascii="Times New Roman" w:hAnsi="Times New Roman" w:cs="Times New Roman"/>
          <w:sz w:val="24"/>
          <w:szCs w:val="24"/>
        </w:rPr>
        <w:t>n inherent right to protect its processes.</w:t>
      </w:r>
    </w:p>
    <w:p w:rsidR="00D43A93" w:rsidRDefault="00D43A93" w:rsidP="007763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issue of irreparable harm or no other remedy is also debatable.  However, in view of the f</w:t>
      </w:r>
      <w:r w:rsidR="00AE41FF">
        <w:rPr>
          <w:rFonts w:ascii="Times New Roman" w:hAnsi="Times New Roman" w:cs="Times New Roman"/>
          <w:sz w:val="24"/>
          <w:szCs w:val="24"/>
        </w:rPr>
        <w:t>i</w:t>
      </w:r>
      <w:r>
        <w:rPr>
          <w:rFonts w:ascii="Times New Roman" w:hAnsi="Times New Roman" w:cs="Times New Roman"/>
          <w:sz w:val="24"/>
          <w:szCs w:val="24"/>
        </w:rPr>
        <w:t>nding which I have made that the first respondent’s conduct if not arrested undermines the process of court in case number HC 4633/23 rendering the decision which may be given therein academic, I consider that an interdict is necessary to be granted for the continued protection of court process.  The first respondent has not de</w:t>
      </w:r>
      <w:r w:rsidR="00AE41FF">
        <w:rPr>
          <w:rFonts w:ascii="Times New Roman" w:hAnsi="Times New Roman" w:cs="Times New Roman"/>
          <w:sz w:val="24"/>
          <w:szCs w:val="24"/>
        </w:rPr>
        <w:t>ni</w:t>
      </w:r>
      <w:r>
        <w:rPr>
          <w:rFonts w:ascii="Times New Roman" w:hAnsi="Times New Roman" w:cs="Times New Roman"/>
          <w:sz w:val="24"/>
          <w:szCs w:val="24"/>
        </w:rPr>
        <w:t>ed that it is carrying out the mining operations complained of.  The first respondent has instead sought to rely on a determination not formally presented to the court which has not finalized the matter.</w:t>
      </w:r>
    </w:p>
    <w:p w:rsidR="00D43A93" w:rsidRDefault="00D43A93" w:rsidP="007763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must be note</w:t>
      </w:r>
      <w:r w:rsidR="00AE41FF">
        <w:rPr>
          <w:rFonts w:ascii="Times New Roman" w:hAnsi="Times New Roman" w:cs="Times New Roman"/>
          <w:sz w:val="24"/>
          <w:szCs w:val="24"/>
        </w:rPr>
        <w:t>d</w:t>
      </w:r>
      <w:r>
        <w:rPr>
          <w:rFonts w:ascii="Times New Roman" w:hAnsi="Times New Roman" w:cs="Times New Roman"/>
          <w:sz w:val="24"/>
          <w:szCs w:val="24"/>
        </w:rPr>
        <w:t xml:space="preserve"> that at this stage the applicant in terms of r 60(a) of the High Court Rules (2021) only needs to establish a </w:t>
      </w:r>
      <w:r w:rsidRPr="003F482F">
        <w:rPr>
          <w:rFonts w:ascii="Times New Roman" w:hAnsi="Times New Roman" w:cs="Times New Roman"/>
          <w:i/>
          <w:iCs/>
          <w:sz w:val="24"/>
          <w:szCs w:val="24"/>
        </w:rPr>
        <w:t>prima facie</w:t>
      </w:r>
      <w:r>
        <w:rPr>
          <w:rFonts w:ascii="Times New Roman" w:hAnsi="Times New Roman" w:cs="Times New Roman"/>
          <w:sz w:val="24"/>
          <w:szCs w:val="24"/>
        </w:rPr>
        <w:t xml:space="preserve"> to be entitled to a provisional order which the judge may grant in terms of the draft order or as varied.  An appropriate interim order is one which ensures that no mining activity or removal of ore already mined takes place on the disputed </w:t>
      </w:r>
      <w:r>
        <w:rPr>
          <w:rFonts w:ascii="Times New Roman" w:hAnsi="Times New Roman" w:cs="Times New Roman"/>
          <w:sz w:val="24"/>
          <w:szCs w:val="24"/>
        </w:rPr>
        <w:lastRenderedPageBreak/>
        <w:t xml:space="preserve">boundary area pending the finalization of case number HC 4633/23.  Since the applicant filed an appeal against the determination of the second respondent before </w:t>
      </w:r>
      <w:r w:rsidRPr="007763B7">
        <w:rPr>
          <w:rFonts w:ascii="Times New Roman" w:hAnsi="Times New Roman" w:cs="Times New Roman"/>
          <w:smallCaps/>
          <w:sz w:val="24"/>
          <w:szCs w:val="24"/>
        </w:rPr>
        <w:t>Munangati</w:t>
      </w:r>
      <w:r>
        <w:rPr>
          <w:rFonts w:ascii="Times New Roman" w:hAnsi="Times New Roman" w:cs="Times New Roman"/>
          <w:sz w:val="24"/>
          <w:szCs w:val="24"/>
        </w:rPr>
        <w:t>-</w:t>
      </w:r>
      <w:r w:rsidRPr="007763B7">
        <w:rPr>
          <w:rFonts w:ascii="Times New Roman" w:hAnsi="Times New Roman" w:cs="Times New Roman"/>
          <w:smallCaps/>
          <w:sz w:val="24"/>
          <w:szCs w:val="24"/>
        </w:rPr>
        <w:t>Manongwa</w:t>
      </w:r>
      <w:r>
        <w:rPr>
          <w:rFonts w:ascii="Times New Roman" w:hAnsi="Times New Roman" w:cs="Times New Roman"/>
          <w:sz w:val="24"/>
          <w:szCs w:val="24"/>
        </w:rPr>
        <w:t xml:space="preserve"> J finalized the application on which she ordered that the determination be carried out to ascertain the disputed boundaries the effect of the appeal is a matter which the learned judge will deal with as a matter of law.  The first respondent cannot lawfully arrogate to itself the power to determine the dispute for itself whether or not the determination </w:t>
      </w:r>
      <w:r w:rsidR="002723D1">
        <w:rPr>
          <w:rFonts w:ascii="Times New Roman" w:hAnsi="Times New Roman" w:cs="Times New Roman"/>
          <w:sz w:val="24"/>
          <w:szCs w:val="24"/>
        </w:rPr>
        <w:t>made</w:t>
      </w:r>
      <w:r>
        <w:rPr>
          <w:rFonts w:ascii="Times New Roman" w:hAnsi="Times New Roman" w:cs="Times New Roman"/>
          <w:sz w:val="24"/>
          <w:szCs w:val="24"/>
        </w:rPr>
        <w:t xml:space="preserve"> </w:t>
      </w:r>
      <w:r w:rsidR="002723D1">
        <w:rPr>
          <w:rFonts w:ascii="Times New Roman" w:hAnsi="Times New Roman" w:cs="Times New Roman"/>
          <w:sz w:val="24"/>
          <w:szCs w:val="24"/>
        </w:rPr>
        <w:t>was</w:t>
      </w:r>
      <w:r>
        <w:rPr>
          <w:rFonts w:ascii="Times New Roman" w:hAnsi="Times New Roman" w:cs="Times New Roman"/>
          <w:sz w:val="24"/>
          <w:szCs w:val="24"/>
        </w:rPr>
        <w:t xml:space="preserve"> be favourable to him.</w:t>
      </w:r>
    </w:p>
    <w:p w:rsidR="00D43A93" w:rsidRDefault="00D43A93" w:rsidP="00D43A93">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I grant the following interim relief with the provisional order filed by the applicant being </w:t>
      </w:r>
      <w:r w:rsidR="002723D1">
        <w:rPr>
          <w:rFonts w:ascii="Times New Roman" w:hAnsi="Times New Roman" w:cs="Times New Roman"/>
          <w:sz w:val="24"/>
          <w:szCs w:val="24"/>
        </w:rPr>
        <w:t>vari</w:t>
      </w:r>
      <w:r>
        <w:rPr>
          <w:rFonts w:ascii="Times New Roman" w:hAnsi="Times New Roman" w:cs="Times New Roman"/>
          <w:sz w:val="24"/>
          <w:szCs w:val="24"/>
        </w:rPr>
        <w:t>ed to that extent:</w:t>
      </w:r>
    </w:p>
    <w:p w:rsidR="00D43A93" w:rsidRPr="00D43A93" w:rsidRDefault="00D43A93" w:rsidP="00D43A93">
      <w:pPr>
        <w:spacing w:line="360" w:lineRule="auto"/>
        <w:ind w:left="720"/>
        <w:jc w:val="both"/>
        <w:rPr>
          <w:rFonts w:ascii="Times New Roman" w:hAnsi="Times New Roman" w:cs="Times New Roman"/>
        </w:rPr>
      </w:pPr>
      <w:r w:rsidRPr="00D43A93">
        <w:rPr>
          <w:rFonts w:ascii="Times New Roman" w:hAnsi="Times New Roman" w:cs="Times New Roman"/>
        </w:rPr>
        <w:t>“Pending the determination of this matter and case number HC 4633/23, the applicant is granted the following relief:</w:t>
      </w:r>
    </w:p>
    <w:p w:rsidR="00D43A93" w:rsidRPr="00D43A93" w:rsidRDefault="00D43A93" w:rsidP="00D43A93">
      <w:pPr>
        <w:pStyle w:val="ListParagraph"/>
        <w:numPr>
          <w:ilvl w:val="0"/>
          <w:numId w:val="6"/>
        </w:numPr>
        <w:spacing w:line="360" w:lineRule="auto"/>
        <w:jc w:val="both"/>
        <w:rPr>
          <w:rFonts w:ascii="Times New Roman" w:hAnsi="Times New Roman" w:cs="Times New Roman"/>
        </w:rPr>
      </w:pPr>
      <w:r w:rsidRPr="00D43A93">
        <w:rPr>
          <w:rFonts w:ascii="Times New Roman" w:hAnsi="Times New Roman" w:cs="Times New Roman"/>
        </w:rPr>
        <w:t>The first respondent is interdicted from carrying out any mining activities including removal of any mined ore from the disputed area including ore already mined.”</w:t>
      </w:r>
    </w:p>
    <w:p w:rsidR="00D43A93" w:rsidRDefault="00D43A93" w:rsidP="00D43A93">
      <w:pPr>
        <w:spacing w:line="360" w:lineRule="auto"/>
        <w:jc w:val="both"/>
        <w:rPr>
          <w:rFonts w:ascii="Times New Roman" w:hAnsi="Times New Roman" w:cs="Times New Roman"/>
          <w:sz w:val="24"/>
          <w:szCs w:val="24"/>
        </w:rPr>
      </w:pPr>
    </w:p>
    <w:p w:rsidR="00C97F53" w:rsidRDefault="00C97F53" w:rsidP="005606B6">
      <w:pPr>
        <w:spacing w:after="0" w:line="240" w:lineRule="auto"/>
        <w:jc w:val="both"/>
        <w:rPr>
          <w:rFonts w:ascii="Times New Roman" w:hAnsi="Times New Roman" w:cs="Times New Roman"/>
          <w:i/>
          <w:sz w:val="24"/>
          <w:szCs w:val="24"/>
        </w:rPr>
      </w:pPr>
    </w:p>
    <w:p w:rsidR="00C97F53" w:rsidRDefault="00C97F53" w:rsidP="005606B6">
      <w:pPr>
        <w:spacing w:after="0" w:line="240" w:lineRule="auto"/>
        <w:jc w:val="both"/>
        <w:rPr>
          <w:rFonts w:ascii="Times New Roman" w:hAnsi="Times New Roman" w:cs="Times New Roman"/>
          <w:i/>
          <w:sz w:val="24"/>
          <w:szCs w:val="24"/>
        </w:rPr>
      </w:pPr>
    </w:p>
    <w:p w:rsidR="00C97F53" w:rsidRDefault="00C97F53" w:rsidP="005606B6">
      <w:pPr>
        <w:spacing w:after="0" w:line="240" w:lineRule="auto"/>
        <w:jc w:val="both"/>
        <w:rPr>
          <w:rFonts w:ascii="Times New Roman" w:hAnsi="Times New Roman" w:cs="Times New Roman"/>
          <w:i/>
          <w:sz w:val="24"/>
          <w:szCs w:val="24"/>
        </w:rPr>
      </w:pPr>
    </w:p>
    <w:p w:rsidR="00C97F53" w:rsidRDefault="00C97F53" w:rsidP="005606B6">
      <w:pPr>
        <w:spacing w:after="0" w:line="240" w:lineRule="auto"/>
        <w:jc w:val="both"/>
        <w:rPr>
          <w:rFonts w:ascii="Times New Roman" w:hAnsi="Times New Roman" w:cs="Times New Roman"/>
          <w:i/>
          <w:sz w:val="24"/>
          <w:szCs w:val="24"/>
        </w:rPr>
      </w:pPr>
    </w:p>
    <w:p w:rsidR="00C97F53" w:rsidRDefault="00C97F53" w:rsidP="005606B6">
      <w:pPr>
        <w:spacing w:after="0" w:line="240" w:lineRule="auto"/>
        <w:jc w:val="both"/>
        <w:rPr>
          <w:rFonts w:ascii="Times New Roman" w:hAnsi="Times New Roman" w:cs="Times New Roman"/>
          <w:i/>
          <w:sz w:val="24"/>
          <w:szCs w:val="24"/>
        </w:rPr>
      </w:pPr>
    </w:p>
    <w:p w:rsidR="00D43A93" w:rsidRDefault="00A276E5" w:rsidP="005606B6">
      <w:pPr>
        <w:spacing w:after="0" w:line="240" w:lineRule="auto"/>
        <w:jc w:val="both"/>
        <w:rPr>
          <w:rFonts w:ascii="Times New Roman" w:hAnsi="Times New Roman" w:cs="Times New Roman"/>
          <w:sz w:val="24"/>
          <w:szCs w:val="24"/>
        </w:rPr>
      </w:pPr>
      <w:r w:rsidRPr="00A276E5">
        <w:rPr>
          <w:rFonts w:ascii="Times New Roman" w:hAnsi="Times New Roman" w:cs="Times New Roman"/>
          <w:i/>
          <w:sz w:val="24"/>
          <w:szCs w:val="24"/>
        </w:rPr>
        <w:t>Makonore Attorneys</w:t>
      </w:r>
      <w:r>
        <w:rPr>
          <w:rFonts w:ascii="Times New Roman" w:hAnsi="Times New Roman" w:cs="Times New Roman"/>
          <w:sz w:val="24"/>
          <w:szCs w:val="24"/>
        </w:rPr>
        <w:t>,</w:t>
      </w:r>
      <w:r w:rsidR="00D43A93">
        <w:rPr>
          <w:rFonts w:ascii="Times New Roman" w:hAnsi="Times New Roman" w:cs="Times New Roman"/>
          <w:sz w:val="24"/>
          <w:szCs w:val="24"/>
        </w:rPr>
        <w:t xml:space="preserve"> applicant’s legal practitioners</w:t>
      </w:r>
    </w:p>
    <w:p w:rsidR="00D43A93" w:rsidRPr="00A276E5" w:rsidRDefault="00A276E5" w:rsidP="005606B6">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N</w:t>
      </w:r>
      <w:r w:rsidR="00BA0722">
        <w:rPr>
          <w:rFonts w:ascii="Times New Roman" w:hAnsi="Times New Roman" w:cs="Times New Roman"/>
          <w:i/>
          <w:iCs/>
          <w:sz w:val="24"/>
          <w:szCs w:val="24"/>
        </w:rPr>
        <w:t>gweru</w:t>
      </w:r>
      <w:r>
        <w:rPr>
          <w:rFonts w:ascii="Times New Roman" w:hAnsi="Times New Roman" w:cs="Times New Roman"/>
          <w:i/>
          <w:iCs/>
          <w:sz w:val="24"/>
          <w:szCs w:val="24"/>
        </w:rPr>
        <w:t>me Attorney</w:t>
      </w:r>
      <w:r w:rsidR="00BA0722">
        <w:rPr>
          <w:rFonts w:ascii="Times New Roman" w:hAnsi="Times New Roman" w:cs="Times New Roman"/>
          <w:i/>
          <w:iCs/>
          <w:sz w:val="24"/>
          <w:szCs w:val="24"/>
        </w:rPr>
        <w:t>s</w:t>
      </w:r>
      <w:r w:rsidR="00D43A93" w:rsidRPr="00215074">
        <w:rPr>
          <w:rFonts w:ascii="Times New Roman" w:hAnsi="Times New Roman" w:cs="Times New Roman"/>
          <w:i/>
          <w:iCs/>
          <w:sz w:val="24"/>
          <w:szCs w:val="24"/>
        </w:rPr>
        <w:t>,</w:t>
      </w:r>
      <w:r w:rsidR="00D43A93">
        <w:rPr>
          <w:rFonts w:ascii="Times New Roman" w:hAnsi="Times New Roman" w:cs="Times New Roman"/>
          <w:sz w:val="24"/>
          <w:szCs w:val="24"/>
        </w:rPr>
        <w:t xml:space="preserve"> </w:t>
      </w:r>
      <w:r w:rsidR="00BA0722">
        <w:rPr>
          <w:rFonts w:ascii="Times New Roman" w:hAnsi="Times New Roman" w:cs="Times New Roman"/>
          <w:sz w:val="24"/>
          <w:szCs w:val="24"/>
        </w:rPr>
        <w:t xml:space="preserve">first </w:t>
      </w:r>
      <w:r w:rsidR="00D43A93">
        <w:rPr>
          <w:rFonts w:ascii="Times New Roman" w:hAnsi="Times New Roman" w:cs="Times New Roman"/>
          <w:sz w:val="24"/>
          <w:szCs w:val="24"/>
        </w:rPr>
        <w:t>respondents’ legal practitioners</w:t>
      </w:r>
    </w:p>
    <w:p w:rsidR="00D43A93" w:rsidRPr="00260423" w:rsidRDefault="00D43A93" w:rsidP="00D43A93">
      <w:pPr>
        <w:spacing w:line="360" w:lineRule="auto"/>
        <w:jc w:val="both"/>
      </w:pPr>
    </w:p>
    <w:p w:rsidR="00CF766B" w:rsidRPr="00D43A93" w:rsidRDefault="00CF766B" w:rsidP="00D43A93">
      <w:pPr>
        <w:rPr>
          <w:rFonts w:ascii="Times New Roman" w:hAnsi="Times New Roman" w:cs="Times New Roman"/>
          <w:sz w:val="24"/>
          <w:szCs w:val="24"/>
        </w:rPr>
      </w:pPr>
    </w:p>
    <w:sectPr w:rsidR="00CF766B" w:rsidRPr="00D43A9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9A0" w:rsidRDefault="00BD19A0" w:rsidP="00235446">
      <w:pPr>
        <w:spacing w:after="0" w:line="240" w:lineRule="auto"/>
      </w:pPr>
      <w:r>
        <w:separator/>
      </w:r>
    </w:p>
  </w:endnote>
  <w:endnote w:type="continuationSeparator" w:id="0">
    <w:p w:rsidR="00BD19A0" w:rsidRDefault="00BD19A0" w:rsidP="00235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9A0" w:rsidRDefault="00BD19A0" w:rsidP="00235446">
      <w:pPr>
        <w:spacing w:after="0" w:line="240" w:lineRule="auto"/>
      </w:pPr>
      <w:r>
        <w:separator/>
      </w:r>
    </w:p>
  </w:footnote>
  <w:footnote w:type="continuationSeparator" w:id="0">
    <w:p w:rsidR="00BD19A0" w:rsidRDefault="00BD19A0" w:rsidP="00235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13028"/>
      <w:docPartObj>
        <w:docPartGallery w:val="Page Numbers (Top of Page)"/>
        <w:docPartUnique/>
      </w:docPartObj>
    </w:sdtPr>
    <w:sdtEndPr>
      <w:rPr>
        <w:noProof/>
      </w:rPr>
    </w:sdtEndPr>
    <w:sdtContent>
      <w:p w:rsidR="00235446" w:rsidRDefault="00235446">
        <w:pPr>
          <w:pStyle w:val="Header"/>
          <w:jc w:val="right"/>
          <w:rPr>
            <w:noProof/>
          </w:rPr>
        </w:pPr>
        <w:r>
          <w:fldChar w:fldCharType="begin"/>
        </w:r>
        <w:r>
          <w:instrText xml:space="preserve"> PAGE   \* MERGEFORMAT </w:instrText>
        </w:r>
        <w:r>
          <w:fldChar w:fldCharType="separate"/>
        </w:r>
        <w:r w:rsidR="009E7503">
          <w:rPr>
            <w:noProof/>
          </w:rPr>
          <w:t>1</w:t>
        </w:r>
        <w:r>
          <w:rPr>
            <w:noProof/>
          </w:rPr>
          <w:fldChar w:fldCharType="end"/>
        </w:r>
      </w:p>
      <w:p w:rsidR="00235446" w:rsidRDefault="00235446">
        <w:pPr>
          <w:pStyle w:val="Header"/>
          <w:jc w:val="right"/>
          <w:rPr>
            <w:noProof/>
          </w:rPr>
        </w:pPr>
        <w:r>
          <w:rPr>
            <w:noProof/>
          </w:rPr>
          <w:t>HH</w:t>
        </w:r>
        <w:r w:rsidR="00581F6D">
          <w:rPr>
            <w:noProof/>
          </w:rPr>
          <w:t xml:space="preserve"> 584-23</w:t>
        </w:r>
      </w:p>
      <w:p w:rsidR="00235446" w:rsidRDefault="00235446">
        <w:pPr>
          <w:pStyle w:val="Header"/>
          <w:jc w:val="right"/>
          <w:rPr>
            <w:noProof/>
          </w:rPr>
        </w:pPr>
        <w:r>
          <w:rPr>
            <w:noProof/>
          </w:rPr>
          <w:t>HC 5554/23</w:t>
        </w:r>
      </w:p>
      <w:p w:rsidR="00235446" w:rsidRDefault="00235446">
        <w:pPr>
          <w:pStyle w:val="Header"/>
          <w:jc w:val="right"/>
          <w:rPr>
            <w:noProof/>
          </w:rPr>
        </w:pPr>
        <w:r>
          <w:rPr>
            <w:noProof/>
          </w:rPr>
          <w:t>HC 4633/23</w:t>
        </w:r>
      </w:p>
      <w:p w:rsidR="00235446" w:rsidRDefault="00235446">
        <w:pPr>
          <w:pStyle w:val="Header"/>
          <w:jc w:val="right"/>
        </w:pPr>
        <w:r>
          <w:rPr>
            <w:noProof/>
          </w:rPr>
          <w:t>HC CIA 232/23</w:t>
        </w:r>
      </w:p>
    </w:sdtContent>
  </w:sdt>
  <w:p w:rsidR="00235446" w:rsidRDefault="002354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3245"/>
    <w:multiLevelType w:val="hybridMultilevel"/>
    <w:tmpl w:val="6360EB66"/>
    <w:lvl w:ilvl="0" w:tplc="570A723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02151"/>
    <w:multiLevelType w:val="hybridMultilevel"/>
    <w:tmpl w:val="9168EC24"/>
    <w:lvl w:ilvl="0" w:tplc="CC1CC29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CE94EB5"/>
    <w:multiLevelType w:val="hybridMultilevel"/>
    <w:tmpl w:val="8D0800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D9C7F1C"/>
    <w:multiLevelType w:val="hybridMultilevel"/>
    <w:tmpl w:val="089243D2"/>
    <w:lvl w:ilvl="0" w:tplc="570A7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64C6AC4"/>
    <w:multiLevelType w:val="hybridMultilevel"/>
    <w:tmpl w:val="6D7CCB04"/>
    <w:lvl w:ilvl="0" w:tplc="8A4268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B802231"/>
    <w:multiLevelType w:val="hybridMultilevel"/>
    <w:tmpl w:val="B20A9F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446"/>
    <w:rsid w:val="00010777"/>
    <w:rsid w:val="00041F70"/>
    <w:rsid w:val="00076612"/>
    <w:rsid w:val="000B1398"/>
    <w:rsid w:val="000C1F28"/>
    <w:rsid w:val="000D78C1"/>
    <w:rsid w:val="002206DD"/>
    <w:rsid w:val="00235446"/>
    <w:rsid w:val="00252D20"/>
    <w:rsid w:val="00255A1F"/>
    <w:rsid w:val="002723D1"/>
    <w:rsid w:val="003B0EA9"/>
    <w:rsid w:val="003B4C10"/>
    <w:rsid w:val="004A0A67"/>
    <w:rsid w:val="005069F1"/>
    <w:rsid w:val="0054303B"/>
    <w:rsid w:val="00555F17"/>
    <w:rsid w:val="005606B6"/>
    <w:rsid w:val="00581F6D"/>
    <w:rsid w:val="005A3B4F"/>
    <w:rsid w:val="0060346F"/>
    <w:rsid w:val="00737DF2"/>
    <w:rsid w:val="00737EEB"/>
    <w:rsid w:val="007763B7"/>
    <w:rsid w:val="00866FB0"/>
    <w:rsid w:val="00895C91"/>
    <w:rsid w:val="00946A2A"/>
    <w:rsid w:val="00953B68"/>
    <w:rsid w:val="009656C0"/>
    <w:rsid w:val="0098146D"/>
    <w:rsid w:val="009E7503"/>
    <w:rsid w:val="00A13358"/>
    <w:rsid w:val="00A276E5"/>
    <w:rsid w:val="00A66C6A"/>
    <w:rsid w:val="00AA2702"/>
    <w:rsid w:val="00AE41FF"/>
    <w:rsid w:val="00B25114"/>
    <w:rsid w:val="00B3036E"/>
    <w:rsid w:val="00B57CA6"/>
    <w:rsid w:val="00B80C8C"/>
    <w:rsid w:val="00BA0722"/>
    <w:rsid w:val="00BC2C02"/>
    <w:rsid w:val="00BD19A0"/>
    <w:rsid w:val="00BF5AAD"/>
    <w:rsid w:val="00C05FFE"/>
    <w:rsid w:val="00C90470"/>
    <w:rsid w:val="00C97F53"/>
    <w:rsid w:val="00CA7EE3"/>
    <w:rsid w:val="00CF4060"/>
    <w:rsid w:val="00CF766B"/>
    <w:rsid w:val="00D43A93"/>
    <w:rsid w:val="00D85C96"/>
    <w:rsid w:val="00DE3671"/>
    <w:rsid w:val="00E34089"/>
    <w:rsid w:val="00E67B82"/>
    <w:rsid w:val="00EF504A"/>
    <w:rsid w:val="00EF507F"/>
    <w:rsid w:val="00F52B38"/>
    <w:rsid w:val="00F67F30"/>
    <w:rsid w:val="00F92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8DBF5-66A8-4B20-9089-6E00FA7F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446"/>
  </w:style>
  <w:style w:type="paragraph" w:styleId="Footer">
    <w:name w:val="footer"/>
    <w:basedOn w:val="Normal"/>
    <w:link w:val="FooterChar"/>
    <w:uiPriority w:val="99"/>
    <w:unhideWhenUsed/>
    <w:rsid w:val="00235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446"/>
  </w:style>
  <w:style w:type="paragraph" w:styleId="ListParagraph">
    <w:name w:val="List Paragraph"/>
    <w:basedOn w:val="Normal"/>
    <w:uiPriority w:val="34"/>
    <w:qFormat/>
    <w:rsid w:val="00B57CA6"/>
    <w:pPr>
      <w:ind w:left="720"/>
      <w:contextualSpacing/>
    </w:pPr>
  </w:style>
  <w:style w:type="character" w:styleId="CommentReference">
    <w:name w:val="annotation reference"/>
    <w:basedOn w:val="DefaultParagraphFont"/>
    <w:uiPriority w:val="99"/>
    <w:semiHidden/>
    <w:unhideWhenUsed/>
    <w:rsid w:val="000D78C1"/>
    <w:rPr>
      <w:sz w:val="16"/>
      <w:szCs w:val="16"/>
    </w:rPr>
  </w:style>
  <w:style w:type="paragraph" w:styleId="CommentText">
    <w:name w:val="annotation text"/>
    <w:basedOn w:val="Normal"/>
    <w:link w:val="CommentTextChar"/>
    <w:uiPriority w:val="99"/>
    <w:semiHidden/>
    <w:unhideWhenUsed/>
    <w:rsid w:val="000D78C1"/>
    <w:pPr>
      <w:spacing w:line="240" w:lineRule="auto"/>
    </w:pPr>
    <w:rPr>
      <w:sz w:val="20"/>
      <w:szCs w:val="20"/>
    </w:rPr>
  </w:style>
  <w:style w:type="character" w:customStyle="1" w:styleId="CommentTextChar">
    <w:name w:val="Comment Text Char"/>
    <w:basedOn w:val="DefaultParagraphFont"/>
    <w:link w:val="CommentText"/>
    <w:uiPriority w:val="99"/>
    <w:semiHidden/>
    <w:rsid w:val="000D78C1"/>
    <w:rPr>
      <w:sz w:val="20"/>
      <w:szCs w:val="20"/>
    </w:rPr>
  </w:style>
  <w:style w:type="paragraph" w:styleId="CommentSubject">
    <w:name w:val="annotation subject"/>
    <w:basedOn w:val="CommentText"/>
    <w:next w:val="CommentText"/>
    <w:link w:val="CommentSubjectChar"/>
    <w:uiPriority w:val="99"/>
    <w:semiHidden/>
    <w:unhideWhenUsed/>
    <w:rsid w:val="000D78C1"/>
    <w:rPr>
      <w:b/>
      <w:bCs/>
    </w:rPr>
  </w:style>
  <w:style w:type="character" w:customStyle="1" w:styleId="CommentSubjectChar">
    <w:name w:val="Comment Subject Char"/>
    <w:basedOn w:val="CommentTextChar"/>
    <w:link w:val="CommentSubject"/>
    <w:uiPriority w:val="99"/>
    <w:semiHidden/>
    <w:rsid w:val="000D78C1"/>
    <w:rPr>
      <w:b/>
      <w:bCs/>
      <w:sz w:val="20"/>
      <w:szCs w:val="20"/>
    </w:rPr>
  </w:style>
  <w:style w:type="paragraph" w:styleId="BalloonText">
    <w:name w:val="Balloon Text"/>
    <w:basedOn w:val="Normal"/>
    <w:link w:val="BalloonTextChar"/>
    <w:uiPriority w:val="99"/>
    <w:semiHidden/>
    <w:unhideWhenUsed/>
    <w:rsid w:val="000D78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8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3385</Words>
  <Characters>19298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2023-10-27T09:38:00Z</dcterms:created>
  <dcterms:modified xsi:type="dcterms:W3CDTF">2023-10-27T09:38:00Z</dcterms:modified>
</cp:coreProperties>
</file>