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6F5A" w14:textId="18E6F750" w:rsidR="004A5556" w:rsidRPr="00C6608D" w:rsidRDefault="004A5556" w:rsidP="00C6608D">
      <w:pPr>
        <w:pStyle w:val="NoSpacing"/>
        <w:spacing w:before="0" w:beforeAutospacing="0" w:after="0" w:afterAutospacing="0"/>
        <w:jc w:val="both"/>
        <w:rPr>
          <w:bCs/>
          <w:szCs w:val="24"/>
          <w:lang w:val="fr-CA"/>
        </w:rPr>
      </w:pPr>
      <w:bookmarkStart w:id="0" w:name="_GoBack"/>
      <w:bookmarkEnd w:id="0"/>
      <w:r w:rsidRPr="00C6608D">
        <w:rPr>
          <w:bCs/>
          <w:szCs w:val="24"/>
          <w:lang w:val="fr-CA"/>
        </w:rPr>
        <w:t xml:space="preserve">EX CONSTABLE GANI A 987343Y </w:t>
      </w:r>
    </w:p>
    <w:p w14:paraId="786015D8" w14:textId="03471716" w:rsidR="004A5556" w:rsidRPr="00C6608D" w:rsidRDefault="00C6608D" w:rsidP="00C6608D">
      <w:pPr>
        <w:pStyle w:val="NoSpacing"/>
        <w:spacing w:before="0" w:beforeAutospacing="0" w:after="0" w:afterAutospacing="0"/>
        <w:jc w:val="both"/>
        <w:rPr>
          <w:bCs/>
          <w:szCs w:val="24"/>
          <w:lang w:val="fr-CA"/>
        </w:rPr>
      </w:pPr>
      <w:r>
        <w:rPr>
          <w:bCs/>
          <w:szCs w:val="24"/>
          <w:lang w:val="fr-CA"/>
        </w:rPr>
        <w:t>v</w:t>
      </w:r>
      <w:r w:rsidR="004A5556" w:rsidRPr="00C6608D">
        <w:rPr>
          <w:bCs/>
          <w:szCs w:val="24"/>
          <w:lang w:val="fr-CA"/>
        </w:rPr>
        <w:t>ersus</w:t>
      </w:r>
    </w:p>
    <w:p w14:paraId="559B2ED1" w14:textId="77777777" w:rsidR="004A5556" w:rsidRPr="00C6608D" w:rsidRDefault="004A5556" w:rsidP="00C6608D">
      <w:pPr>
        <w:pStyle w:val="NoSpacing"/>
        <w:spacing w:before="0" w:beforeAutospacing="0" w:after="0" w:afterAutospacing="0"/>
        <w:jc w:val="both"/>
        <w:rPr>
          <w:bCs/>
          <w:szCs w:val="24"/>
        </w:rPr>
      </w:pPr>
      <w:r w:rsidRPr="00C6608D">
        <w:rPr>
          <w:bCs/>
          <w:szCs w:val="24"/>
        </w:rPr>
        <w:t xml:space="preserve">COMMISSIONER GENERAL OF POLICE </w:t>
      </w:r>
    </w:p>
    <w:p w14:paraId="21931751" w14:textId="199847BB" w:rsidR="004A5556" w:rsidRPr="00C6608D" w:rsidRDefault="00C6608D" w:rsidP="00C6608D">
      <w:pPr>
        <w:pStyle w:val="NoSpacing"/>
        <w:spacing w:before="0" w:beforeAutospacing="0" w:after="0" w:afterAutospacing="0"/>
        <w:jc w:val="both"/>
        <w:rPr>
          <w:bCs/>
          <w:szCs w:val="24"/>
        </w:rPr>
      </w:pPr>
      <w:r>
        <w:rPr>
          <w:bCs/>
          <w:szCs w:val="24"/>
        </w:rPr>
        <w:t>a</w:t>
      </w:r>
      <w:r w:rsidR="004A5556" w:rsidRPr="00C6608D">
        <w:rPr>
          <w:bCs/>
          <w:szCs w:val="24"/>
        </w:rPr>
        <w:t xml:space="preserve">nd </w:t>
      </w:r>
    </w:p>
    <w:p w14:paraId="07FEF17C" w14:textId="77777777" w:rsidR="00C6608D" w:rsidRDefault="004A5556" w:rsidP="00C6608D">
      <w:pPr>
        <w:pStyle w:val="NoSpacing"/>
        <w:spacing w:before="0" w:beforeAutospacing="0" w:after="0" w:afterAutospacing="0"/>
        <w:jc w:val="both"/>
        <w:rPr>
          <w:bCs/>
          <w:szCs w:val="24"/>
        </w:rPr>
      </w:pPr>
      <w:r w:rsidRPr="00C6608D">
        <w:rPr>
          <w:bCs/>
          <w:szCs w:val="24"/>
        </w:rPr>
        <w:t>POLICE SERVICE COMMISSION</w:t>
      </w:r>
    </w:p>
    <w:p w14:paraId="4536E5A0" w14:textId="594D5D3E" w:rsidR="004A5556" w:rsidRPr="00C6608D" w:rsidRDefault="004A5556" w:rsidP="00C6608D">
      <w:pPr>
        <w:pStyle w:val="NoSpacing"/>
        <w:spacing w:before="0" w:beforeAutospacing="0" w:after="0" w:afterAutospacing="0"/>
        <w:jc w:val="both"/>
        <w:rPr>
          <w:bCs/>
          <w:szCs w:val="24"/>
        </w:rPr>
      </w:pPr>
      <w:r w:rsidRPr="00C6608D">
        <w:rPr>
          <w:bCs/>
          <w:szCs w:val="24"/>
        </w:rPr>
        <w:t xml:space="preserve"> </w:t>
      </w:r>
    </w:p>
    <w:p w14:paraId="661411C6" w14:textId="77777777" w:rsidR="004A5556" w:rsidRPr="00D10188" w:rsidRDefault="004A5556" w:rsidP="004A5556">
      <w:pPr>
        <w:pStyle w:val="NoSpacing"/>
        <w:jc w:val="both"/>
        <w:rPr>
          <w:b/>
          <w:szCs w:val="24"/>
        </w:rPr>
      </w:pPr>
    </w:p>
    <w:p w14:paraId="2AFAD34A" w14:textId="5A82C556" w:rsidR="004A5556" w:rsidRPr="00D10188" w:rsidRDefault="004A5556" w:rsidP="004A5556">
      <w:pPr>
        <w:pStyle w:val="NoSpacing"/>
        <w:jc w:val="both"/>
        <w:rPr>
          <w:szCs w:val="24"/>
        </w:rPr>
      </w:pPr>
      <w:r w:rsidRPr="00D10188">
        <w:rPr>
          <w:szCs w:val="24"/>
        </w:rPr>
        <w:t>HIGH COURT OF ZIMBABWE</w:t>
      </w:r>
    </w:p>
    <w:p w14:paraId="7388891C" w14:textId="77777777" w:rsidR="004A5556" w:rsidRPr="00C6608D" w:rsidRDefault="004A5556" w:rsidP="004A5556">
      <w:pPr>
        <w:pStyle w:val="NoSpacing"/>
        <w:jc w:val="both"/>
        <w:rPr>
          <w:b/>
          <w:bCs/>
          <w:szCs w:val="24"/>
        </w:rPr>
      </w:pPr>
      <w:r w:rsidRPr="00C6608D">
        <w:rPr>
          <w:b/>
          <w:bCs/>
          <w:szCs w:val="24"/>
        </w:rPr>
        <w:t>DUBE-BANDA J</w:t>
      </w:r>
    </w:p>
    <w:p w14:paraId="2D32A0F8" w14:textId="77777777" w:rsidR="00C6608D" w:rsidRDefault="004A5556" w:rsidP="004A5556">
      <w:pPr>
        <w:pStyle w:val="NoSpacing"/>
        <w:jc w:val="both"/>
        <w:rPr>
          <w:szCs w:val="24"/>
        </w:rPr>
      </w:pPr>
      <w:r>
        <w:rPr>
          <w:szCs w:val="24"/>
        </w:rPr>
        <w:t>HARARE</w:t>
      </w:r>
      <w:r w:rsidR="00C6608D">
        <w:rPr>
          <w:szCs w:val="24"/>
        </w:rPr>
        <w:t>,</w:t>
      </w:r>
      <w:r w:rsidRPr="00D10188">
        <w:rPr>
          <w:szCs w:val="24"/>
        </w:rPr>
        <w:t xml:space="preserve"> </w:t>
      </w:r>
      <w:r>
        <w:rPr>
          <w:szCs w:val="24"/>
        </w:rPr>
        <w:t>15</w:t>
      </w:r>
      <w:r w:rsidR="00C6608D">
        <w:rPr>
          <w:szCs w:val="24"/>
        </w:rPr>
        <w:t xml:space="preserve"> &amp;</w:t>
      </w:r>
      <w:r>
        <w:rPr>
          <w:szCs w:val="24"/>
        </w:rPr>
        <w:t xml:space="preserve"> </w:t>
      </w:r>
      <w:r w:rsidR="00AA3F8C">
        <w:rPr>
          <w:szCs w:val="24"/>
        </w:rPr>
        <w:t>31 January &amp; 24 March 2025</w:t>
      </w:r>
    </w:p>
    <w:p w14:paraId="5800DF19" w14:textId="4E159645" w:rsidR="004A5556" w:rsidRPr="00D10188" w:rsidRDefault="00AA3F8C" w:rsidP="004A5556">
      <w:pPr>
        <w:pStyle w:val="NoSpacing"/>
        <w:jc w:val="both"/>
        <w:rPr>
          <w:szCs w:val="24"/>
        </w:rPr>
      </w:pPr>
      <w:r>
        <w:rPr>
          <w:szCs w:val="24"/>
        </w:rPr>
        <w:t xml:space="preserve"> </w:t>
      </w:r>
      <w:r w:rsidR="004A5556">
        <w:rPr>
          <w:szCs w:val="24"/>
        </w:rPr>
        <w:t xml:space="preserve"> </w:t>
      </w:r>
    </w:p>
    <w:p w14:paraId="347B9986" w14:textId="77777777" w:rsidR="004A5556" w:rsidRPr="00D10188" w:rsidRDefault="004A5556" w:rsidP="004A5556">
      <w:pPr>
        <w:pStyle w:val="NoSpacing"/>
        <w:jc w:val="both"/>
        <w:rPr>
          <w:szCs w:val="24"/>
        </w:rPr>
      </w:pPr>
    </w:p>
    <w:p w14:paraId="04BD828C" w14:textId="77777777" w:rsidR="004A5556" w:rsidRDefault="004A5556" w:rsidP="004A5556">
      <w:pPr>
        <w:pStyle w:val="NoSpacing"/>
        <w:jc w:val="both"/>
        <w:rPr>
          <w:b/>
          <w:i/>
          <w:iCs/>
          <w:szCs w:val="24"/>
        </w:rPr>
      </w:pPr>
      <w:r w:rsidRPr="00D10188">
        <w:rPr>
          <w:b/>
          <w:szCs w:val="24"/>
        </w:rPr>
        <w:t>Applica</w:t>
      </w:r>
      <w:r>
        <w:rPr>
          <w:b/>
          <w:szCs w:val="24"/>
        </w:rPr>
        <w:t xml:space="preserve">tion for a </w:t>
      </w:r>
      <w:r w:rsidRPr="004A5556">
        <w:rPr>
          <w:b/>
          <w:i/>
          <w:iCs/>
          <w:szCs w:val="24"/>
        </w:rPr>
        <w:t xml:space="preserve">declaratur </w:t>
      </w:r>
    </w:p>
    <w:p w14:paraId="25B0395E" w14:textId="77777777" w:rsidR="00C6608D" w:rsidRPr="00D10188" w:rsidRDefault="00C6608D" w:rsidP="004A5556">
      <w:pPr>
        <w:pStyle w:val="NoSpacing"/>
        <w:jc w:val="both"/>
        <w:rPr>
          <w:b/>
          <w:szCs w:val="24"/>
        </w:rPr>
      </w:pPr>
    </w:p>
    <w:p w14:paraId="7545F8AB" w14:textId="77777777" w:rsidR="004A5556" w:rsidRPr="00D10188" w:rsidRDefault="004A5556" w:rsidP="004A5556">
      <w:pPr>
        <w:pStyle w:val="NoSpacing"/>
        <w:jc w:val="both"/>
        <w:rPr>
          <w:szCs w:val="24"/>
        </w:rPr>
      </w:pPr>
    </w:p>
    <w:p w14:paraId="1861A0B9" w14:textId="33F4E4A2" w:rsidR="004A5556" w:rsidRPr="00D10188" w:rsidRDefault="004A5556" w:rsidP="004A5556">
      <w:pPr>
        <w:pStyle w:val="NoSpacing"/>
        <w:jc w:val="both"/>
        <w:rPr>
          <w:szCs w:val="24"/>
        </w:rPr>
      </w:pPr>
      <w:r>
        <w:rPr>
          <w:i/>
          <w:szCs w:val="24"/>
        </w:rPr>
        <w:t>N Mugiya</w:t>
      </w:r>
      <w:r w:rsidR="00C6608D">
        <w:rPr>
          <w:i/>
          <w:szCs w:val="24"/>
        </w:rPr>
        <w:t>,</w:t>
      </w:r>
      <w:r>
        <w:rPr>
          <w:i/>
          <w:szCs w:val="24"/>
        </w:rPr>
        <w:t xml:space="preserve"> </w:t>
      </w:r>
      <w:r w:rsidRPr="00D10188">
        <w:rPr>
          <w:szCs w:val="24"/>
        </w:rPr>
        <w:t>for the applicant</w:t>
      </w:r>
      <w:r>
        <w:rPr>
          <w:szCs w:val="24"/>
        </w:rPr>
        <w:t>s</w:t>
      </w:r>
    </w:p>
    <w:p w14:paraId="745FA28F" w14:textId="54F3DE23" w:rsidR="004A5556" w:rsidRDefault="001A4868" w:rsidP="004A5556">
      <w:pPr>
        <w:pStyle w:val="NoSpacing"/>
        <w:jc w:val="both"/>
        <w:rPr>
          <w:szCs w:val="24"/>
        </w:rPr>
      </w:pPr>
      <w:r>
        <w:rPr>
          <w:i/>
          <w:szCs w:val="24"/>
        </w:rPr>
        <w:t>C</w:t>
      </w:r>
      <w:r w:rsidR="00C6608D">
        <w:rPr>
          <w:i/>
          <w:szCs w:val="24"/>
        </w:rPr>
        <w:t xml:space="preserve"> </w:t>
      </w:r>
      <w:r>
        <w:rPr>
          <w:i/>
          <w:szCs w:val="24"/>
        </w:rPr>
        <w:t>Chitekute</w:t>
      </w:r>
      <w:r w:rsidR="00C45DA2">
        <w:rPr>
          <w:i/>
          <w:szCs w:val="24"/>
        </w:rPr>
        <w:t>ku</w:t>
      </w:r>
      <w:r w:rsidR="00C6608D">
        <w:rPr>
          <w:i/>
          <w:szCs w:val="24"/>
        </w:rPr>
        <w:t>,</w:t>
      </w:r>
      <w:r>
        <w:rPr>
          <w:i/>
          <w:szCs w:val="24"/>
        </w:rPr>
        <w:t xml:space="preserve"> </w:t>
      </w:r>
      <w:r w:rsidR="004A5556" w:rsidRPr="00D10188">
        <w:rPr>
          <w:szCs w:val="24"/>
        </w:rPr>
        <w:t>for the respondent</w:t>
      </w:r>
    </w:p>
    <w:p w14:paraId="014AD7C3" w14:textId="77777777" w:rsidR="00C6608D" w:rsidRPr="00D10188" w:rsidRDefault="00C6608D" w:rsidP="004A5556">
      <w:pPr>
        <w:pStyle w:val="NoSpacing"/>
        <w:jc w:val="both"/>
        <w:rPr>
          <w:szCs w:val="24"/>
        </w:rPr>
      </w:pPr>
    </w:p>
    <w:p w14:paraId="13EC417C" w14:textId="77777777" w:rsidR="004A5556" w:rsidRPr="00BE7260" w:rsidRDefault="004A5556" w:rsidP="004A5556">
      <w:pPr>
        <w:spacing w:line="360" w:lineRule="auto"/>
        <w:ind w:firstLine="720"/>
        <w:jc w:val="both"/>
        <w:rPr>
          <w:rFonts w:ascii="Times New Roman" w:hAnsi="Times New Roman" w:cs="Times New Roman"/>
          <w:b/>
          <w:bCs/>
          <w:sz w:val="24"/>
          <w:szCs w:val="24"/>
          <w:lang w:val="en-US"/>
        </w:rPr>
      </w:pPr>
      <w:r w:rsidRPr="00BE7260">
        <w:rPr>
          <w:rFonts w:ascii="Times New Roman" w:hAnsi="Times New Roman" w:cs="Times New Roman"/>
          <w:b/>
          <w:bCs/>
          <w:sz w:val="24"/>
          <w:szCs w:val="24"/>
        </w:rPr>
        <w:t xml:space="preserve">DUBE-BANDA J:  </w:t>
      </w:r>
    </w:p>
    <w:p w14:paraId="4BBCD142" w14:textId="12607A67" w:rsidR="004A5556" w:rsidRDefault="004A5556" w:rsidP="004A55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459C1">
        <w:rPr>
          <w:rFonts w:ascii="Times New Roman" w:hAnsi="Times New Roman" w:cs="Times New Roman"/>
          <w:sz w:val="24"/>
          <w:szCs w:val="24"/>
        </w:rPr>
        <w:t xml:space="preserve">This is an application for, </w:t>
      </w:r>
      <w:r w:rsidRPr="00937E09">
        <w:rPr>
          <w:rFonts w:ascii="Times New Roman" w:hAnsi="Times New Roman" w:cs="Times New Roman"/>
          <w:i/>
          <w:iCs/>
          <w:sz w:val="24"/>
          <w:szCs w:val="24"/>
        </w:rPr>
        <w:t>inter alia</w:t>
      </w:r>
      <w:r w:rsidRPr="004459C1">
        <w:rPr>
          <w:rFonts w:ascii="Times New Roman" w:hAnsi="Times New Roman" w:cs="Times New Roman"/>
          <w:sz w:val="24"/>
          <w:szCs w:val="24"/>
        </w:rPr>
        <w:t xml:space="preserve">, declaratory orders </w:t>
      </w:r>
      <w:r>
        <w:rPr>
          <w:rFonts w:ascii="Times New Roman" w:hAnsi="Times New Roman" w:cs="Times New Roman"/>
          <w:sz w:val="24"/>
          <w:szCs w:val="24"/>
        </w:rPr>
        <w:t xml:space="preserve">and consequential relief </w:t>
      </w:r>
      <w:r w:rsidRPr="004459C1">
        <w:rPr>
          <w:rFonts w:ascii="Times New Roman" w:hAnsi="Times New Roman" w:cs="Times New Roman"/>
          <w:sz w:val="24"/>
          <w:szCs w:val="24"/>
        </w:rPr>
        <w:t>in the following terms:</w:t>
      </w:r>
    </w:p>
    <w:p w14:paraId="5BEA1650" w14:textId="7EA11AA9" w:rsidR="004A5556" w:rsidRDefault="004A5556" w:rsidP="004A5556">
      <w:pPr>
        <w:pStyle w:val="ListParagraph"/>
        <w:numPr>
          <w:ilvl w:val="0"/>
          <w:numId w:val="3"/>
        </w:numPr>
        <w:spacing w:line="360" w:lineRule="auto"/>
        <w:jc w:val="both"/>
        <w:rPr>
          <w:rFonts w:ascii="Times New Roman" w:hAnsi="Times New Roman" w:cs="Times New Roman"/>
          <w:sz w:val="24"/>
          <w:szCs w:val="24"/>
        </w:rPr>
      </w:pPr>
      <w:r w:rsidRPr="004A5556">
        <w:rPr>
          <w:rFonts w:ascii="Times New Roman" w:hAnsi="Times New Roman" w:cs="Times New Roman"/>
          <w:sz w:val="24"/>
          <w:szCs w:val="24"/>
        </w:rPr>
        <w:t>It is hereby ordered and declared that the letter written by Assistant Commissioner R.M Basera on the 14</w:t>
      </w:r>
      <w:r w:rsidRPr="004A555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4A5556">
        <w:rPr>
          <w:rFonts w:ascii="Times New Roman" w:hAnsi="Times New Roman" w:cs="Times New Roman"/>
          <w:sz w:val="24"/>
          <w:szCs w:val="24"/>
        </w:rPr>
        <w:t xml:space="preserve">of February </w:t>
      </w:r>
      <w:r>
        <w:rPr>
          <w:rFonts w:ascii="Times New Roman" w:hAnsi="Times New Roman" w:cs="Times New Roman"/>
          <w:sz w:val="24"/>
          <w:szCs w:val="24"/>
        </w:rPr>
        <w:t>2019</w:t>
      </w:r>
      <w:r w:rsidRPr="004A5556">
        <w:rPr>
          <w:rFonts w:ascii="Times New Roman" w:hAnsi="Times New Roman" w:cs="Times New Roman"/>
          <w:sz w:val="24"/>
          <w:szCs w:val="24"/>
        </w:rPr>
        <w:t xml:space="preserve"> and date</w:t>
      </w:r>
      <w:r>
        <w:rPr>
          <w:rFonts w:ascii="Times New Roman" w:hAnsi="Times New Roman" w:cs="Times New Roman"/>
          <w:sz w:val="24"/>
          <w:szCs w:val="24"/>
        </w:rPr>
        <w:t xml:space="preserve"> </w:t>
      </w:r>
      <w:r w:rsidRPr="004A5556">
        <w:rPr>
          <w:rFonts w:ascii="Times New Roman" w:hAnsi="Times New Roman" w:cs="Times New Roman"/>
          <w:sz w:val="24"/>
          <w:szCs w:val="24"/>
        </w:rPr>
        <w:t>stamped on the 18</w:t>
      </w:r>
      <w:r w:rsidRPr="004A5556">
        <w:rPr>
          <w:rFonts w:ascii="Times New Roman" w:hAnsi="Times New Roman" w:cs="Times New Roman"/>
          <w:sz w:val="24"/>
          <w:szCs w:val="24"/>
          <w:vertAlign w:val="superscript"/>
        </w:rPr>
        <w:t>th</w:t>
      </w:r>
      <w:r w:rsidRPr="004A5556">
        <w:rPr>
          <w:rFonts w:ascii="Times New Roman" w:hAnsi="Times New Roman" w:cs="Times New Roman"/>
          <w:sz w:val="24"/>
          <w:szCs w:val="24"/>
        </w:rPr>
        <w:t xml:space="preserve"> of February 2</w:t>
      </w:r>
      <w:r>
        <w:rPr>
          <w:rFonts w:ascii="Times New Roman" w:hAnsi="Times New Roman" w:cs="Times New Roman"/>
          <w:sz w:val="24"/>
          <w:szCs w:val="24"/>
        </w:rPr>
        <w:t>019</w:t>
      </w:r>
      <w:r w:rsidRPr="004A5556">
        <w:rPr>
          <w:rFonts w:ascii="Times New Roman" w:hAnsi="Times New Roman" w:cs="Times New Roman"/>
          <w:sz w:val="24"/>
          <w:szCs w:val="24"/>
        </w:rPr>
        <w:t xml:space="preserve"> do not constitute reasons for the</w:t>
      </w:r>
      <w:r>
        <w:rPr>
          <w:rFonts w:ascii="Times New Roman" w:hAnsi="Times New Roman" w:cs="Times New Roman"/>
          <w:sz w:val="24"/>
          <w:szCs w:val="24"/>
        </w:rPr>
        <w:t xml:space="preserve"> </w:t>
      </w:r>
      <w:r w:rsidRPr="004A5556">
        <w:rPr>
          <w:rFonts w:ascii="Times New Roman" w:hAnsi="Times New Roman" w:cs="Times New Roman"/>
          <w:sz w:val="24"/>
          <w:szCs w:val="24"/>
        </w:rPr>
        <w:t xml:space="preserve">decision of the </w:t>
      </w:r>
      <w:r w:rsidR="00C6608D">
        <w:rPr>
          <w:rFonts w:ascii="Times New Roman" w:hAnsi="Times New Roman" w:cs="Times New Roman"/>
          <w:sz w:val="24"/>
          <w:szCs w:val="24"/>
        </w:rPr>
        <w:t>first</w:t>
      </w:r>
      <w:r w:rsidRPr="004A5556">
        <w:rPr>
          <w:rFonts w:ascii="Times New Roman" w:hAnsi="Times New Roman" w:cs="Times New Roman"/>
          <w:sz w:val="24"/>
          <w:szCs w:val="24"/>
        </w:rPr>
        <w:t xml:space="preserve"> </w:t>
      </w:r>
      <w:r>
        <w:rPr>
          <w:rFonts w:ascii="Times New Roman" w:hAnsi="Times New Roman" w:cs="Times New Roman"/>
          <w:sz w:val="24"/>
          <w:szCs w:val="24"/>
        </w:rPr>
        <w:t>respondent</w:t>
      </w:r>
      <w:r w:rsidRPr="004A5556">
        <w:rPr>
          <w:rFonts w:ascii="Times New Roman" w:hAnsi="Times New Roman" w:cs="Times New Roman"/>
          <w:sz w:val="24"/>
          <w:szCs w:val="24"/>
        </w:rPr>
        <w:t xml:space="preserve"> in his capacity as the </w:t>
      </w:r>
      <w:r>
        <w:rPr>
          <w:rFonts w:ascii="Times New Roman" w:hAnsi="Times New Roman" w:cs="Times New Roman"/>
          <w:sz w:val="24"/>
          <w:szCs w:val="24"/>
        </w:rPr>
        <w:t>a</w:t>
      </w:r>
      <w:r w:rsidRPr="004A5556">
        <w:rPr>
          <w:rFonts w:ascii="Times New Roman" w:hAnsi="Times New Roman" w:cs="Times New Roman"/>
          <w:sz w:val="24"/>
          <w:szCs w:val="24"/>
        </w:rPr>
        <w:t>ppellant authority</w:t>
      </w:r>
      <w:r>
        <w:rPr>
          <w:rFonts w:ascii="Times New Roman" w:hAnsi="Times New Roman" w:cs="Times New Roman"/>
          <w:sz w:val="24"/>
          <w:szCs w:val="24"/>
        </w:rPr>
        <w:t xml:space="preserve"> </w:t>
      </w:r>
      <w:r w:rsidRPr="004A5556">
        <w:rPr>
          <w:rFonts w:ascii="Times New Roman" w:hAnsi="Times New Roman" w:cs="Times New Roman"/>
          <w:sz w:val="24"/>
          <w:szCs w:val="24"/>
        </w:rPr>
        <w:t>in terms of the Police Act.</w:t>
      </w:r>
    </w:p>
    <w:p w14:paraId="6FFE9445" w14:textId="47666A7E" w:rsidR="00AA3F8C" w:rsidRDefault="00EB5998" w:rsidP="004A555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4A5556" w:rsidRPr="004A5556">
        <w:rPr>
          <w:rFonts w:ascii="Times New Roman" w:hAnsi="Times New Roman" w:cs="Times New Roman"/>
          <w:sz w:val="24"/>
          <w:szCs w:val="24"/>
        </w:rPr>
        <w:t xml:space="preserve">t is accordingly held that the </w:t>
      </w:r>
      <w:r w:rsidR="00C6608D">
        <w:rPr>
          <w:rFonts w:ascii="Times New Roman" w:hAnsi="Times New Roman" w:cs="Times New Roman"/>
          <w:sz w:val="24"/>
          <w:szCs w:val="24"/>
        </w:rPr>
        <w:t xml:space="preserve">first </w:t>
      </w:r>
      <w:r w:rsidR="004A5556">
        <w:rPr>
          <w:rFonts w:ascii="Times New Roman" w:hAnsi="Times New Roman" w:cs="Times New Roman"/>
          <w:sz w:val="24"/>
          <w:szCs w:val="24"/>
        </w:rPr>
        <w:t>r</w:t>
      </w:r>
      <w:r w:rsidR="004A5556" w:rsidRPr="004A5556">
        <w:rPr>
          <w:rFonts w:ascii="Times New Roman" w:hAnsi="Times New Roman" w:cs="Times New Roman"/>
          <w:sz w:val="24"/>
          <w:szCs w:val="24"/>
        </w:rPr>
        <w:t>espondent is in contempt of the order</w:t>
      </w:r>
      <w:r w:rsidR="004A5556">
        <w:rPr>
          <w:rFonts w:ascii="Times New Roman" w:hAnsi="Times New Roman" w:cs="Times New Roman"/>
          <w:sz w:val="24"/>
          <w:szCs w:val="24"/>
        </w:rPr>
        <w:t xml:space="preserve"> </w:t>
      </w:r>
      <w:r w:rsidR="004A5556" w:rsidRPr="004A5556">
        <w:rPr>
          <w:rFonts w:ascii="Times New Roman" w:hAnsi="Times New Roman" w:cs="Times New Roman"/>
          <w:sz w:val="24"/>
          <w:szCs w:val="24"/>
        </w:rPr>
        <w:t>of this court under HC</w:t>
      </w:r>
      <w:r w:rsidR="004A5556">
        <w:rPr>
          <w:rFonts w:ascii="Times New Roman" w:hAnsi="Times New Roman" w:cs="Times New Roman"/>
          <w:sz w:val="24"/>
          <w:szCs w:val="24"/>
        </w:rPr>
        <w:t xml:space="preserve"> 42/18</w:t>
      </w:r>
      <w:r w:rsidR="004A5556" w:rsidRPr="004A5556">
        <w:rPr>
          <w:rFonts w:ascii="Times New Roman" w:hAnsi="Times New Roman" w:cs="Times New Roman"/>
          <w:sz w:val="24"/>
          <w:szCs w:val="24"/>
        </w:rPr>
        <w:t xml:space="preserve"> granted on the 28</w:t>
      </w:r>
      <w:r w:rsidR="00AA3F8C" w:rsidRPr="00AA3F8C">
        <w:rPr>
          <w:rFonts w:ascii="Times New Roman" w:hAnsi="Times New Roman" w:cs="Times New Roman"/>
          <w:sz w:val="24"/>
          <w:szCs w:val="24"/>
          <w:vertAlign w:val="superscript"/>
        </w:rPr>
        <w:t>th</w:t>
      </w:r>
      <w:r w:rsidR="00AA3F8C">
        <w:rPr>
          <w:rFonts w:ascii="Times New Roman" w:hAnsi="Times New Roman" w:cs="Times New Roman"/>
          <w:sz w:val="24"/>
          <w:szCs w:val="24"/>
        </w:rPr>
        <w:t xml:space="preserve"> </w:t>
      </w:r>
      <w:r w:rsidR="004A5556" w:rsidRPr="004A5556">
        <w:rPr>
          <w:rFonts w:ascii="Times New Roman" w:hAnsi="Times New Roman" w:cs="Times New Roman"/>
          <w:sz w:val="24"/>
          <w:szCs w:val="24"/>
        </w:rPr>
        <w:t>of November 2018.</w:t>
      </w:r>
    </w:p>
    <w:p w14:paraId="14C8DB85" w14:textId="37B3666B" w:rsidR="00AA3F8C" w:rsidRDefault="004A5556" w:rsidP="004A5556">
      <w:pPr>
        <w:pStyle w:val="ListParagraph"/>
        <w:numPr>
          <w:ilvl w:val="0"/>
          <w:numId w:val="3"/>
        </w:numPr>
        <w:spacing w:line="360" w:lineRule="auto"/>
        <w:jc w:val="both"/>
        <w:rPr>
          <w:rFonts w:ascii="Times New Roman" w:hAnsi="Times New Roman" w:cs="Times New Roman"/>
          <w:sz w:val="24"/>
          <w:szCs w:val="24"/>
        </w:rPr>
      </w:pPr>
      <w:r w:rsidRPr="00AA3F8C">
        <w:rPr>
          <w:rFonts w:ascii="Times New Roman" w:hAnsi="Times New Roman" w:cs="Times New Roman"/>
          <w:sz w:val="24"/>
          <w:szCs w:val="24"/>
        </w:rPr>
        <w:t xml:space="preserve"> It is hereby held that the </w:t>
      </w:r>
      <w:r w:rsidR="00820005">
        <w:rPr>
          <w:rFonts w:ascii="Times New Roman" w:hAnsi="Times New Roman" w:cs="Times New Roman"/>
          <w:sz w:val="24"/>
          <w:szCs w:val="24"/>
        </w:rPr>
        <w:t>first</w:t>
      </w:r>
      <w:r w:rsidR="00AA3F8C">
        <w:rPr>
          <w:rFonts w:ascii="Times New Roman" w:hAnsi="Times New Roman" w:cs="Times New Roman"/>
          <w:sz w:val="24"/>
          <w:szCs w:val="24"/>
        </w:rPr>
        <w:t xml:space="preserve"> r</w:t>
      </w:r>
      <w:r w:rsidRPr="00AA3F8C">
        <w:rPr>
          <w:rFonts w:ascii="Times New Roman" w:hAnsi="Times New Roman" w:cs="Times New Roman"/>
          <w:sz w:val="24"/>
          <w:szCs w:val="24"/>
        </w:rPr>
        <w:t>espondent failed to give reasons in terms</w:t>
      </w:r>
      <w:r w:rsidR="00AA3F8C">
        <w:rPr>
          <w:rFonts w:ascii="Times New Roman" w:hAnsi="Times New Roman" w:cs="Times New Roman"/>
          <w:sz w:val="24"/>
          <w:szCs w:val="24"/>
        </w:rPr>
        <w:t xml:space="preserve"> </w:t>
      </w:r>
      <w:r w:rsidRPr="00AA3F8C">
        <w:rPr>
          <w:rFonts w:ascii="Times New Roman" w:hAnsi="Times New Roman" w:cs="Times New Roman"/>
          <w:sz w:val="24"/>
          <w:szCs w:val="24"/>
        </w:rPr>
        <w:t>of Section 68(2)</w:t>
      </w:r>
      <w:r w:rsidR="00AA3F8C">
        <w:rPr>
          <w:rFonts w:ascii="Times New Roman" w:hAnsi="Times New Roman" w:cs="Times New Roman"/>
          <w:sz w:val="24"/>
          <w:szCs w:val="24"/>
        </w:rPr>
        <w:t xml:space="preserve"> of the</w:t>
      </w:r>
      <w:r w:rsidRPr="00AA3F8C">
        <w:rPr>
          <w:rFonts w:ascii="Times New Roman" w:hAnsi="Times New Roman" w:cs="Times New Roman"/>
          <w:sz w:val="24"/>
          <w:szCs w:val="24"/>
        </w:rPr>
        <w:t xml:space="preserve"> the Constitution in the decision he gave against the</w:t>
      </w:r>
      <w:r w:rsidR="00AA3F8C">
        <w:rPr>
          <w:rFonts w:ascii="Times New Roman" w:hAnsi="Times New Roman" w:cs="Times New Roman"/>
          <w:sz w:val="24"/>
          <w:szCs w:val="24"/>
        </w:rPr>
        <w:t xml:space="preserve"> a</w:t>
      </w:r>
      <w:r w:rsidRPr="00AA3F8C">
        <w:rPr>
          <w:rFonts w:ascii="Times New Roman" w:hAnsi="Times New Roman" w:cs="Times New Roman"/>
          <w:sz w:val="24"/>
          <w:szCs w:val="24"/>
        </w:rPr>
        <w:t>pplicant.</w:t>
      </w:r>
    </w:p>
    <w:p w14:paraId="0EAA9453" w14:textId="32479E3A" w:rsidR="00AA3F8C" w:rsidRDefault="00AA3F8C" w:rsidP="004A555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A5556" w:rsidRPr="00AA3F8C">
        <w:rPr>
          <w:rFonts w:ascii="Times New Roman" w:hAnsi="Times New Roman" w:cs="Times New Roman"/>
          <w:sz w:val="24"/>
          <w:szCs w:val="24"/>
        </w:rPr>
        <w:t xml:space="preserve">he decision of the </w:t>
      </w:r>
      <w:r w:rsidR="00C6608D">
        <w:rPr>
          <w:rFonts w:ascii="Times New Roman" w:hAnsi="Times New Roman" w:cs="Times New Roman"/>
          <w:sz w:val="24"/>
          <w:szCs w:val="24"/>
        </w:rPr>
        <w:t>first</w:t>
      </w:r>
      <w:r>
        <w:rPr>
          <w:rFonts w:ascii="Times New Roman" w:hAnsi="Times New Roman" w:cs="Times New Roman"/>
          <w:sz w:val="24"/>
          <w:szCs w:val="24"/>
        </w:rPr>
        <w:t xml:space="preserve"> r</w:t>
      </w:r>
      <w:r w:rsidR="004A5556" w:rsidRPr="00AA3F8C">
        <w:rPr>
          <w:rFonts w:ascii="Times New Roman" w:hAnsi="Times New Roman" w:cs="Times New Roman"/>
          <w:sz w:val="24"/>
          <w:szCs w:val="24"/>
        </w:rPr>
        <w:t xml:space="preserve">espondent discharging the </w:t>
      </w:r>
      <w:r>
        <w:rPr>
          <w:rFonts w:ascii="Times New Roman" w:hAnsi="Times New Roman" w:cs="Times New Roman"/>
          <w:sz w:val="24"/>
          <w:szCs w:val="24"/>
        </w:rPr>
        <w:t>a</w:t>
      </w:r>
      <w:r w:rsidR="004A5556" w:rsidRPr="00AA3F8C">
        <w:rPr>
          <w:rFonts w:ascii="Times New Roman" w:hAnsi="Times New Roman" w:cs="Times New Roman"/>
          <w:sz w:val="24"/>
          <w:szCs w:val="24"/>
        </w:rPr>
        <w:t>pplicant from the</w:t>
      </w:r>
      <w:r>
        <w:rPr>
          <w:rFonts w:ascii="Times New Roman" w:hAnsi="Times New Roman" w:cs="Times New Roman"/>
          <w:sz w:val="24"/>
          <w:szCs w:val="24"/>
        </w:rPr>
        <w:t xml:space="preserve"> </w:t>
      </w:r>
      <w:r w:rsidR="004A5556" w:rsidRPr="00AA3F8C">
        <w:rPr>
          <w:rFonts w:ascii="Times New Roman" w:hAnsi="Times New Roman" w:cs="Times New Roman"/>
          <w:sz w:val="24"/>
          <w:szCs w:val="24"/>
        </w:rPr>
        <w:t>police service be accordingly set aside.</w:t>
      </w:r>
    </w:p>
    <w:p w14:paraId="16899068" w14:textId="77777777" w:rsidR="00AA3F8C" w:rsidRDefault="004A5556" w:rsidP="004A5556">
      <w:pPr>
        <w:pStyle w:val="ListParagraph"/>
        <w:numPr>
          <w:ilvl w:val="0"/>
          <w:numId w:val="3"/>
        </w:numPr>
        <w:spacing w:line="360" w:lineRule="auto"/>
        <w:jc w:val="both"/>
        <w:rPr>
          <w:rFonts w:ascii="Times New Roman" w:hAnsi="Times New Roman" w:cs="Times New Roman"/>
          <w:sz w:val="24"/>
          <w:szCs w:val="24"/>
        </w:rPr>
      </w:pPr>
      <w:r w:rsidRPr="00AA3F8C">
        <w:rPr>
          <w:rFonts w:ascii="Times New Roman" w:hAnsi="Times New Roman" w:cs="Times New Roman"/>
          <w:sz w:val="24"/>
          <w:szCs w:val="24"/>
        </w:rPr>
        <w:t xml:space="preserve">The Respondents be ordered to reinstate the </w:t>
      </w:r>
      <w:r w:rsidR="00AA3F8C">
        <w:rPr>
          <w:rFonts w:ascii="Times New Roman" w:hAnsi="Times New Roman" w:cs="Times New Roman"/>
          <w:sz w:val="24"/>
          <w:szCs w:val="24"/>
        </w:rPr>
        <w:t>a</w:t>
      </w:r>
      <w:r w:rsidRPr="00AA3F8C">
        <w:rPr>
          <w:rFonts w:ascii="Times New Roman" w:hAnsi="Times New Roman" w:cs="Times New Roman"/>
          <w:sz w:val="24"/>
          <w:szCs w:val="24"/>
        </w:rPr>
        <w:t>pplicant in the police</w:t>
      </w:r>
      <w:r w:rsidR="00AA3F8C">
        <w:rPr>
          <w:rFonts w:ascii="Times New Roman" w:hAnsi="Times New Roman" w:cs="Times New Roman"/>
          <w:sz w:val="24"/>
          <w:szCs w:val="24"/>
        </w:rPr>
        <w:t xml:space="preserve"> </w:t>
      </w:r>
      <w:r w:rsidRPr="00AA3F8C">
        <w:rPr>
          <w:rFonts w:ascii="Times New Roman" w:hAnsi="Times New Roman" w:cs="Times New Roman"/>
          <w:sz w:val="24"/>
          <w:szCs w:val="24"/>
        </w:rPr>
        <w:t>service within 14 days from the date of this order without loss of salary</w:t>
      </w:r>
      <w:r w:rsidR="00AA3F8C">
        <w:rPr>
          <w:rFonts w:ascii="Times New Roman" w:hAnsi="Times New Roman" w:cs="Times New Roman"/>
          <w:sz w:val="24"/>
          <w:szCs w:val="24"/>
        </w:rPr>
        <w:t xml:space="preserve"> </w:t>
      </w:r>
      <w:r w:rsidRPr="00AA3F8C">
        <w:rPr>
          <w:rFonts w:ascii="Times New Roman" w:hAnsi="Times New Roman" w:cs="Times New Roman"/>
          <w:sz w:val="24"/>
          <w:szCs w:val="24"/>
        </w:rPr>
        <w:t>and benefits.</w:t>
      </w:r>
    </w:p>
    <w:p w14:paraId="204057A2" w14:textId="521AE1D5" w:rsidR="004A5556" w:rsidRPr="00AA3F8C" w:rsidRDefault="004A5556" w:rsidP="004A5556">
      <w:pPr>
        <w:pStyle w:val="ListParagraph"/>
        <w:numPr>
          <w:ilvl w:val="0"/>
          <w:numId w:val="3"/>
        </w:numPr>
        <w:spacing w:line="360" w:lineRule="auto"/>
        <w:jc w:val="both"/>
        <w:rPr>
          <w:rFonts w:ascii="Times New Roman" w:hAnsi="Times New Roman" w:cs="Times New Roman"/>
          <w:sz w:val="24"/>
          <w:szCs w:val="24"/>
        </w:rPr>
      </w:pPr>
      <w:r w:rsidRPr="00AA3F8C">
        <w:rPr>
          <w:rFonts w:ascii="Times New Roman" w:hAnsi="Times New Roman" w:cs="Times New Roman"/>
          <w:sz w:val="24"/>
          <w:szCs w:val="24"/>
        </w:rPr>
        <w:t>The Respondents are ordered to pay costs of suit on a client attorney</w:t>
      </w:r>
      <w:r w:rsidR="00AA3F8C">
        <w:rPr>
          <w:rFonts w:ascii="Times New Roman" w:hAnsi="Times New Roman" w:cs="Times New Roman"/>
          <w:sz w:val="24"/>
          <w:szCs w:val="24"/>
        </w:rPr>
        <w:t xml:space="preserve"> </w:t>
      </w:r>
      <w:r w:rsidRPr="00AA3F8C">
        <w:rPr>
          <w:rFonts w:ascii="Times New Roman" w:hAnsi="Times New Roman" w:cs="Times New Roman"/>
          <w:sz w:val="24"/>
          <w:szCs w:val="24"/>
        </w:rPr>
        <w:t>scale.</w:t>
      </w:r>
    </w:p>
    <w:p w14:paraId="3DA04E3D" w14:textId="77777777" w:rsidR="00C45DA2" w:rsidRDefault="004A5556" w:rsidP="004A5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application is opposed by the respondent</w:t>
      </w:r>
      <w:r w:rsidR="00AA3F8C">
        <w:rPr>
          <w:rFonts w:ascii="Times New Roman" w:hAnsi="Times New Roman" w:cs="Times New Roman"/>
          <w:sz w:val="24"/>
          <w:szCs w:val="24"/>
        </w:rPr>
        <w:t>s</w:t>
      </w:r>
      <w:r>
        <w:rPr>
          <w:rFonts w:ascii="Times New Roman" w:hAnsi="Times New Roman" w:cs="Times New Roman"/>
          <w:sz w:val="24"/>
          <w:szCs w:val="24"/>
        </w:rPr>
        <w:t xml:space="preserve">. </w:t>
      </w:r>
    </w:p>
    <w:p w14:paraId="6B63B2C3" w14:textId="10C6C02C" w:rsidR="00221A18" w:rsidRDefault="00C45DA2" w:rsidP="004A5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4A5556" w:rsidRPr="00482961">
        <w:rPr>
          <w:rFonts w:ascii="Times New Roman" w:hAnsi="Times New Roman" w:cs="Times New Roman"/>
          <w:sz w:val="24"/>
          <w:szCs w:val="24"/>
        </w:rPr>
        <w:t xml:space="preserve">The </w:t>
      </w:r>
      <w:r w:rsidR="004A5556">
        <w:rPr>
          <w:rFonts w:ascii="Times New Roman" w:hAnsi="Times New Roman" w:cs="Times New Roman"/>
          <w:sz w:val="24"/>
          <w:szCs w:val="24"/>
        </w:rPr>
        <w:t>applicant</w:t>
      </w:r>
      <w:r>
        <w:rPr>
          <w:rFonts w:ascii="Times New Roman" w:hAnsi="Times New Roman" w:cs="Times New Roman"/>
          <w:sz w:val="24"/>
          <w:szCs w:val="24"/>
        </w:rPr>
        <w:t xml:space="preserve"> </w:t>
      </w:r>
      <w:r w:rsidR="004A5556">
        <w:rPr>
          <w:rFonts w:ascii="Times New Roman" w:hAnsi="Times New Roman" w:cs="Times New Roman"/>
          <w:sz w:val="24"/>
          <w:szCs w:val="24"/>
        </w:rPr>
        <w:t>took</w:t>
      </w:r>
      <w:r w:rsidR="004A5556" w:rsidRPr="00482961">
        <w:rPr>
          <w:rFonts w:ascii="Times New Roman" w:hAnsi="Times New Roman" w:cs="Times New Roman"/>
          <w:sz w:val="24"/>
          <w:szCs w:val="24"/>
        </w:rPr>
        <w:t xml:space="preserve"> </w:t>
      </w:r>
      <w:r w:rsidR="004A5556">
        <w:rPr>
          <w:rFonts w:ascii="Times New Roman" w:hAnsi="Times New Roman" w:cs="Times New Roman"/>
          <w:sz w:val="24"/>
          <w:szCs w:val="24"/>
        </w:rPr>
        <w:t xml:space="preserve">a point </w:t>
      </w:r>
      <w:r w:rsidR="004A5556" w:rsidRPr="00864398">
        <w:rPr>
          <w:rFonts w:ascii="Times New Roman" w:hAnsi="Times New Roman" w:cs="Times New Roman"/>
          <w:i/>
          <w:iCs/>
          <w:sz w:val="24"/>
          <w:szCs w:val="24"/>
        </w:rPr>
        <w:t>in limine</w:t>
      </w:r>
      <w:r w:rsidR="004A5556">
        <w:rPr>
          <w:rFonts w:ascii="Times New Roman" w:hAnsi="Times New Roman" w:cs="Times New Roman"/>
          <w:sz w:val="24"/>
          <w:szCs w:val="24"/>
        </w:rPr>
        <w:t xml:space="preserve"> that</w:t>
      </w:r>
      <w:r w:rsidR="000972AE">
        <w:rPr>
          <w:rFonts w:ascii="Times New Roman" w:hAnsi="Times New Roman" w:cs="Times New Roman"/>
          <w:sz w:val="24"/>
          <w:szCs w:val="24"/>
        </w:rPr>
        <w:t xml:space="preserve"> there is no notice of opposition in that </w:t>
      </w:r>
      <w:r w:rsidR="004A5556">
        <w:rPr>
          <w:rFonts w:ascii="Times New Roman" w:hAnsi="Times New Roman" w:cs="Times New Roman"/>
          <w:sz w:val="24"/>
          <w:szCs w:val="24"/>
        </w:rPr>
        <w:t>t</w:t>
      </w:r>
      <w:r>
        <w:rPr>
          <w:rFonts w:ascii="Times New Roman" w:hAnsi="Times New Roman" w:cs="Times New Roman"/>
          <w:sz w:val="24"/>
          <w:szCs w:val="24"/>
        </w:rPr>
        <w:t xml:space="preserve">he </w:t>
      </w:r>
      <w:r w:rsidR="004A5556">
        <w:rPr>
          <w:rFonts w:ascii="Times New Roman" w:hAnsi="Times New Roman" w:cs="Times New Roman"/>
          <w:sz w:val="24"/>
          <w:szCs w:val="24"/>
        </w:rPr>
        <w:t>respondent</w:t>
      </w:r>
      <w:r>
        <w:rPr>
          <w:rFonts w:ascii="Times New Roman" w:hAnsi="Times New Roman" w:cs="Times New Roman"/>
          <w:sz w:val="24"/>
          <w:szCs w:val="24"/>
        </w:rPr>
        <w:t xml:space="preserve">s’ </w:t>
      </w:r>
      <w:r w:rsidR="000972AE">
        <w:rPr>
          <w:rFonts w:ascii="Times New Roman" w:hAnsi="Times New Roman" w:cs="Times New Roman"/>
          <w:sz w:val="24"/>
          <w:szCs w:val="24"/>
        </w:rPr>
        <w:t xml:space="preserve">opposing </w:t>
      </w:r>
      <w:r w:rsidR="004A5556">
        <w:rPr>
          <w:rFonts w:ascii="Times New Roman" w:hAnsi="Times New Roman" w:cs="Times New Roman"/>
          <w:sz w:val="24"/>
          <w:szCs w:val="24"/>
        </w:rPr>
        <w:t>affidavit</w:t>
      </w:r>
      <w:r>
        <w:rPr>
          <w:rFonts w:ascii="Times New Roman" w:hAnsi="Times New Roman" w:cs="Times New Roman"/>
          <w:sz w:val="24"/>
          <w:szCs w:val="24"/>
        </w:rPr>
        <w:t xml:space="preserve">s were commissioned by lawyers who </w:t>
      </w:r>
      <w:r w:rsidR="000972AE">
        <w:rPr>
          <w:rFonts w:ascii="Times New Roman" w:hAnsi="Times New Roman" w:cs="Times New Roman"/>
          <w:sz w:val="24"/>
          <w:szCs w:val="24"/>
        </w:rPr>
        <w:t>work at the offices of the respondents</w:t>
      </w:r>
      <w:r>
        <w:rPr>
          <w:rFonts w:ascii="Times New Roman" w:hAnsi="Times New Roman" w:cs="Times New Roman"/>
          <w:sz w:val="24"/>
          <w:szCs w:val="24"/>
        </w:rPr>
        <w:t xml:space="preserve">.  </w:t>
      </w:r>
      <w:r w:rsidR="000972AE">
        <w:rPr>
          <w:rFonts w:ascii="Times New Roman" w:hAnsi="Times New Roman" w:cs="Times New Roman"/>
          <w:sz w:val="24"/>
          <w:szCs w:val="24"/>
        </w:rPr>
        <w:t xml:space="preserve">It was contended that these commissioners </w:t>
      </w:r>
      <w:r w:rsidR="00AF4631">
        <w:rPr>
          <w:rFonts w:ascii="Times New Roman" w:hAnsi="Times New Roman" w:cs="Times New Roman"/>
          <w:sz w:val="24"/>
          <w:szCs w:val="24"/>
        </w:rPr>
        <w:t>of oaths prepared the affidavits and commissioned them.</w:t>
      </w:r>
      <w:r w:rsidR="004A5556">
        <w:rPr>
          <w:rFonts w:ascii="Times New Roman" w:hAnsi="Times New Roman" w:cs="Times New Roman"/>
          <w:sz w:val="24"/>
          <w:szCs w:val="24"/>
        </w:rPr>
        <w:t xml:space="preserve"> It was submitted that the commissioner</w:t>
      </w:r>
      <w:r w:rsidR="00AF4631">
        <w:rPr>
          <w:rFonts w:ascii="Times New Roman" w:hAnsi="Times New Roman" w:cs="Times New Roman"/>
          <w:sz w:val="24"/>
          <w:szCs w:val="24"/>
        </w:rPr>
        <w:t>s</w:t>
      </w:r>
      <w:r w:rsidR="004A5556">
        <w:rPr>
          <w:rFonts w:ascii="Times New Roman" w:hAnsi="Times New Roman" w:cs="Times New Roman"/>
          <w:sz w:val="24"/>
          <w:szCs w:val="24"/>
        </w:rPr>
        <w:t xml:space="preserve"> had an interest in the matter, and therefore the </w:t>
      </w:r>
      <w:r w:rsidR="00AF4631">
        <w:rPr>
          <w:rFonts w:ascii="Times New Roman" w:hAnsi="Times New Roman" w:cs="Times New Roman"/>
          <w:sz w:val="24"/>
          <w:szCs w:val="24"/>
        </w:rPr>
        <w:t xml:space="preserve">opposing </w:t>
      </w:r>
      <w:r w:rsidR="004A5556">
        <w:rPr>
          <w:rFonts w:ascii="Times New Roman" w:hAnsi="Times New Roman" w:cs="Times New Roman"/>
          <w:sz w:val="24"/>
          <w:szCs w:val="24"/>
        </w:rPr>
        <w:t>affidavit</w:t>
      </w:r>
      <w:r w:rsidR="00AF4631">
        <w:rPr>
          <w:rFonts w:ascii="Times New Roman" w:hAnsi="Times New Roman" w:cs="Times New Roman"/>
          <w:sz w:val="24"/>
          <w:szCs w:val="24"/>
        </w:rPr>
        <w:t>s</w:t>
      </w:r>
      <w:r w:rsidR="004A5556">
        <w:rPr>
          <w:rFonts w:ascii="Times New Roman" w:hAnsi="Times New Roman" w:cs="Times New Roman"/>
          <w:sz w:val="24"/>
          <w:szCs w:val="24"/>
        </w:rPr>
        <w:t xml:space="preserve"> </w:t>
      </w:r>
      <w:r w:rsidR="00AF4631">
        <w:rPr>
          <w:rFonts w:ascii="Times New Roman" w:hAnsi="Times New Roman" w:cs="Times New Roman"/>
          <w:sz w:val="24"/>
          <w:szCs w:val="24"/>
        </w:rPr>
        <w:t>are</w:t>
      </w:r>
      <w:r w:rsidR="004A5556">
        <w:rPr>
          <w:rFonts w:ascii="Times New Roman" w:hAnsi="Times New Roman" w:cs="Times New Roman"/>
          <w:sz w:val="24"/>
          <w:szCs w:val="24"/>
        </w:rPr>
        <w:t xml:space="preserve"> irregular and fatally defective. In support of this proposition, Mr</w:t>
      </w:r>
      <w:r w:rsidR="004A5556" w:rsidRPr="003E4D9D">
        <w:rPr>
          <w:rFonts w:ascii="Times New Roman" w:hAnsi="Times New Roman" w:cs="Times New Roman"/>
          <w:i/>
          <w:iCs/>
          <w:sz w:val="24"/>
          <w:szCs w:val="24"/>
        </w:rPr>
        <w:t xml:space="preserve"> Muguya</w:t>
      </w:r>
      <w:r w:rsidR="004A5556">
        <w:rPr>
          <w:rFonts w:ascii="Times New Roman" w:hAnsi="Times New Roman" w:cs="Times New Roman"/>
          <w:sz w:val="24"/>
          <w:szCs w:val="24"/>
        </w:rPr>
        <w:t xml:space="preserve"> relied on the case of</w:t>
      </w:r>
      <w:r w:rsidR="004A5556" w:rsidRPr="003E4D9D">
        <w:rPr>
          <w:rFonts w:ascii="Times New Roman" w:hAnsi="Times New Roman" w:cs="Times New Roman"/>
          <w:i/>
          <w:iCs/>
          <w:sz w:val="24"/>
          <w:szCs w:val="24"/>
        </w:rPr>
        <w:t xml:space="preserve"> Chafanza </w:t>
      </w:r>
      <w:r w:rsidR="004A5556" w:rsidRPr="00C6608D">
        <w:rPr>
          <w:rFonts w:ascii="Times New Roman" w:hAnsi="Times New Roman" w:cs="Times New Roman"/>
          <w:sz w:val="24"/>
          <w:szCs w:val="24"/>
        </w:rPr>
        <w:t>v</w:t>
      </w:r>
      <w:r w:rsidR="004A5556" w:rsidRPr="003E4D9D">
        <w:rPr>
          <w:rFonts w:ascii="Times New Roman" w:hAnsi="Times New Roman" w:cs="Times New Roman"/>
          <w:i/>
          <w:iCs/>
          <w:sz w:val="24"/>
          <w:szCs w:val="24"/>
        </w:rPr>
        <w:t xml:space="preserve"> Edgars Stores </w:t>
      </w:r>
      <w:r w:rsidR="004A5556">
        <w:rPr>
          <w:rFonts w:ascii="Times New Roman" w:hAnsi="Times New Roman" w:cs="Times New Roman"/>
          <w:sz w:val="24"/>
          <w:szCs w:val="24"/>
        </w:rPr>
        <w:t>2005 (1) ZLR 299 (H)</w:t>
      </w:r>
      <w:r w:rsidR="00221A18">
        <w:rPr>
          <w:rFonts w:ascii="Times New Roman" w:hAnsi="Times New Roman" w:cs="Times New Roman"/>
          <w:sz w:val="24"/>
          <w:szCs w:val="24"/>
        </w:rPr>
        <w:t xml:space="preserve"> where the court held thus: </w:t>
      </w:r>
    </w:p>
    <w:p w14:paraId="76F57531" w14:textId="1CC6BA1D" w:rsidR="00221A18" w:rsidRPr="00C6608D" w:rsidRDefault="00221A18" w:rsidP="00C6608D">
      <w:pPr>
        <w:spacing w:after="0" w:line="240" w:lineRule="auto"/>
        <w:ind w:left="720"/>
        <w:jc w:val="both"/>
        <w:rPr>
          <w:rFonts w:ascii="Times New Roman" w:hAnsi="Times New Roman" w:cs="Times New Roman"/>
        </w:rPr>
      </w:pPr>
      <w:r w:rsidRPr="00C6608D">
        <w:rPr>
          <w:rFonts w:ascii="Times New Roman" w:hAnsi="Times New Roman" w:cs="Times New Roman"/>
        </w:rPr>
        <w:t>“To my mind, it is totally undesirable for a legal practitioner to either attest to an affidavit or sign an urgent certificate for and on behalf of a client who is being represented at his firm as such lawyer clearly has an interest in the matter at hand.”</w:t>
      </w:r>
    </w:p>
    <w:p w14:paraId="272F1567" w14:textId="77777777" w:rsidR="00221A18" w:rsidRPr="00C6608D" w:rsidRDefault="00221A18" w:rsidP="00C6608D">
      <w:pPr>
        <w:spacing w:after="0" w:line="240" w:lineRule="auto"/>
        <w:jc w:val="both"/>
        <w:rPr>
          <w:rFonts w:ascii="Times New Roman" w:hAnsi="Times New Roman" w:cs="Times New Roman"/>
        </w:rPr>
      </w:pPr>
    </w:p>
    <w:p w14:paraId="2D2DECD5" w14:textId="6B9BEBD9" w:rsidR="004A5556" w:rsidRDefault="00221A18" w:rsidP="004A5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A5556">
        <w:rPr>
          <w:rFonts w:ascii="Times New Roman" w:hAnsi="Times New Roman" w:cs="Times New Roman"/>
          <w:sz w:val="24"/>
          <w:szCs w:val="24"/>
        </w:rPr>
        <w:t>Counsel argued that without opposing affidavit</w:t>
      </w:r>
      <w:r w:rsidR="00AF4631">
        <w:rPr>
          <w:rFonts w:ascii="Times New Roman" w:hAnsi="Times New Roman" w:cs="Times New Roman"/>
          <w:sz w:val="24"/>
          <w:szCs w:val="24"/>
        </w:rPr>
        <w:t>s</w:t>
      </w:r>
      <w:r w:rsidR="004A5556">
        <w:rPr>
          <w:rFonts w:ascii="Times New Roman" w:hAnsi="Times New Roman" w:cs="Times New Roman"/>
          <w:sz w:val="24"/>
          <w:szCs w:val="24"/>
        </w:rPr>
        <w:t xml:space="preserve"> the application is unopposed and the relief sought by the applicants must granted </w:t>
      </w:r>
      <w:r>
        <w:rPr>
          <w:rFonts w:ascii="Times New Roman" w:hAnsi="Times New Roman" w:cs="Times New Roman"/>
          <w:sz w:val="24"/>
          <w:szCs w:val="24"/>
        </w:rPr>
        <w:t>on an</w:t>
      </w:r>
      <w:r w:rsidR="004A5556">
        <w:rPr>
          <w:rFonts w:ascii="Times New Roman" w:hAnsi="Times New Roman" w:cs="Times New Roman"/>
          <w:sz w:val="24"/>
          <w:szCs w:val="24"/>
        </w:rPr>
        <w:t xml:space="preserve"> unopposed</w:t>
      </w:r>
      <w:r>
        <w:rPr>
          <w:rFonts w:ascii="Times New Roman" w:hAnsi="Times New Roman" w:cs="Times New Roman"/>
          <w:sz w:val="24"/>
          <w:szCs w:val="24"/>
        </w:rPr>
        <w:t xml:space="preserve"> basis</w:t>
      </w:r>
      <w:r w:rsidR="004A5556">
        <w:rPr>
          <w:rFonts w:ascii="Times New Roman" w:hAnsi="Times New Roman" w:cs="Times New Roman"/>
          <w:sz w:val="24"/>
          <w:szCs w:val="24"/>
        </w:rPr>
        <w:t xml:space="preserve">. </w:t>
      </w:r>
    </w:p>
    <w:p w14:paraId="55E37CF2" w14:textId="2B5CBDBA" w:rsidR="004A5556" w:rsidRDefault="004A5556" w:rsidP="004A5556">
      <w:pPr>
        <w:spacing w:after="0" w:line="360" w:lineRule="auto"/>
        <w:jc w:val="both"/>
        <w:rPr>
          <w:rFonts w:ascii="Times New Roman" w:hAnsi="Times New Roman" w:cs="Times New Roman"/>
          <w:sz w:val="24"/>
          <w:szCs w:val="24"/>
        </w:rPr>
      </w:pPr>
      <w:r w:rsidRPr="004802D1">
        <w:rPr>
          <w:rFonts w:ascii="Times New Roman" w:hAnsi="Times New Roman" w:cs="Times New Roman"/>
          <w:sz w:val="24"/>
          <w:szCs w:val="24"/>
        </w:rPr>
        <w:t>[</w:t>
      </w:r>
      <w:r w:rsidR="00221A18">
        <w:rPr>
          <w:rFonts w:ascii="Times New Roman" w:hAnsi="Times New Roman" w:cs="Times New Roman"/>
          <w:sz w:val="24"/>
          <w:szCs w:val="24"/>
        </w:rPr>
        <w:t>5</w:t>
      </w:r>
      <w:r w:rsidRPr="004802D1">
        <w:rPr>
          <w:rFonts w:ascii="Times New Roman" w:hAnsi="Times New Roman" w:cs="Times New Roman"/>
          <w:sz w:val="24"/>
          <w:szCs w:val="24"/>
        </w:rPr>
        <w:t xml:space="preserve">] </w:t>
      </w:r>
      <w:r w:rsidRPr="00204341">
        <w:rPr>
          <w:rFonts w:ascii="Times New Roman" w:hAnsi="Times New Roman" w:cs="Times New Roman"/>
          <w:i/>
          <w:iCs/>
          <w:sz w:val="24"/>
          <w:szCs w:val="24"/>
        </w:rPr>
        <w:t>Per contra</w:t>
      </w:r>
      <w:r w:rsidRPr="00204341">
        <w:rPr>
          <w:rFonts w:ascii="Times New Roman" w:hAnsi="Times New Roman" w:cs="Times New Roman"/>
          <w:sz w:val="24"/>
          <w:szCs w:val="24"/>
        </w:rPr>
        <w:t>, M</w:t>
      </w:r>
      <w:r w:rsidR="001A4868">
        <w:rPr>
          <w:rFonts w:ascii="Times New Roman" w:hAnsi="Times New Roman" w:cs="Times New Roman"/>
          <w:sz w:val="24"/>
          <w:szCs w:val="24"/>
        </w:rPr>
        <w:t xml:space="preserve">r </w:t>
      </w:r>
      <w:r w:rsidR="001A4868" w:rsidRPr="001A4868">
        <w:rPr>
          <w:rFonts w:ascii="Times New Roman" w:hAnsi="Times New Roman" w:cs="Times New Roman"/>
          <w:i/>
          <w:iCs/>
          <w:sz w:val="24"/>
          <w:szCs w:val="24"/>
        </w:rPr>
        <w:t>Chitekute</w:t>
      </w:r>
      <w:r w:rsidR="0099012D">
        <w:rPr>
          <w:rFonts w:ascii="Times New Roman" w:hAnsi="Times New Roman" w:cs="Times New Roman"/>
          <w:i/>
          <w:iCs/>
          <w:sz w:val="24"/>
          <w:szCs w:val="24"/>
        </w:rPr>
        <w:t>ku</w:t>
      </w:r>
      <w:r w:rsidRPr="00204341">
        <w:rPr>
          <w:rFonts w:ascii="Times New Roman" w:hAnsi="Times New Roman" w:cs="Times New Roman"/>
          <w:sz w:val="24"/>
          <w:szCs w:val="24"/>
        </w:rPr>
        <w:t xml:space="preserve"> counse</w:t>
      </w:r>
      <w:r>
        <w:rPr>
          <w:rFonts w:ascii="Times New Roman" w:hAnsi="Times New Roman" w:cs="Times New Roman"/>
          <w:sz w:val="24"/>
          <w:szCs w:val="24"/>
        </w:rPr>
        <w:t xml:space="preserve">l for the first respondent argued that first respondent’s affidavit was commissioned in terms of the requirements of the law. It was disputed that the commissioner of oaths drafted the </w:t>
      </w:r>
      <w:r w:rsidR="00AF4631">
        <w:rPr>
          <w:rFonts w:ascii="Times New Roman" w:hAnsi="Times New Roman" w:cs="Times New Roman"/>
          <w:sz w:val="24"/>
          <w:szCs w:val="24"/>
        </w:rPr>
        <w:t xml:space="preserve">opposing </w:t>
      </w:r>
      <w:r>
        <w:rPr>
          <w:rFonts w:ascii="Times New Roman" w:hAnsi="Times New Roman" w:cs="Times New Roman"/>
          <w:sz w:val="24"/>
          <w:szCs w:val="24"/>
        </w:rPr>
        <w:t>affidavit</w:t>
      </w:r>
      <w:r w:rsidR="00AF4631">
        <w:rPr>
          <w:rFonts w:ascii="Times New Roman" w:hAnsi="Times New Roman" w:cs="Times New Roman"/>
          <w:sz w:val="24"/>
          <w:szCs w:val="24"/>
        </w:rPr>
        <w:t>s</w:t>
      </w:r>
      <w:r>
        <w:rPr>
          <w:rFonts w:ascii="Times New Roman" w:hAnsi="Times New Roman" w:cs="Times New Roman"/>
          <w:sz w:val="24"/>
          <w:szCs w:val="24"/>
        </w:rPr>
        <w:t xml:space="preserve">. Counsel relied on the provisions of the Justices of the Peace and Commissioners of Oaths (General) Regulations, 1998 (“Regulations”). Counsel submitted </w:t>
      </w:r>
      <w:r w:rsidRPr="00FF2315">
        <w:rPr>
          <w:rFonts w:ascii="Times New Roman" w:hAnsi="Times New Roman" w:cs="Times New Roman"/>
          <w:sz w:val="24"/>
          <w:szCs w:val="24"/>
        </w:rPr>
        <w:t>that the officer</w:t>
      </w:r>
      <w:r w:rsidR="00AF4631">
        <w:rPr>
          <w:rFonts w:ascii="Times New Roman" w:hAnsi="Times New Roman" w:cs="Times New Roman"/>
          <w:sz w:val="24"/>
          <w:szCs w:val="24"/>
        </w:rPr>
        <w:t>s</w:t>
      </w:r>
      <w:r w:rsidRPr="00FF2315">
        <w:rPr>
          <w:rFonts w:ascii="Times New Roman" w:hAnsi="Times New Roman" w:cs="Times New Roman"/>
          <w:sz w:val="24"/>
          <w:szCs w:val="24"/>
        </w:rPr>
        <w:t xml:space="preserve"> who commissioned the affidavit</w:t>
      </w:r>
      <w:r w:rsidR="00AF4631">
        <w:rPr>
          <w:rFonts w:ascii="Times New Roman" w:hAnsi="Times New Roman" w:cs="Times New Roman"/>
          <w:sz w:val="24"/>
          <w:szCs w:val="24"/>
        </w:rPr>
        <w:t>s</w:t>
      </w:r>
      <w:r w:rsidRPr="00FF2315">
        <w:rPr>
          <w:rFonts w:ascii="Times New Roman" w:hAnsi="Times New Roman" w:cs="Times New Roman"/>
          <w:sz w:val="24"/>
          <w:szCs w:val="24"/>
        </w:rPr>
        <w:t xml:space="preserve"> had no interest in the matter since </w:t>
      </w:r>
      <w:r w:rsidR="00AF4631">
        <w:rPr>
          <w:rFonts w:ascii="Times New Roman" w:hAnsi="Times New Roman" w:cs="Times New Roman"/>
          <w:sz w:val="24"/>
          <w:szCs w:val="24"/>
        </w:rPr>
        <w:t>they</w:t>
      </w:r>
      <w:r w:rsidRPr="00FF2315">
        <w:rPr>
          <w:rFonts w:ascii="Times New Roman" w:hAnsi="Times New Roman" w:cs="Times New Roman"/>
          <w:sz w:val="24"/>
          <w:szCs w:val="24"/>
        </w:rPr>
        <w:t xml:space="preserve"> did so in terms of para (2) </w:t>
      </w:r>
      <w:r>
        <w:rPr>
          <w:rFonts w:ascii="Times New Roman" w:hAnsi="Times New Roman" w:cs="Times New Roman"/>
          <w:sz w:val="24"/>
          <w:szCs w:val="24"/>
        </w:rPr>
        <w:t xml:space="preserve">of the </w:t>
      </w:r>
      <w:r w:rsidRPr="00FF2315">
        <w:rPr>
          <w:rFonts w:ascii="Times New Roman" w:hAnsi="Times New Roman" w:cs="Times New Roman"/>
          <w:sz w:val="24"/>
          <w:szCs w:val="24"/>
        </w:rPr>
        <w:t xml:space="preserve">Regulations as </w:t>
      </w:r>
      <w:r w:rsidR="00AF4631">
        <w:rPr>
          <w:rFonts w:ascii="Times New Roman" w:hAnsi="Times New Roman" w:cs="Times New Roman"/>
          <w:sz w:val="24"/>
          <w:szCs w:val="24"/>
        </w:rPr>
        <w:t xml:space="preserve">are </w:t>
      </w:r>
      <w:r w:rsidR="00AF4631" w:rsidRPr="00FF2315">
        <w:rPr>
          <w:rFonts w:ascii="Times New Roman" w:hAnsi="Times New Roman" w:cs="Times New Roman"/>
          <w:sz w:val="24"/>
          <w:szCs w:val="24"/>
        </w:rPr>
        <w:t>mere civil servant</w:t>
      </w:r>
      <w:r w:rsidR="00AF4631">
        <w:rPr>
          <w:rFonts w:ascii="Times New Roman" w:hAnsi="Times New Roman" w:cs="Times New Roman"/>
          <w:sz w:val="24"/>
          <w:szCs w:val="24"/>
        </w:rPr>
        <w:t>s</w:t>
      </w:r>
      <w:r w:rsidRPr="00FF2315">
        <w:rPr>
          <w:rFonts w:ascii="Times New Roman" w:hAnsi="Times New Roman" w:cs="Times New Roman"/>
          <w:sz w:val="24"/>
          <w:szCs w:val="24"/>
        </w:rPr>
        <w:t xml:space="preserve"> who </w:t>
      </w:r>
      <w:r w:rsidR="00AF4631">
        <w:rPr>
          <w:rFonts w:ascii="Times New Roman" w:hAnsi="Times New Roman" w:cs="Times New Roman"/>
          <w:sz w:val="24"/>
          <w:szCs w:val="24"/>
        </w:rPr>
        <w:t>were</w:t>
      </w:r>
      <w:r w:rsidRPr="00FF2315">
        <w:rPr>
          <w:rFonts w:ascii="Times New Roman" w:hAnsi="Times New Roman" w:cs="Times New Roman"/>
          <w:sz w:val="24"/>
          <w:szCs w:val="24"/>
        </w:rPr>
        <w:t xml:space="preserve"> appointed to commission documents.</w:t>
      </w:r>
      <w:r>
        <w:rPr>
          <w:rFonts w:ascii="Times New Roman" w:hAnsi="Times New Roman" w:cs="Times New Roman"/>
          <w:sz w:val="24"/>
          <w:szCs w:val="24"/>
        </w:rPr>
        <w:t xml:space="preserve"> It was submitted that the point </w:t>
      </w:r>
      <w:r w:rsidRPr="004802D1">
        <w:rPr>
          <w:rFonts w:ascii="Times New Roman" w:hAnsi="Times New Roman" w:cs="Times New Roman"/>
          <w:i/>
          <w:iCs/>
          <w:sz w:val="24"/>
          <w:szCs w:val="24"/>
        </w:rPr>
        <w:t>in limine</w:t>
      </w:r>
      <w:r>
        <w:rPr>
          <w:rFonts w:ascii="Times New Roman" w:hAnsi="Times New Roman" w:cs="Times New Roman"/>
          <w:sz w:val="24"/>
          <w:szCs w:val="24"/>
        </w:rPr>
        <w:t xml:space="preserve"> ha</w:t>
      </w:r>
      <w:r w:rsidR="00AF4631">
        <w:rPr>
          <w:rFonts w:ascii="Times New Roman" w:hAnsi="Times New Roman" w:cs="Times New Roman"/>
          <w:sz w:val="24"/>
          <w:szCs w:val="24"/>
        </w:rPr>
        <w:t>d</w:t>
      </w:r>
      <w:r>
        <w:rPr>
          <w:rFonts w:ascii="Times New Roman" w:hAnsi="Times New Roman" w:cs="Times New Roman"/>
          <w:sz w:val="24"/>
          <w:szCs w:val="24"/>
        </w:rPr>
        <w:t xml:space="preserve"> no merit and must be refused. </w:t>
      </w:r>
    </w:p>
    <w:p w14:paraId="133D3A64" w14:textId="7605D4A4" w:rsidR="004A5556" w:rsidRDefault="004A5556" w:rsidP="004A5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9CB">
        <w:rPr>
          <w:rFonts w:ascii="Times New Roman" w:hAnsi="Times New Roman" w:cs="Times New Roman"/>
          <w:sz w:val="24"/>
          <w:szCs w:val="24"/>
        </w:rPr>
        <w:t>6</w:t>
      </w:r>
      <w:r>
        <w:rPr>
          <w:rFonts w:ascii="Times New Roman" w:hAnsi="Times New Roman" w:cs="Times New Roman"/>
          <w:sz w:val="24"/>
          <w:szCs w:val="24"/>
        </w:rPr>
        <w:t xml:space="preserve">] </w:t>
      </w:r>
      <w:r w:rsidR="00AF4631">
        <w:rPr>
          <w:rFonts w:ascii="Times New Roman" w:hAnsi="Times New Roman" w:cs="Times New Roman"/>
          <w:sz w:val="24"/>
          <w:szCs w:val="24"/>
        </w:rPr>
        <w:t>The departure point is p</w:t>
      </w:r>
      <w:r>
        <w:rPr>
          <w:rFonts w:ascii="Times New Roman" w:hAnsi="Times New Roman" w:cs="Times New Roman"/>
          <w:sz w:val="24"/>
          <w:szCs w:val="24"/>
        </w:rPr>
        <w:t xml:space="preserve">ara 2(1) of the Regulations </w:t>
      </w:r>
      <w:r w:rsidR="00AF4631">
        <w:rPr>
          <w:rFonts w:ascii="Times New Roman" w:hAnsi="Times New Roman" w:cs="Times New Roman"/>
          <w:sz w:val="24"/>
          <w:szCs w:val="24"/>
        </w:rPr>
        <w:t xml:space="preserve">which </w:t>
      </w:r>
      <w:r>
        <w:rPr>
          <w:rFonts w:ascii="Times New Roman" w:hAnsi="Times New Roman" w:cs="Times New Roman"/>
          <w:sz w:val="24"/>
          <w:szCs w:val="24"/>
        </w:rPr>
        <w:t xml:space="preserve">say “No justice of the peace or commissioner of oaths shall attest any affidavit relating to matter in which he has any interest.” Granted </w:t>
      </w:r>
      <w:r w:rsidR="00AF4631">
        <w:rPr>
          <w:rFonts w:ascii="Times New Roman" w:hAnsi="Times New Roman" w:cs="Times New Roman"/>
          <w:sz w:val="24"/>
          <w:szCs w:val="24"/>
        </w:rPr>
        <w:t xml:space="preserve">that </w:t>
      </w:r>
      <w:r>
        <w:rPr>
          <w:rFonts w:ascii="Times New Roman" w:hAnsi="Times New Roman" w:cs="Times New Roman"/>
          <w:sz w:val="24"/>
          <w:szCs w:val="24"/>
        </w:rPr>
        <w:t xml:space="preserve">para 2(1) prohibits a commissioner of oaths from attesting any affidavit relating to a matter in which he has interest, however para 2 to the Schedule to the Regulations provides for “Affidavits exempted from s 2(1).” These include affidavits commissioned by a member of the Public Service where </w:t>
      </w:r>
      <w:r w:rsidRPr="00EF3580">
        <w:rPr>
          <w:rFonts w:ascii="Times New Roman" w:hAnsi="Times New Roman" w:cs="Times New Roman"/>
          <w:sz w:val="24"/>
          <w:szCs w:val="24"/>
        </w:rPr>
        <w:t>his only interest in the affidavit arises out of the performance of his duties; and</w:t>
      </w:r>
      <w:r>
        <w:rPr>
          <w:rFonts w:ascii="Times New Roman" w:hAnsi="Times New Roman" w:cs="Times New Roman"/>
          <w:sz w:val="24"/>
          <w:szCs w:val="24"/>
        </w:rPr>
        <w:t xml:space="preserve"> </w:t>
      </w:r>
      <w:r w:rsidRPr="00EF3580">
        <w:rPr>
          <w:rFonts w:ascii="Times New Roman" w:hAnsi="Times New Roman" w:cs="Times New Roman"/>
          <w:sz w:val="24"/>
          <w:szCs w:val="24"/>
        </w:rPr>
        <w:t>the primary interest in the affidavit is that of the State.</w:t>
      </w:r>
      <w:r>
        <w:rPr>
          <w:rFonts w:ascii="Times New Roman" w:hAnsi="Times New Roman" w:cs="Times New Roman"/>
          <w:sz w:val="24"/>
          <w:szCs w:val="24"/>
        </w:rPr>
        <w:t xml:space="preserve"> </w:t>
      </w:r>
      <w:r w:rsidRPr="00FF2315">
        <w:rPr>
          <w:rFonts w:ascii="Times New Roman" w:hAnsi="Times New Roman" w:cs="Times New Roman"/>
          <w:sz w:val="24"/>
          <w:szCs w:val="24"/>
        </w:rPr>
        <w:t xml:space="preserve">I agree with </w:t>
      </w:r>
      <w:r w:rsidR="0099012D">
        <w:rPr>
          <w:rFonts w:ascii="Times New Roman" w:hAnsi="Times New Roman" w:cs="Times New Roman"/>
          <w:sz w:val="24"/>
          <w:szCs w:val="24"/>
        </w:rPr>
        <w:t xml:space="preserve">Mr </w:t>
      </w:r>
      <w:r w:rsidR="0099012D" w:rsidRPr="0099012D">
        <w:rPr>
          <w:rFonts w:ascii="Times New Roman" w:hAnsi="Times New Roman" w:cs="Times New Roman"/>
          <w:i/>
          <w:iCs/>
          <w:sz w:val="24"/>
          <w:szCs w:val="24"/>
        </w:rPr>
        <w:t xml:space="preserve">Chitekuteku </w:t>
      </w:r>
      <w:r w:rsidRPr="00FF2315">
        <w:rPr>
          <w:rFonts w:ascii="Times New Roman" w:hAnsi="Times New Roman" w:cs="Times New Roman"/>
          <w:sz w:val="24"/>
          <w:szCs w:val="24"/>
        </w:rPr>
        <w:t>that the affidavit</w:t>
      </w:r>
      <w:r w:rsidR="0099012D">
        <w:rPr>
          <w:rFonts w:ascii="Times New Roman" w:hAnsi="Times New Roman" w:cs="Times New Roman"/>
          <w:sz w:val="24"/>
          <w:szCs w:val="24"/>
        </w:rPr>
        <w:t>s</w:t>
      </w:r>
      <w:r w:rsidRPr="00FF2315">
        <w:rPr>
          <w:rFonts w:ascii="Times New Roman" w:hAnsi="Times New Roman" w:cs="Times New Roman"/>
          <w:sz w:val="24"/>
          <w:szCs w:val="24"/>
        </w:rPr>
        <w:t xml:space="preserve"> deposed to by the respondent</w:t>
      </w:r>
      <w:r w:rsidR="0099012D">
        <w:rPr>
          <w:rFonts w:ascii="Times New Roman" w:hAnsi="Times New Roman" w:cs="Times New Roman"/>
          <w:sz w:val="24"/>
          <w:szCs w:val="24"/>
        </w:rPr>
        <w:t>s</w:t>
      </w:r>
      <w:r w:rsidRPr="00FF2315">
        <w:rPr>
          <w:rFonts w:ascii="Times New Roman" w:hAnsi="Times New Roman" w:cs="Times New Roman"/>
          <w:sz w:val="24"/>
          <w:szCs w:val="24"/>
        </w:rPr>
        <w:t xml:space="preserve"> </w:t>
      </w:r>
      <w:r w:rsidR="0099012D">
        <w:rPr>
          <w:rFonts w:ascii="Times New Roman" w:hAnsi="Times New Roman" w:cs="Times New Roman"/>
          <w:sz w:val="24"/>
          <w:szCs w:val="24"/>
        </w:rPr>
        <w:t>are</w:t>
      </w:r>
      <w:r w:rsidRPr="00FF2315">
        <w:rPr>
          <w:rFonts w:ascii="Times New Roman" w:hAnsi="Times New Roman" w:cs="Times New Roman"/>
          <w:sz w:val="24"/>
          <w:szCs w:val="24"/>
        </w:rPr>
        <w:t xml:space="preserve"> valid as </w:t>
      </w:r>
      <w:r w:rsidR="0099012D">
        <w:rPr>
          <w:rFonts w:ascii="Times New Roman" w:hAnsi="Times New Roman" w:cs="Times New Roman"/>
          <w:sz w:val="24"/>
          <w:szCs w:val="24"/>
        </w:rPr>
        <w:t>they were</w:t>
      </w:r>
      <w:r w:rsidRPr="00FF2315">
        <w:rPr>
          <w:rFonts w:ascii="Times New Roman" w:hAnsi="Times New Roman" w:cs="Times New Roman"/>
          <w:sz w:val="24"/>
          <w:szCs w:val="24"/>
        </w:rPr>
        <w:t xml:space="preserve"> commissioned by member</w:t>
      </w:r>
      <w:r w:rsidR="0099012D">
        <w:rPr>
          <w:rFonts w:ascii="Times New Roman" w:hAnsi="Times New Roman" w:cs="Times New Roman"/>
          <w:sz w:val="24"/>
          <w:szCs w:val="24"/>
        </w:rPr>
        <w:t>s</w:t>
      </w:r>
      <w:r w:rsidRPr="00FF2315">
        <w:rPr>
          <w:rFonts w:ascii="Times New Roman" w:hAnsi="Times New Roman" w:cs="Times New Roman"/>
          <w:sz w:val="24"/>
          <w:szCs w:val="24"/>
        </w:rPr>
        <w:t xml:space="preserve"> of the Public Service whose primary interest in the affidavit is that of the State</w:t>
      </w:r>
      <w:r>
        <w:rPr>
          <w:rFonts w:ascii="Times New Roman" w:hAnsi="Times New Roman" w:cs="Times New Roman"/>
          <w:sz w:val="24"/>
          <w:szCs w:val="24"/>
        </w:rPr>
        <w:t xml:space="preserve">. See </w:t>
      </w:r>
      <w:r w:rsidRPr="000E469E">
        <w:rPr>
          <w:rFonts w:ascii="Times New Roman" w:hAnsi="Times New Roman" w:cs="Times New Roman"/>
          <w:i/>
          <w:iCs/>
          <w:sz w:val="24"/>
          <w:szCs w:val="24"/>
        </w:rPr>
        <w:t>Marega v The Commissioner of Prisons &amp; Anor</w:t>
      </w:r>
      <w:r>
        <w:rPr>
          <w:rFonts w:ascii="Times New Roman" w:hAnsi="Times New Roman" w:cs="Times New Roman"/>
          <w:sz w:val="24"/>
          <w:szCs w:val="24"/>
        </w:rPr>
        <w:t xml:space="preserve"> HH140/17. By operation of the exemption, the case of </w:t>
      </w:r>
      <w:r w:rsidRPr="003E4D9D">
        <w:rPr>
          <w:rFonts w:ascii="Times New Roman" w:hAnsi="Times New Roman" w:cs="Times New Roman"/>
          <w:i/>
          <w:iCs/>
          <w:sz w:val="24"/>
          <w:szCs w:val="24"/>
        </w:rPr>
        <w:t xml:space="preserve">Chafanza </w:t>
      </w:r>
      <w:r w:rsidRPr="00C6608D">
        <w:rPr>
          <w:rFonts w:ascii="Times New Roman" w:hAnsi="Times New Roman" w:cs="Times New Roman"/>
          <w:sz w:val="24"/>
          <w:szCs w:val="24"/>
        </w:rPr>
        <w:t>v</w:t>
      </w:r>
      <w:r w:rsidRPr="003E4D9D">
        <w:rPr>
          <w:rFonts w:ascii="Times New Roman" w:hAnsi="Times New Roman" w:cs="Times New Roman"/>
          <w:i/>
          <w:iCs/>
          <w:sz w:val="24"/>
          <w:szCs w:val="24"/>
        </w:rPr>
        <w:t xml:space="preserve"> Edgars Stores </w:t>
      </w:r>
      <w:r>
        <w:rPr>
          <w:rFonts w:ascii="Times New Roman" w:hAnsi="Times New Roman" w:cs="Times New Roman"/>
          <w:sz w:val="24"/>
          <w:szCs w:val="24"/>
        </w:rPr>
        <w:t xml:space="preserve">2005 (1) ZLR 299 (H) </w:t>
      </w:r>
      <w:r w:rsidR="00221A18">
        <w:rPr>
          <w:rFonts w:ascii="Times New Roman" w:hAnsi="Times New Roman" w:cs="Times New Roman"/>
          <w:sz w:val="24"/>
          <w:szCs w:val="24"/>
        </w:rPr>
        <w:t xml:space="preserve">is distinguishable from </w:t>
      </w:r>
      <w:r>
        <w:rPr>
          <w:rFonts w:ascii="Times New Roman" w:hAnsi="Times New Roman" w:cs="Times New Roman"/>
          <w:sz w:val="24"/>
          <w:szCs w:val="24"/>
        </w:rPr>
        <w:t xml:space="preserve">this matter. In addition, there is no evidence that the commissioner of oaths drafted the affidavits in issue. In the circumstances, the point </w:t>
      </w:r>
      <w:r w:rsidRPr="00B72E40">
        <w:rPr>
          <w:rFonts w:ascii="Times New Roman" w:hAnsi="Times New Roman" w:cs="Times New Roman"/>
          <w:i/>
          <w:iCs/>
          <w:sz w:val="24"/>
          <w:szCs w:val="24"/>
        </w:rPr>
        <w:t xml:space="preserve">in limine </w:t>
      </w:r>
      <w:r>
        <w:rPr>
          <w:rFonts w:ascii="Times New Roman" w:hAnsi="Times New Roman" w:cs="Times New Roman"/>
          <w:sz w:val="24"/>
          <w:szCs w:val="24"/>
        </w:rPr>
        <w:t xml:space="preserve">has no merit and is refused. </w:t>
      </w:r>
    </w:p>
    <w:p w14:paraId="243CEEB7" w14:textId="2EA9919E" w:rsidR="001A4868" w:rsidRDefault="00496A7B" w:rsidP="00496A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B49CB">
        <w:rPr>
          <w:rFonts w:ascii="Times New Roman" w:hAnsi="Times New Roman" w:cs="Times New Roman"/>
          <w:sz w:val="24"/>
          <w:szCs w:val="24"/>
        </w:rPr>
        <w:t>7</w:t>
      </w:r>
      <w:r>
        <w:rPr>
          <w:rFonts w:ascii="Times New Roman" w:hAnsi="Times New Roman" w:cs="Times New Roman"/>
          <w:sz w:val="24"/>
          <w:szCs w:val="24"/>
        </w:rPr>
        <w:t xml:space="preserve">] </w:t>
      </w:r>
      <w:r w:rsidR="001A4868">
        <w:rPr>
          <w:rFonts w:ascii="Times New Roman" w:hAnsi="Times New Roman" w:cs="Times New Roman"/>
          <w:sz w:val="24"/>
          <w:szCs w:val="24"/>
        </w:rPr>
        <w:t>In the opposing papers, the respondents had taken a preliminary point that this matter is</w:t>
      </w:r>
      <w:r w:rsidR="001A4868" w:rsidRPr="001A4868">
        <w:rPr>
          <w:rFonts w:ascii="Times New Roman" w:hAnsi="Times New Roman" w:cs="Times New Roman"/>
          <w:i/>
          <w:iCs/>
          <w:sz w:val="24"/>
          <w:szCs w:val="24"/>
        </w:rPr>
        <w:t xml:space="preserve"> </w:t>
      </w:r>
      <w:r w:rsidR="0099012D">
        <w:rPr>
          <w:rFonts w:ascii="Times New Roman" w:hAnsi="Times New Roman" w:cs="Times New Roman"/>
          <w:i/>
          <w:iCs/>
          <w:sz w:val="24"/>
          <w:szCs w:val="24"/>
        </w:rPr>
        <w:t>res judicata</w:t>
      </w:r>
      <w:r w:rsidR="001A4868" w:rsidRPr="001A4868">
        <w:rPr>
          <w:rFonts w:ascii="Times New Roman" w:hAnsi="Times New Roman" w:cs="Times New Roman"/>
          <w:i/>
          <w:iCs/>
          <w:sz w:val="24"/>
          <w:szCs w:val="24"/>
        </w:rPr>
        <w:t>.</w:t>
      </w:r>
      <w:r w:rsidR="001A4868">
        <w:rPr>
          <w:rFonts w:ascii="Times New Roman" w:hAnsi="Times New Roman" w:cs="Times New Roman"/>
          <w:sz w:val="24"/>
          <w:szCs w:val="24"/>
        </w:rPr>
        <w:t xml:space="preserve"> At the commencement of the hearing, this preliminary point was abandoned and as such no further reference shall be made to it. </w:t>
      </w:r>
    </w:p>
    <w:p w14:paraId="0A02B0EC" w14:textId="195F3EFC" w:rsidR="00496A7B" w:rsidRDefault="001A4868" w:rsidP="00496A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9CB">
        <w:rPr>
          <w:rFonts w:ascii="Times New Roman" w:hAnsi="Times New Roman" w:cs="Times New Roman"/>
          <w:sz w:val="24"/>
          <w:szCs w:val="24"/>
        </w:rPr>
        <w:t>8</w:t>
      </w:r>
      <w:r>
        <w:rPr>
          <w:rFonts w:ascii="Times New Roman" w:hAnsi="Times New Roman" w:cs="Times New Roman"/>
          <w:sz w:val="24"/>
          <w:szCs w:val="24"/>
        </w:rPr>
        <w:t xml:space="preserve">] </w:t>
      </w:r>
      <w:r w:rsidR="00496A7B">
        <w:rPr>
          <w:rFonts w:ascii="Times New Roman" w:hAnsi="Times New Roman" w:cs="Times New Roman"/>
          <w:sz w:val="24"/>
          <w:szCs w:val="24"/>
        </w:rPr>
        <w:t>On the merits the applicant contends she</w:t>
      </w:r>
      <w:r w:rsidR="00496A7B" w:rsidRPr="00496A7B">
        <w:rPr>
          <w:rFonts w:ascii="Times New Roman" w:hAnsi="Times New Roman" w:cs="Times New Roman"/>
          <w:sz w:val="24"/>
          <w:szCs w:val="24"/>
        </w:rPr>
        <w:t xml:space="preserve"> was charged in terms o</w:t>
      </w:r>
      <w:r w:rsidR="00496A7B">
        <w:rPr>
          <w:rFonts w:ascii="Times New Roman" w:hAnsi="Times New Roman" w:cs="Times New Roman"/>
          <w:sz w:val="24"/>
          <w:szCs w:val="24"/>
        </w:rPr>
        <w:t xml:space="preserve">f </w:t>
      </w:r>
      <w:r w:rsidR="00496A7B" w:rsidRPr="00496A7B">
        <w:rPr>
          <w:rFonts w:ascii="Times New Roman" w:hAnsi="Times New Roman" w:cs="Times New Roman"/>
          <w:sz w:val="24"/>
          <w:szCs w:val="24"/>
        </w:rPr>
        <w:t>para</w:t>
      </w:r>
      <w:r w:rsidR="00C6608D">
        <w:rPr>
          <w:rFonts w:ascii="Times New Roman" w:hAnsi="Times New Roman" w:cs="Times New Roman"/>
          <w:sz w:val="24"/>
          <w:szCs w:val="24"/>
        </w:rPr>
        <w:t xml:space="preserve"> </w:t>
      </w:r>
      <w:r w:rsidR="00496A7B" w:rsidRPr="00496A7B">
        <w:rPr>
          <w:rFonts w:ascii="Times New Roman" w:hAnsi="Times New Roman" w:cs="Times New Roman"/>
          <w:sz w:val="24"/>
          <w:szCs w:val="24"/>
        </w:rPr>
        <w:t>35 of the Schedule</w:t>
      </w:r>
      <w:r w:rsidR="00496A7B">
        <w:rPr>
          <w:rFonts w:ascii="Times New Roman" w:hAnsi="Times New Roman" w:cs="Times New Roman"/>
          <w:sz w:val="24"/>
          <w:szCs w:val="24"/>
        </w:rPr>
        <w:t xml:space="preserve"> </w:t>
      </w:r>
      <w:r w:rsidR="00496A7B" w:rsidRPr="00496A7B">
        <w:rPr>
          <w:rFonts w:ascii="Times New Roman" w:hAnsi="Times New Roman" w:cs="Times New Roman"/>
          <w:sz w:val="24"/>
          <w:szCs w:val="24"/>
        </w:rPr>
        <w:t xml:space="preserve">to the Police Act </w:t>
      </w:r>
      <w:r w:rsidR="0099012D">
        <w:rPr>
          <w:rFonts w:ascii="Times New Roman" w:hAnsi="Times New Roman" w:cs="Times New Roman"/>
          <w:sz w:val="24"/>
          <w:szCs w:val="24"/>
        </w:rPr>
        <w:t>[</w:t>
      </w:r>
      <w:r w:rsidR="0099012D" w:rsidRPr="00C6608D">
        <w:rPr>
          <w:rFonts w:ascii="Times New Roman" w:hAnsi="Times New Roman" w:cs="Times New Roman"/>
          <w:i/>
          <w:iCs/>
          <w:sz w:val="24"/>
          <w:szCs w:val="24"/>
        </w:rPr>
        <w:t>Chapter 11:10</w:t>
      </w:r>
      <w:r w:rsidR="0099012D">
        <w:rPr>
          <w:rFonts w:ascii="Times New Roman" w:hAnsi="Times New Roman" w:cs="Times New Roman"/>
          <w:sz w:val="24"/>
          <w:szCs w:val="24"/>
        </w:rPr>
        <w:t xml:space="preserve">] (“the Act”) </w:t>
      </w:r>
      <w:r w:rsidR="00496A7B">
        <w:rPr>
          <w:rFonts w:ascii="Times New Roman" w:hAnsi="Times New Roman" w:cs="Times New Roman"/>
          <w:sz w:val="24"/>
          <w:szCs w:val="24"/>
        </w:rPr>
        <w:t>and was</w:t>
      </w:r>
      <w:r w:rsidR="00496A7B" w:rsidRPr="00496A7B">
        <w:rPr>
          <w:rFonts w:ascii="Times New Roman" w:hAnsi="Times New Roman" w:cs="Times New Roman"/>
          <w:sz w:val="24"/>
          <w:szCs w:val="24"/>
        </w:rPr>
        <w:t xml:space="preserve"> convicted.</w:t>
      </w:r>
      <w:r w:rsidR="00496A7B">
        <w:rPr>
          <w:rFonts w:ascii="Times New Roman" w:hAnsi="Times New Roman" w:cs="Times New Roman"/>
          <w:sz w:val="24"/>
          <w:szCs w:val="24"/>
        </w:rPr>
        <w:t xml:space="preserve"> </w:t>
      </w:r>
      <w:r w:rsidR="00496A7B" w:rsidRPr="00496A7B">
        <w:rPr>
          <w:rFonts w:ascii="Times New Roman" w:hAnsi="Times New Roman" w:cs="Times New Roman"/>
          <w:sz w:val="24"/>
          <w:szCs w:val="24"/>
        </w:rPr>
        <w:t xml:space="preserve">The </w:t>
      </w:r>
      <w:r w:rsidR="0099012D">
        <w:rPr>
          <w:rFonts w:ascii="Times New Roman" w:hAnsi="Times New Roman" w:cs="Times New Roman"/>
          <w:sz w:val="24"/>
          <w:szCs w:val="24"/>
        </w:rPr>
        <w:t>first</w:t>
      </w:r>
      <w:r w:rsidR="00496A7B">
        <w:rPr>
          <w:rFonts w:ascii="Times New Roman" w:hAnsi="Times New Roman" w:cs="Times New Roman"/>
          <w:sz w:val="24"/>
          <w:szCs w:val="24"/>
        </w:rPr>
        <w:t xml:space="preserve"> r</w:t>
      </w:r>
      <w:r w:rsidR="00496A7B" w:rsidRPr="00496A7B">
        <w:rPr>
          <w:rFonts w:ascii="Times New Roman" w:hAnsi="Times New Roman" w:cs="Times New Roman"/>
          <w:sz w:val="24"/>
          <w:szCs w:val="24"/>
        </w:rPr>
        <w:t xml:space="preserve">espondent convened a board of suitability in terms of </w:t>
      </w:r>
      <w:r w:rsidR="00496A7B">
        <w:rPr>
          <w:rFonts w:ascii="Times New Roman" w:hAnsi="Times New Roman" w:cs="Times New Roman"/>
          <w:sz w:val="24"/>
          <w:szCs w:val="24"/>
        </w:rPr>
        <w:t xml:space="preserve">s </w:t>
      </w:r>
      <w:r w:rsidR="00496A7B" w:rsidRPr="00496A7B">
        <w:rPr>
          <w:rFonts w:ascii="Times New Roman" w:hAnsi="Times New Roman" w:cs="Times New Roman"/>
          <w:sz w:val="24"/>
          <w:szCs w:val="24"/>
        </w:rPr>
        <w:t xml:space="preserve">50 of the Act </w:t>
      </w:r>
      <w:r w:rsidR="00496A7B">
        <w:rPr>
          <w:rFonts w:ascii="Times New Roman" w:hAnsi="Times New Roman" w:cs="Times New Roman"/>
          <w:sz w:val="24"/>
          <w:szCs w:val="24"/>
        </w:rPr>
        <w:t>whose recommendations</w:t>
      </w:r>
      <w:r w:rsidR="00496A7B" w:rsidRPr="00496A7B">
        <w:rPr>
          <w:rFonts w:ascii="Times New Roman" w:hAnsi="Times New Roman" w:cs="Times New Roman"/>
          <w:sz w:val="24"/>
          <w:szCs w:val="24"/>
        </w:rPr>
        <w:t xml:space="preserve"> led to</w:t>
      </w:r>
      <w:r w:rsidR="00496A7B">
        <w:rPr>
          <w:rFonts w:ascii="Times New Roman" w:hAnsi="Times New Roman" w:cs="Times New Roman"/>
          <w:sz w:val="24"/>
          <w:szCs w:val="24"/>
        </w:rPr>
        <w:t xml:space="preserve"> her </w:t>
      </w:r>
      <w:r w:rsidR="00496A7B" w:rsidRPr="00496A7B">
        <w:rPr>
          <w:rFonts w:ascii="Times New Roman" w:hAnsi="Times New Roman" w:cs="Times New Roman"/>
          <w:sz w:val="24"/>
          <w:szCs w:val="24"/>
        </w:rPr>
        <w:t>discharge from the Police Service.</w:t>
      </w:r>
      <w:r w:rsidR="00496A7B">
        <w:rPr>
          <w:rFonts w:ascii="Times New Roman" w:hAnsi="Times New Roman" w:cs="Times New Roman"/>
          <w:sz w:val="24"/>
          <w:szCs w:val="24"/>
        </w:rPr>
        <w:t xml:space="preserve"> </w:t>
      </w:r>
      <w:r w:rsidR="004079A5">
        <w:rPr>
          <w:rFonts w:ascii="Times New Roman" w:hAnsi="Times New Roman" w:cs="Times New Roman"/>
          <w:sz w:val="24"/>
          <w:szCs w:val="24"/>
        </w:rPr>
        <w:t xml:space="preserve">It was further contended that she was not furnished with the reasons for the board recommendations and the reasons for the discharge. The applicant avers that she challenged the legality of the decision of the </w:t>
      </w:r>
      <w:r w:rsidR="0099012D">
        <w:rPr>
          <w:rFonts w:ascii="Times New Roman" w:hAnsi="Times New Roman" w:cs="Times New Roman"/>
          <w:sz w:val="24"/>
          <w:szCs w:val="24"/>
        </w:rPr>
        <w:t xml:space="preserve">first </w:t>
      </w:r>
      <w:r w:rsidR="004079A5">
        <w:rPr>
          <w:rFonts w:ascii="Times New Roman" w:hAnsi="Times New Roman" w:cs="Times New Roman"/>
          <w:sz w:val="24"/>
          <w:szCs w:val="24"/>
        </w:rPr>
        <w:t xml:space="preserve">respondent, and </w:t>
      </w:r>
      <w:r w:rsidR="0099012D">
        <w:rPr>
          <w:rFonts w:ascii="Times New Roman" w:hAnsi="Times New Roman" w:cs="Times New Roman"/>
          <w:sz w:val="24"/>
          <w:szCs w:val="24"/>
        </w:rPr>
        <w:t>it was</w:t>
      </w:r>
      <w:r w:rsidR="004079A5">
        <w:rPr>
          <w:rFonts w:ascii="Times New Roman" w:hAnsi="Times New Roman" w:cs="Times New Roman"/>
          <w:sz w:val="24"/>
          <w:szCs w:val="24"/>
        </w:rPr>
        <w:t xml:space="preserve"> declared unlawful and wrongful. </w:t>
      </w:r>
    </w:p>
    <w:p w14:paraId="162AE8E9" w14:textId="5A7B850C" w:rsidR="004079A5" w:rsidRDefault="004079A5" w:rsidP="00496A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9CB">
        <w:rPr>
          <w:rFonts w:ascii="Times New Roman" w:hAnsi="Times New Roman" w:cs="Times New Roman"/>
          <w:sz w:val="24"/>
          <w:szCs w:val="24"/>
        </w:rPr>
        <w:t>9</w:t>
      </w:r>
      <w:r>
        <w:rPr>
          <w:rFonts w:ascii="Times New Roman" w:hAnsi="Times New Roman" w:cs="Times New Roman"/>
          <w:sz w:val="24"/>
          <w:szCs w:val="24"/>
        </w:rPr>
        <w:t>] The applicant argued that the reasons given by one R.M. Basera an Assistant Commissioner in the Zimbabwe Republic Police do not constitute reasons as contemplated in the order in HC 42/18</w:t>
      </w:r>
      <w:r w:rsidR="00C87775">
        <w:rPr>
          <w:rFonts w:ascii="Times New Roman" w:hAnsi="Times New Roman" w:cs="Times New Roman"/>
          <w:sz w:val="24"/>
          <w:szCs w:val="24"/>
        </w:rPr>
        <w:t xml:space="preserve">, in that he cannot usurp or take over the judicial function of the Commissioner of Police. </w:t>
      </w:r>
      <w:r>
        <w:rPr>
          <w:rFonts w:ascii="Times New Roman" w:hAnsi="Times New Roman" w:cs="Times New Roman"/>
          <w:sz w:val="24"/>
          <w:szCs w:val="24"/>
        </w:rPr>
        <w:t xml:space="preserve"> </w:t>
      </w:r>
      <w:r w:rsidR="00C87775">
        <w:rPr>
          <w:rFonts w:ascii="Times New Roman" w:hAnsi="Times New Roman" w:cs="Times New Roman"/>
          <w:sz w:val="24"/>
          <w:szCs w:val="24"/>
        </w:rPr>
        <w:t xml:space="preserve">The applicant further avers that she was discharged without reasons as required by s 68(2) of the Constitution. </w:t>
      </w:r>
    </w:p>
    <w:p w14:paraId="4F5DFCC9" w14:textId="7624B269" w:rsidR="00C87775" w:rsidRDefault="00C87775" w:rsidP="00496A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B49CB">
        <w:rPr>
          <w:rFonts w:ascii="Times New Roman" w:hAnsi="Times New Roman" w:cs="Times New Roman"/>
          <w:sz w:val="24"/>
          <w:szCs w:val="24"/>
        </w:rPr>
        <w:t>10</w:t>
      </w:r>
      <w:r>
        <w:rPr>
          <w:rFonts w:ascii="Times New Roman" w:hAnsi="Times New Roman" w:cs="Times New Roman"/>
          <w:sz w:val="24"/>
          <w:szCs w:val="24"/>
        </w:rPr>
        <w:t xml:space="preserve">] </w:t>
      </w:r>
      <w:r w:rsidRPr="00C87775">
        <w:rPr>
          <w:rFonts w:ascii="Times New Roman" w:hAnsi="Times New Roman" w:cs="Times New Roman"/>
          <w:i/>
          <w:iCs/>
          <w:sz w:val="24"/>
          <w:szCs w:val="24"/>
        </w:rPr>
        <w:t>Per contra</w:t>
      </w:r>
      <w:r>
        <w:rPr>
          <w:rFonts w:ascii="Times New Roman" w:hAnsi="Times New Roman" w:cs="Times New Roman"/>
          <w:sz w:val="24"/>
          <w:szCs w:val="24"/>
        </w:rPr>
        <w:t xml:space="preserve"> the respondents contend that the applicant was charged and convicted in terms of the Act and was discharged on the recommendations of the suitability board. </w:t>
      </w:r>
      <w:r w:rsidR="00F73B4D">
        <w:rPr>
          <w:rFonts w:ascii="Times New Roman" w:hAnsi="Times New Roman" w:cs="Times New Roman"/>
          <w:sz w:val="24"/>
          <w:szCs w:val="24"/>
        </w:rPr>
        <w:t>It was contended further that the order in HC 42/18 was complied with in that the applicant was furnished with reasons. The first respondent averred that he delegated Assistant Commissioner Basera to provide the applicant with reasons</w:t>
      </w:r>
      <w:r w:rsidR="0099012D">
        <w:rPr>
          <w:rFonts w:ascii="Times New Roman" w:hAnsi="Times New Roman" w:cs="Times New Roman"/>
          <w:sz w:val="24"/>
          <w:szCs w:val="24"/>
        </w:rPr>
        <w:t xml:space="preserve"> for her discharge. </w:t>
      </w:r>
      <w:r w:rsidR="00F73B4D">
        <w:rPr>
          <w:rFonts w:ascii="Times New Roman" w:hAnsi="Times New Roman" w:cs="Times New Roman"/>
          <w:sz w:val="24"/>
          <w:szCs w:val="24"/>
        </w:rPr>
        <w:t xml:space="preserve"> </w:t>
      </w:r>
    </w:p>
    <w:p w14:paraId="2D5786BB" w14:textId="61396AE0" w:rsidR="00A365FB" w:rsidRDefault="00A365FB" w:rsidP="00496A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94699">
        <w:rPr>
          <w:rFonts w:ascii="Times New Roman" w:hAnsi="Times New Roman" w:cs="Times New Roman"/>
          <w:sz w:val="24"/>
          <w:szCs w:val="24"/>
        </w:rPr>
        <w:t>1</w:t>
      </w:r>
      <w:r w:rsidR="00EB49CB">
        <w:rPr>
          <w:rFonts w:ascii="Times New Roman" w:hAnsi="Times New Roman" w:cs="Times New Roman"/>
          <w:sz w:val="24"/>
          <w:szCs w:val="24"/>
        </w:rPr>
        <w:t>1</w:t>
      </w:r>
      <w:r>
        <w:rPr>
          <w:rFonts w:ascii="Times New Roman" w:hAnsi="Times New Roman" w:cs="Times New Roman"/>
          <w:sz w:val="24"/>
          <w:szCs w:val="24"/>
        </w:rPr>
        <w:t xml:space="preserve">] </w:t>
      </w:r>
      <w:r w:rsidR="00394699">
        <w:rPr>
          <w:rFonts w:ascii="Times New Roman" w:hAnsi="Times New Roman" w:cs="Times New Roman"/>
          <w:sz w:val="24"/>
          <w:szCs w:val="24"/>
        </w:rPr>
        <w:t>It is clear that this</w:t>
      </w:r>
      <w:r>
        <w:rPr>
          <w:rFonts w:ascii="Times New Roman" w:hAnsi="Times New Roman" w:cs="Times New Roman"/>
          <w:sz w:val="24"/>
          <w:szCs w:val="24"/>
        </w:rPr>
        <w:t xml:space="preserve"> application is predicated on the order in HC 42/18</w:t>
      </w:r>
      <w:r w:rsidR="008C540A">
        <w:rPr>
          <w:rFonts w:ascii="Times New Roman" w:hAnsi="Times New Roman" w:cs="Times New Roman"/>
          <w:sz w:val="24"/>
          <w:szCs w:val="24"/>
        </w:rPr>
        <w:t xml:space="preserve"> (Per </w:t>
      </w:r>
      <w:r w:rsidR="00C6608D" w:rsidRPr="00C6608D">
        <w:rPr>
          <w:rFonts w:ascii="Times New Roman" w:hAnsi="Times New Roman" w:cs="Times New Roman"/>
          <w:smallCaps/>
          <w:sz w:val="24"/>
          <w:szCs w:val="24"/>
        </w:rPr>
        <w:t>mawadze</w:t>
      </w:r>
      <w:r w:rsidR="00C6608D">
        <w:rPr>
          <w:rFonts w:ascii="Times New Roman" w:hAnsi="Times New Roman" w:cs="Times New Roman"/>
          <w:sz w:val="24"/>
          <w:szCs w:val="24"/>
        </w:rPr>
        <w:t xml:space="preserve"> </w:t>
      </w:r>
      <w:r w:rsidR="008C540A">
        <w:rPr>
          <w:rFonts w:ascii="Times New Roman" w:hAnsi="Times New Roman" w:cs="Times New Roman"/>
          <w:sz w:val="24"/>
          <w:szCs w:val="24"/>
        </w:rPr>
        <w:t>J as he then was)</w:t>
      </w:r>
      <w:r w:rsidR="00C767F4">
        <w:rPr>
          <w:rFonts w:ascii="Times New Roman" w:hAnsi="Times New Roman" w:cs="Times New Roman"/>
          <w:sz w:val="24"/>
          <w:szCs w:val="24"/>
        </w:rPr>
        <w:t xml:space="preserve">, which reads as follows: </w:t>
      </w:r>
    </w:p>
    <w:p w14:paraId="1D16131E" w14:textId="12E14273" w:rsidR="00C767F4" w:rsidRDefault="00C767F4" w:rsidP="00C767F4">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refusal and or failure by the respondents to furnish applicant with reasons for her discharge be and is hereby declared unlawful and wrongful. </w:t>
      </w:r>
    </w:p>
    <w:p w14:paraId="48880BEF" w14:textId="1B0CE030" w:rsidR="00C767F4" w:rsidRDefault="00C767F4" w:rsidP="00C767F4">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6608D">
        <w:rPr>
          <w:rFonts w:ascii="Times New Roman" w:hAnsi="Times New Roman" w:cs="Times New Roman"/>
          <w:sz w:val="24"/>
          <w:szCs w:val="24"/>
        </w:rPr>
        <w:t>first</w:t>
      </w:r>
      <w:r>
        <w:rPr>
          <w:rFonts w:ascii="Times New Roman" w:hAnsi="Times New Roman" w:cs="Times New Roman"/>
          <w:sz w:val="24"/>
          <w:szCs w:val="24"/>
        </w:rPr>
        <w:t xml:space="preserve"> and </w:t>
      </w:r>
      <w:r w:rsidR="00C6608D">
        <w:rPr>
          <w:rFonts w:ascii="Times New Roman" w:hAnsi="Times New Roman" w:cs="Times New Roman"/>
          <w:sz w:val="24"/>
          <w:szCs w:val="24"/>
        </w:rPr>
        <w:t>second</w:t>
      </w:r>
      <w:r>
        <w:rPr>
          <w:rFonts w:ascii="Times New Roman" w:hAnsi="Times New Roman" w:cs="Times New Roman"/>
          <w:sz w:val="24"/>
          <w:szCs w:val="24"/>
        </w:rPr>
        <w:t xml:space="preserve"> respondents are ordered to furnish the applicant with reasons for her discharge from the Police Service within fourteen (14) days from the date of this order.</w:t>
      </w:r>
    </w:p>
    <w:p w14:paraId="766D1BCD" w14:textId="7743A1A5" w:rsidR="00C767F4" w:rsidRDefault="00C767F4" w:rsidP="00C767F4">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are ordered to pay cost of suit on client-attorney scale. </w:t>
      </w:r>
    </w:p>
    <w:p w14:paraId="7FFA634B" w14:textId="77777777" w:rsidR="00C767F4" w:rsidRDefault="00C767F4" w:rsidP="00C767F4">
      <w:pPr>
        <w:spacing w:after="0" w:line="276" w:lineRule="auto"/>
        <w:jc w:val="both"/>
        <w:rPr>
          <w:rFonts w:ascii="Times New Roman" w:hAnsi="Times New Roman" w:cs="Times New Roman"/>
          <w:sz w:val="24"/>
          <w:szCs w:val="24"/>
        </w:rPr>
      </w:pPr>
    </w:p>
    <w:p w14:paraId="05735BB4" w14:textId="652F2853" w:rsidR="00EB5998" w:rsidRDefault="00C767F4" w:rsidP="009F6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94699">
        <w:rPr>
          <w:rFonts w:ascii="Times New Roman" w:hAnsi="Times New Roman" w:cs="Times New Roman"/>
          <w:sz w:val="24"/>
          <w:szCs w:val="24"/>
        </w:rPr>
        <w:t>1</w:t>
      </w:r>
      <w:r w:rsidR="008C540A">
        <w:rPr>
          <w:rFonts w:ascii="Times New Roman" w:hAnsi="Times New Roman" w:cs="Times New Roman"/>
          <w:sz w:val="24"/>
          <w:szCs w:val="24"/>
        </w:rPr>
        <w:t>2</w:t>
      </w:r>
      <w:r>
        <w:rPr>
          <w:rFonts w:ascii="Times New Roman" w:hAnsi="Times New Roman" w:cs="Times New Roman"/>
          <w:sz w:val="24"/>
          <w:szCs w:val="24"/>
        </w:rPr>
        <w:t xml:space="preserve">] </w:t>
      </w:r>
      <w:r w:rsidR="009F6333">
        <w:rPr>
          <w:rFonts w:ascii="Times New Roman" w:hAnsi="Times New Roman" w:cs="Times New Roman"/>
          <w:sz w:val="24"/>
          <w:szCs w:val="24"/>
        </w:rPr>
        <w:t>It</w:t>
      </w:r>
      <w:r w:rsidR="00394699">
        <w:rPr>
          <w:rFonts w:ascii="Times New Roman" w:hAnsi="Times New Roman" w:cs="Times New Roman"/>
          <w:sz w:val="24"/>
          <w:szCs w:val="24"/>
        </w:rPr>
        <w:t xml:space="preserve"> does not require closer scrutiny to observe that </w:t>
      </w:r>
      <w:r w:rsidR="009F6333">
        <w:rPr>
          <w:rFonts w:ascii="Times New Roman" w:hAnsi="Times New Roman" w:cs="Times New Roman"/>
          <w:sz w:val="24"/>
          <w:szCs w:val="24"/>
        </w:rPr>
        <w:t xml:space="preserve">the court did not declare the decision of the first respondent unlawful, what </w:t>
      </w:r>
      <w:r w:rsidR="00B75D35">
        <w:rPr>
          <w:rFonts w:ascii="Times New Roman" w:hAnsi="Times New Roman" w:cs="Times New Roman"/>
          <w:sz w:val="24"/>
          <w:szCs w:val="24"/>
        </w:rPr>
        <w:t>was</w:t>
      </w:r>
      <w:r w:rsidR="009F6333">
        <w:rPr>
          <w:rFonts w:ascii="Times New Roman" w:hAnsi="Times New Roman" w:cs="Times New Roman"/>
          <w:sz w:val="24"/>
          <w:szCs w:val="24"/>
        </w:rPr>
        <w:t xml:space="preserve"> declared unlawful and wrongful was </w:t>
      </w:r>
      <w:r w:rsidR="00394699">
        <w:rPr>
          <w:rFonts w:ascii="Times New Roman" w:hAnsi="Times New Roman" w:cs="Times New Roman"/>
          <w:sz w:val="24"/>
          <w:szCs w:val="24"/>
        </w:rPr>
        <w:t>the f</w:t>
      </w:r>
      <w:r w:rsidR="009F6333">
        <w:rPr>
          <w:rFonts w:ascii="Times New Roman" w:hAnsi="Times New Roman" w:cs="Times New Roman"/>
          <w:sz w:val="24"/>
          <w:szCs w:val="24"/>
        </w:rPr>
        <w:t>ailure to furnish the applicant with reasons</w:t>
      </w:r>
      <w:r w:rsidR="00394699">
        <w:rPr>
          <w:rFonts w:ascii="Times New Roman" w:hAnsi="Times New Roman" w:cs="Times New Roman"/>
          <w:sz w:val="24"/>
          <w:szCs w:val="24"/>
        </w:rPr>
        <w:t xml:space="preserve"> for her discharge</w:t>
      </w:r>
      <w:r w:rsidR="009F6333">
        <w:rPr>
          <w:rFonts w:ascii="Times New Roman" w:hAnsi="Times New Roman" w:cs="Times New Roman"/>
          <w:sz w:val="24"/>
          <w:szCs w:val="24"/>
        </w:rPr>
        <w:t xml:space="preserve">. The court then ordered that the applicant be furnished with reasons for </w:t>
      </w:r>
      <w:r w:rsidR="008C540A">
        <w:rPr>
          <w:rFonts w:ascii="Times New Roman" w:hAnsi="Times New Roman" w:cs="Times New Roman"/>
          <w:sz w:val="24"/>
          <w:szCs w:val="24"/>
        </w:rPr>
        <w:t>her</w:t>
      </w:r>
      <w:r w:rsidR="009F6333">
        <w:rPr>
          <w:rFonts w:ascii="Times New Roman" w:hAnsi="Times New Roman" w:cs="Times New Roman"/>
          <w:sz w:val="24"/>
          <w:szCs w:val="24"/>
        </w:rPr>
        <w:t xml:space="preserve"> discharge. </w:t>
      </w:r>
      <w:r w:rsidR="00B75D35">
        <w:rPr>
          <w:rFonts w:ascii="Times New Roman" w:hAnsi="Times New Roman" w:cs="Times New Roman"/>
          <w:sz w:val="24"/>
          <w:szCs w:val="24"/>
        </w:rPr>
        <w:t xml:space="preserve">Mr </w:t>
      </w:r>
      <w:r w:rsidR="00B75D35" w:rsidRPr="00B75D35">
        <w:rPr>
          <w:rFonts w:ascii="Times New Roman" w:hAnsi="Times New Roman" w:cs="Times New Roman"/>
          <w:i/>
          <w:iCs/>
          <w:sz w:val="24"/>
          <w:szCs w:val="24"/>
        </w:rPr>
        <w:t>Chiteku</w:t>
      </w:r>
      <w:r w:rsidR="00394699">
        <w:rPr>
          <w:rFonts w:ascii="Times New Roman" w:hAnsi="Times New Roman" w:cs="Times New Roman"/>
          <w:i/>
          <w:iCs/>
          <w:sz w:val="24"/>
          <w:szCs w:val="24"/>
        </w:rPr>
        <w:t>tek</w:t>
      </w:r>
      <w:r w:rsidR="00B75D35" w:rsidRPr="00B75D35">
        <w:rPr>
          <w:rFonts w:ascii="Times New Roman" w:hAnsi="Times New Roman" w:cs="Times New Roman"/>
          <w:i/>
          <w:iCs/>
          <w:sz w:val="24"/>
          <w:szCs w:val="24"/>
        </w:rPr>
        <w:t>u</w:t>
      </w:r>
      <w:r w:rsidR="00B75D35">
        <w:rPr>
          <w:rFonts w:ascii="Times New Roman" w:hAnsi="Times New Roman" w:cs="Times New Roman"/>
          <w:sz w:val="24"/>
          <w:szCs w:val="24"/>
        </w:rPr>
        <w:t xml:space="preserve"> argued that </w:t>
      </w:r>
      <w:r w:rsidR="00394699">
        <w:rPr>
          <w:rFonts w:ascii="Times New Roman" w:hAnsi="Times New Roman" w:cs="Times New Roman"/>
          <w:sz w:val="24"/>
          <w:szCs w:val="24"/>
        </w:rPr>
        <w:t xml:space="preserve">the first respondent </w:t>
      </w:r>
      <w:r w:rsidR="00B75D35">
        <w:rPr>
          <w:rFonts w:ascii="Times New Roman" w:hAnsi="Times New Roman" w:cs="Times New Roman"/>
          <w:sz w:val="24"/>
          <w:szCs w:val="24"/>
        </w:rPr>
        <w:t xml:space="preserve">delegated </w:t>
      </w:r>
      <w:r w:rsidR="00394699">
        <w:rPr>
          <w:rFonts w:ascii="Times New Roman" w:hAnsi="Times New Roman" w:cs="Times New Roman"/>
          <w:sz w:val="24"/>
          <w:szCs w:val="24"/>
        </w:rPr>
        <w:t xml:space="preserve">Assistant Commissioner </w:t>
      </w:r>
      <w:r w:rsidR="00B75D35">
        <w:rPr>
          <w:rFonts w:ascii="Times New Roman" w:hAnsi="Times New Roman" w:cs="Times New Roman"/>
          <w:sz w:val="24"/>
          <w:szCs w:val="24"/>
        </w:rPr>
        <w:t xml:space="preserve">Basera to furnish the applicant with reasons. </w:t>
      </w:r>
      <w:r w:rsidR="008C540A">
        <w:rPr>
          <w:rFonts w:ascii="Times New Roman" w:hAnsi="Times New Roman" w:cs="Times New Roman"/>
          <w:sz w:val="24"/>
          <w:szCs w:val="24"/>
        </w:rPr>
        <w:t>Indeed,</w:t>
      </w:r>
      <w:r w:rsidR="00394699">
        <w:rPr>
          <w:rFonts w:ascii="Times New Roman" w:hAnsi="Times New Roman" w:cs="Times New Roman"/>
          <w:sz w:val="24"/>
          <w:szCs w:val="24"/>
        </w:rPr>
        <w:t xml:space="preserve"> the </w:t>
      </w:r>
      <w:r w:rsidR="00394699">
        <w:rPr>
          <w:rFonts w:ascii="Times New Roman" w:hAnsi="Times New Roman" w:cs="Times New Roman"/>
          <w:sz w:val="24"/>
          <w:szCs w:val="24"/>
        </w:rPr>
        <w:lastRenderedPageBreak/>
        <w:t>applicant does</w:t>
      </w:r>
      <w:r w:rsidR="00926CE6">
        <w:rPr>
          <w:rFonts w:ascii="Times New Roman" w:hAnsi="Times New Roman" w:cs="Times New Roman"/>
          <w:sz w:val="24"/>
          <w:szCs w:val="24"/>
        </w:rPr>
        <w:t xml:space="preserve"> not dispute that</w:t>
      </w:r>
      <w:r w:rsidR="00394699">
        <w:rPr>
          <w:rFonts w:ascii="Times New Roman" w:hAnsi="Times New Roman" w:cs="Times New Roman"/>
          <w:sz w:val="24"/>
          <w:szCs w:val="24"/>
        </w:rPr>
        <w:t xml:space="preserve"> </w:t>
      </w:r>
      <w:r w:rsidR="00926CE6">
        <w:rPr>
          <w:rFonts w:ascii="Times New Roman" w:hAnsi="Times New Roman" w:cs="Times New Roman"/>
          <w:sz w:val="24"/>
          <w:szCs w:val="24"/>
        </w:rPr>
        <w:t xml:space="preserve">Basera provided </w:t>
      </w:r>
      <w:r w:rsidR="00394699">
        <w:rPr>
          <w:rFonts w:ascii="Times New Roman" w:hAnsi="Times New Roman" w:cs="Times New Roman"/>
          <w:sz w:val="24"/>
          <w:szCs w:val="24"/>
        </w:rPr>
        <w:t>her with reasons for her</w:t>
      </w:r>
      <w:r w:rsidR="00926CE6">
        <w:rPr>
          <w:rFonts w:ascii="Times New Roman" w:hAnsi="Times New Roman" w:cs="Times New Roman"/>
          <w:sz w:val="24"/>
          <w:szCs w:val="24"/>
        </w:rPr>
        <w:t xml:space="preserve"> discharge, what is being challenged is</w:t>
      </w:r>
      <w:r w:rsidR="00926CE6" w:rsidRPr="00926CE6">
        <w:rPr>
          <w:rFonts w:ascii="Times New Roman" w:hAnsi="Times New Roman" w:cs="Times New Roman"/>
          <w:sz w:val="24"/>
          <w:szCs w:val="24"/>
        </w:rPr>
        <w:t xml:space="preserve"> the legality of the delegation.</w:t>
      </w:r>
      <w:r w:rsidR="00926CE6">
        <w:rPr>
          <w:rFonts w:ascii="Times New Roman" w:hAnsi="Times New Roman" w:cs="Times New Roman"/>
          <w:sz w:val="24"/>
          <w:szCs w:val="24"/>
        </w:rPr>
        <w:t xml:space="preserve"> </w:t>
      </w:r>
    </w:p>
    <w:p w14:paraId="00711866" w14:textId="50BAF871" w:rsidR="00926CE6" w:rsidRPr="00C767F4" w:rsidRDefault="00EB5998" w:rsidP="009F6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94699">
        <w:rPr>
          <w:rFonts w:ascii="Times New Roman" w:hAnsi="Times New Roman" w:cs="Times New Roman"/>
          <w:sz w:val="24"/>
          <w:szCs w:val="24"/>
        </w:rPr>
        <w:t>1</w:t>
      </w:r>
      <w:r w:rsidR="008C540A">
        <w:rPr>
          <w:rFonts w:ascii="Times New Roman" w:hAnsi="Times New Roman" w:cs="Times New Roman"/>
          <w:sz w:val="24"/>
          <w:szCs w:val="24"/>
        </w:rPr>
        <w:t>3</w:t>
      </w:r>
      <w:r>
        <w:rPr>
          <w:rFonts w:ascii="Times New Roman" w:hAnsi="Times New Roman" w:cs="Times New Roman"/>
          <w:sz w:val="24"/>
          <w:szCs w:val="24"/>
        </w:rPr>
        <w:t xml:space="preserve">] The law permits the first respondent to delegate his functions to senior officers of the police. </w:t>
      </w:r>
      <w:r w:rsidR="00AB03EE">
        <w:rPr>
          <w:rFonts w:ascii="Times New Roman" w:hAnsi="Times New Roman" w:cs="Times New Roman"/>
          <w:sz w:val="24"/>
          <w:szCs w:val="24"/>
        </w:rPr>
        <w:t>The empowering provision is s</w:t>
      </w:r>
      <w:r w:rsidR="00926CE6">
        <w:rPr>
          <w:rFonts w:ascii="Times New Roman" w:hAnsi="Times New Roman" w:cs="Times New Roman"/>
          <w:sz w:val="24"/>
          <w:szCs w:val="24"/>
        </w:rPr>
        <w:t xml:space="preserve"> 10 of the Police Act</w:t>
      </w:r>
      <w:r w:rsidR="00AB03EE">
        <w:rPr>
          <w:rFonts w:ascii="Times New Roman" w:hAnsi="Times New Roman" w:cs="Times New Roman"/>
          <w:sz w:val="24"/>
          <w:szCs w:val="24"/>
        </w:rPr>
        <w:t xml:space="preserve">, which </w:t>
      </w:r>
      <w:r w:rsidR="00926CE6">
        <w:rPr>
          <w:rFonts w:ascii="Times New Roman" w:hAnsi="Times New Roman" w:cs="Times New Roman"/>
          <w:sz w:val="24"/>
          <w:szCs w:val="24"/>
        </w:rPr>
        <w:t xml:space="preserve">provides thus: </w:t>
      </w:r>
    </w:p>
    <w:p w14:paraId="402085EE" w14:textId="77777777" w:rsidR="00A365FB" w:rsidRDefault="00A365FB" w:rsidP="00C767F4">
      <w:pPr>
        <w:spacing w:after="0" w:line="276" w:lineRule="auto"/>
        <w:jc w:val="both"/>
        <w:rPr>
          <w:rFonts w:ascii="Times New Roman" w:hAnsi="Times New Roman" w:cs="Times New Roman"/>
          <w:sz w:val="24"/>
          <w:szCs w:val="24"/>
        </w:rPr>
      </w:pPr>
    </w:p>
    <w:p w14:paraId="76EBDBFC" w14:textId="02AD40EE" w:rsidR="00A365FB" w:rsidRPr="00C6608D" w:rsidRDefault="00926CE6" w:rsidP="00C6608D">
      <w:pPr>
        <w:spacing w:after="0" w:line="240" w:lineRule="auto"/>
        <w:ind w:firstLine="720"/>
        <w:jc w:val="both"/>
        <w:rPr>
          <w:rFonts w:ascii="Times New Roman" w:hAnsi="Times New Roman" w:cs="Times New Roman"/>
        </w:rPr>
      </w:pPr>
      <w:r w:rsidRPr="00C6608D">
        <w:rPr>
          <w:rFonts w:ascii="Times New Roman" w:hAnsi="Times New Roman" w:cs="Times New Roman"/>
        </w:rPr>
        <w:t>“</w:t>
      </w:r>
      <w:r w:rsidR="00A365FB" w:rsidRPr="00C6608D">
        <w:rPr>
          <w:rFonts w:ascii="Times New Roman" w:hAnsi="Times New Roman" w:cs="Times New Roman"/>
        </w:rPr>
        <w:t>10 Delegation of Commissioner-General’s functions</w:t>
      </w:r>
    </w:p>
    <w:p w14:paraId="481D84B8" w14:textId="6C5FB951" w:rsidR="00A365FB" w:rsidRPr="00926CE6" w:rsidRDefault="00A365FB" w:rsidP="00C6608D">
      <w:pPr>
        <w:spacing w:after="0" w:line="240" w:lineRule="auto"/>
        <w:ind w:left="720"/>
        <w:jc w:val="both"/>
        <w:rPr>
          <w:rFonts w:ascii="Times New Roman" w:hAnsi="Times New Roman" w:cs="Times New Roman"/>
          <w:sz w:val="24"/>
          <w:szCs w:val="24"/>
        </w:rPr>
      </w:pPr>
      <w:r w:rsidRPr="00C6608D">
        <w:rPr>
          <w:rFonts w:ascii="Times New Roman" w:hAnsi="Times New Roman" w:cs="Times New Roman"/>
        </w:rPr>
        <w:t>Subject to this Act, the Commissioner-General may from time to time delegate to</w:t>
      </w:r>
      <w:r w:rsidRPr="00C6608D">
        <w:rPr>
          <w:rFonts w:ascii="Times New Roman" w:hAnsi="Times New Roman" w:cs="Times New Roman"/>
          <w:u w:val="single"/>
        </w:rPr>
        <w:t xml:space="preserve"> any officer of or above the rank of superintendent any right, function, power or duty conferred upon him by this Act or any other enactment,</w:t>
      </w:r>
      <w:r w:rsidRPr="00C6608D">
        <w:rPr>
          <w:rFonts w:ascii="Times New Roman" w:hAnsi="Times New Roman" w:cs="Times New Roman"/>
        </w:rPr>
        <w:t xml:space="preserve"> other than the power of further delegating the right, function, power or duty so delegated.</w:t>
      </w:r>
      <w:r w:rsidR="00926CE6" w:rsidRPr="00C6608D">
        <w:rPr>
          <w:rFonts w:ascii="Times New Roman" w:hAnsi="Times New Roman" w:cs="Times New Roman"/>
        </w:rPr>
        <w:t>”</w:t>
      </w:r>
      <w:r w:rsidR="00926CE6">
        <w:rPr>
          <w:rFonts w:ascii="Times New Roman" w:hAnsi="Times New Roman" w:cs="Times New Roman"/>
          <w:sz w:val="24"/>
          <w:szCs w:val="24"/>
        </w:rPr>
        <w:t xml:space="preserve"> (My emphasis). </w:t>
      </w:r>
    </w:p>
    <w:p w14:paraId="592580A6" w14:textId="77777777" w:rsidR="00A365FB" w:rsidRPr="00926CE6" w:rsidRDefault="00A365FB" w:rsidP="00926CE6">
      <w:pPr>
        <w:spacing w:after="0" w:line="276" w:lineRule="auto"/>
        <w:jc w:val="both"/>
        <w:rPr>
          <w:rFonts w:ascii="Times New Roman" w:hAnsi="Times New Roman" w:cs="Times New Roman"/>
          <w:sz w:val="24"/>
          <w:szCs w:val="24"/>
        </w:rPr>
      </w:pPr>
    </w:p>
    <w:p w14:paraId="7BDB1B7D" w14:textId="564A48D7" w:rsidR="00394699" w:rsidRDefault="00926CE6" w:rsidP="001A4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01151">
        <w:rPr>
          <w:rFonts w:ascii="Times New Roman" w:hAnsi="Times New Roman" w:cs="Times New Roman"/>
          <w:sz w:val="24"/>
          <w:szCs w:val="24"/>
        </w:rPr>
        <w:t>1</w:t>
      </w:r>
      <w:r w:rsidR="008C540A">
        <w:rPr>
          <w:rFonts w:ascii="Times New Roman" w:hAnsi="Times New Roman" w:cs="Times New Roman"/>
          <w:sz w:val="24"/>
          <w:szCs w:val="24"/>
        </w:rPr>
        <w:t>4</w:t>
      </w:r>
      <w:r>
        <w:rPr>
          <w:rFonts w:ascii="Times New Roman" w:hAnsi="Times New Roman" w:cs="Times New Roman"/>
          <w:sz w:val="24"/>
          <w:szCs w:val="24"/>
        </w:rPr>
        <w:t xml:space="preserve">] </w:t>
      </w:r>
      <w:r w:rsidR="00EB5998">
        <w:rPr>
          <w:rFonts w:ascii="Times New Roman" w:hAnsi="Times New Roman" w:cs="Times New Roman"/>
          <w:sz w:val="24"/>
          <w:szCs w:val="24"/>
        </w:rPr>
        <w:t xml:space="preserve">The first respondent delegated his function to Basera an Assistant Commissioner in the Zimbabwe Republic Police. I take the view that such delegation is in accordance with the requirements of the law. </w:t>
      </w:r>
      <w:r w:rsidR="00394699">
        <w:rPr>
          <w:rFonts w:ascii="Times New Roman" w:hAnsi="Times New Roman" w:cs="Times New Roman"/>
          <w:sz w:val="24"/>
          <w:szCs w:val="24"/>
        </w:rPr>
        <w:t>Assistant Commissioner Basera is above the rank of superintendent as required by the empowering provision. I take the view that the</w:t>
      </w:r>
      <w:r w:rsidR="00EB5998">
        <w:rPr>
          <w:rFonts w:ascii="Times New Roman" w:hAnsi="Times New Roman" w:cs="Times New Roman"/>
          <w:sz w:val="24"/>
          <w:szCs w:val="24"/>
        </w:rPr>
        <w:t xml:space="preserve"> order in HC 42/18 was complied with, in that the applicant was given reasons for her discharge from the police service. </w:t>
      </w:r>
    </w:p>
    <w:p w14:paraId="3520AD89" w14:textId="7E5C5EDF" w:rsidR="00DD687F" w:rsidRDefault="00394699" w:rsidP="001A4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C540A">
        <w:rPr>
          <w:rFonts w:ascii="Times New Roman" w:hAnsi="Times New Roman" w:cs="Times New Roman"/>
          <w:sz w:val="24"/>
          <w:szCs w:val="24"/>
        </w:rPr>
        <w:t>5</w:t>
      </w:r>
      <w:r>
        <w:rPr>
          <w:rFonts w:ascii="Times New Roman" w:hAnsi="Times New Roman" w:cs="Times New Roman"/>
          <w:sz w:val="24"/>
          <w:szCs w:val="24"/>
        </w:rPr>
        <w:t>] In addition, t</w:t>
      </w:r>
      <w:r w:rsidR="0030406F">
        <w:rPr>
          <w:rFonts w:ascii="Times New Roman" w:hAnsi="Times New Roman" w:cs="Times New Roman"/>
          <w:sz w:val="24"/>
          <w:szCs w:val="24"/>
        </w:rPr>
        <w:t>he argument that the respondents are in contempt of the order in HC 42/18 has no merit</w:t>
      </w:r>
      <w:r>
        <w:rPr>
          <w:rFonts w:ascii="Times New Roman" w:hAnsi="Times New Roman" w:cs="Times New Roman"/>
          <w:sz w:val="24"/>
          <w:szCs w:val="24"/>
        </w:rPr>
        <w:t xml:space="preserve"> because reasons were provided to the applicant. </w:t>
      </w:r>
      <w:r w:rsidR="0030406F">
        <w:rPr>
          <w:rFonts w:ascii="Times New Roman" w:hAnsi="Times New Roman" w:cs="Times New Roman"/>
          <w:sz w:val="24"/>
          <w:szCs w:val="24"/>
        </w:rPr>
        <w:t xml:space="preserve">In any event, this court cannot, in </w:t>
      </w:r>
      <w:r w:rsidR="0030406F" w:rsidRPr="0030406F">
        <w:rPr>
          <w:rFonts w:ascii="Times New Roman" w:hAnsi="Times New Roman" w:cs="Times New Roman"/>
          <w:i/>
          <w:iCs/>
          <w:sz w:val="24"/>
          <w:szCs w:val="24"/>
        </w:rPr>
        <w:t xml:space="preserve">casu </w:t>
      </w:r>
      <w:r w:rsidR="0030406F">
        <w:rPr>
          <w:rFonts w:ascii="Times New Roman" w:hAnsi="Times New Roman" w:cs="Times New Roman"/>
          <w:sz w:val="24"/>
          <w:szCs w:val="24"/>
        </w:rPr>
        <w:t>grant an order of contempt of court because the is no application for contempt before court. An application for contempt of court is made in terms of r</w:t>
      </w:r>
      <w:r w:rsidR="00DD687F">
        <w:rPr>
          <w:rFonts w:ascii="Times New Roman" w:hAnsi="Times New Roman" w:cs="Times New Roman"/>
          <w:sz w:val="24"/>
          <w:szCs w:val="24"/>
        </w:rPr>
        <w:t xml:space="preserve"> 79 of the High Court Rules, 2021</w:t>
      </w:r>
      <w:r w:rsidR="0030406F">
        <w:rPr>
          <w:rFonts w:ascii="Times New Roman" w:hAnsi="Times New Roman" w:cs="Times New Roman"/>
          <w:sz w:val="24"/>
          <w:szCs w:val="24"/>
        </w:rPr>
        <w:t xml:space="preserve"> and there is no such application before court</w:t>
      </w:r>
      <w:r w:rsidR="0030406F" w:rsidRPr="00115F89">
        <w:rPr>
          <w:rFonts w:ascii="Times New Roman" w:hAnsi="Times New Roman" w:cs="Times New Roman"/>
          <w:sz w:val="24"/>
          <w:szCs w:val="24"/>
        </w:rPr>
        <w:t>.</w:t>
      </w:r>
      <w:r w:rsidR="00115F89">
        <w:rPr>
          <w:rFonts w:ascii="Times New Roman" w:hAnsi="Times New Roman" w:cs="Times New Roman"/>
          <w:sz w:val="24"/>
          <w:szCs w:val="24"/>
        </w:rPr>
        <w:t xml:space="preserve"> </w:t>
      </w:r>
      <w:r w:rsidR="00DD687F">
        <w:rPr>
          <w:rFonts w:ascii="Times New Roman" w:hAnsi="Times New Roman" w:cs="Times New Roman"/>
          <w:sz w:val="24"/>
          <w:szCs w:val="24"/>
        </w:rPr>
        <w:t xml:space="preserve">The contention that the court must hold the respondents in contempt of court is disingenuous. </w:t>
      </w:r>
    </w:p>
    <w:p w14:paraId="03520597" w14:textId="5D873A9D" w:rsidR="001A4868" w:rsidRDefault="00DD687F" w:rsidP="001A4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03F57">
        <w:rPr>
          <w:rFonts w:ascii="Times New Roman" w:hAnsi="Times New Roman" w:cs="Times New Roman"/>
          <w:sz w:val="24"/>
          <w:szCs w:val="24"/>
        </w:rPr>
        <w:t>6</w:t>
      </w:r>
      <w:r>
        <w:rPr>
          <w:rFonts w:ascii="Times New Roman" w:hAnsi="Times New Roman" w:cs="Times New Roman"/>
          <w:sz w:val="24"/>
          <w:szCs w:val="24"/>
        </w:rPr>
        <w:t>] Furthermore, t</w:t>
      </w:r>
      <w:r w:rsidR="00115F89">
        <w:rPr>
          <w:rFonts w:ascii="Times New Roman" w:hAnsi="Times New Roman" w:cs="Times New Roman"/>
          <w:sz w:val="24"/>
          <w:szCs w:val="24"/>
        </w:rPr>
        <w:t>here is no basis in this application for this court to set aside the decision of the first respondent</w:t>
      </w:r>
      <w:r w:rsidR="003F71A8">
        <w:rPr>
          <w:rFonts w:ascii="Times New Roman" w:hAnsi="Times New Roman" w:cs="Times New Roman"/>
          <w:sz w:val="24"/>
          <w:szCs w:val="24"/>
        </w:rPr>
        <w:t xml:space="preserve">, and order the reinstatement of the applicant </w:t>
      </w:r>
      <w:r w:rsidR="0030406F" w:rsidRPr="003F71A8">
        <w:rPr>
          <w:rFonts w:ascii="Times New Roman" w:hAnsi="Times New Roman" w:cs="Times New Roman"/>
          <w:sz w:val="24"/>
          <w:szCs w:val="24"/>
        </w:rPr>
        <w:t>without loss of salary and benefits.</w:t>
      </w:r>
      <w:r w:rsidR="003F71A8">
        <w:rPr>
          <w:rFonts w:ascii="Times New Roman" w:hAnsi="Times New Roman" w:cs="Times New Roman"/>
          <w:sz w:val="24"/>
          <w:szCs w:val="24"/>
        </w:rPr>
        <w:t xml:space="preserve"> </w:t>
      </w:r>
      <w:r w:rsidR="008C540A">
        <w:rPr>
          <w:rFonts w:ascii="Times New Roman" w:hAnsi="Times New Roman" w:cs="Times New Roman"/>
          <w:sz w:val="24"/>
          <w:szCs w:val="24"/>
        </w:rPr>
        <w:t>In fact, even if the reasons had not been provided, the remedy would not be reinstatement, but an application for contempt of court. The applicant has not challenged the merits of her discharge based on the reasons provided by the first respondent through Assistant Commissioner Basera. It is incomprehensible how sh</w:t>
      </w:r>
      <w:r w:rsidR="00403F57">
        <w:rPr>
          <w:rFonts w:ascii="Times New Roman" w:hAnsi="Times New Roman" w:cs="Times New Roman"/>
          <w:sz w:val="24"/>
          <w:szCs w:val="24"/>
        </w:rPr>
        <w:t>e</w:t>
      </w:r>
      <w:r w:rsidR="008C540A">
        <w:rPr>
          <w:rFonts w:ascii="Times New Roman" w:hAnsi="Times New Roman" w:cs="Times New Roman"/>
          <w:sz w:val="24"/>
          <w:szCs w:val="24"/>
        </w:rPr>
        <w:t xml:space="preserve"> can seek to be reinstatement </w:t>
      </w:r>
      <w:r w:rsidR="008C540A" w:rsidRPr="003F71A8">
        <w:rPr>
          <w:rFonts w:ascii="Times New Roman" w:hAnsi="Times New Roman" w:cs="Times New Roman"/>
          <w:sz w:val="24"/>
          <w:szCs w:val="24"/>
        </w:rPr>
        <w:t>without loss of salary and benefits</w:t>
      </w:r>
      <w:r w:rsidR="008C540A">
        <w:rPr>
          <w:rFonts w:ascii="Times New Roman" w:hAnsi="Times New Roman" w:cs="Times New Roman"/>
          <w:sz w:val="24"/>
          <w:szCs w:val="24"/>
        </w:rPr>
        <w:t xml:space="preserve"> without</w:t>
      </w:r>
      <w:r w:rsidR="00403F57">
        <w:rPr>
          <w:rFonts w:ascii="Times New Roman" w:hAnsi="Times New Roman" w:cs="Times New Roman"/>
          <w:sz w:val="24"/>
          <w:szCs w:val="24"/>
        </w:rPr>
        <w:t xml:space="preserve"> first</w:t>
      </w:r>
      <w:r w:rsidR="008C540A">
        <w:rPr>
          <w:rFonts w:ascii="Times New Roman" w:hAnsi="Times New Roman" w:cs="Times New Roman"/>
          <w:sz w:val="24"/>
          <w:szCs w:val="24"/>
        </w:rPr>
        <w:t xml:space="preserve"> making a case for such relief. </w:t>
      </w:r>
      <w:r>
        <w:rPr>
          <w:rFonts w:ascii="Times New Roman" w:hAnsi="Times New Roman" w:cs="Times New Roman"/>
          <w:sz w:val="24"/>
          <w:szCs w:val="24"/>
        </w:rPr>
        <w:t xml:space="preserve">This is </w:t>
      </w:r>
      <w:r w:rsidR="00403F57">
        <w:rPr>
          <w:rFonts w:ascii="Times New Roman" w:hAnsi="Times New Roman" w:cs="Times New Roman"/>
          <w:sz w:val="24"/>
          <w:szCs w:val="24"/>
        </w:rPr>
        <w:t xml:space="preserve">merely </w:t>
      </w:r>
      <w:r>
        <w:rPr>
          <w:rFonts w:ascii="Times New Roman" w:hAnsi="Times New Roman" w:cs="Times New Roman"/>
          <w:sz w:val="24"/>
          <w:szCs w:val="24"/>
        </w:rPr>
        <w:t xml:space="preserve">one of those confused applications which crowd the corridors of this court for no good measure. </w:t>
      </w:r>
      <w:r w:rsidR="003F71A8">
        <w:rPr>
          <w:rFonts w:ascii="Times New Roman" w:hAnsi="Times New Roman" w:cs="Times New Roman"/>
          <w:sz w:val="24"/>
          <w:szCs w:val="24"/>
        </w:rPr>
        <w:t xml:space="preserve">It is for the above reasons that this application has no merit and stands to be dismissed. </w:t>
      </w:r>
    </w:p>
    <w:p w14:paraId="1F8201AC" w14:textId="6B1F1077" w:rsidR="001A4868" w:rsidRDefault="001A4868" w:rsidP="001A4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01151">
        <w:rPr>
          <w:rFonts w:ascii="Times New Roman" w:hAnsi="Times New Roman" w:cs="Times New Roman"/>
          <w:sz w:val="24"/>
          <w:szCs w:val="24"/>
        </w:rPr>
        <w:t>1</w:t>
      </w:r>
      <w:r w:rsidR="00403F57">
        <w:rPr>
          <w:rFonts w:ascii="Times New Roman" w:hAnsi="Times New Roman" w:cs="Times New Roman"/>
          <w:sz w:val="24"/>
          <w:szCs w:val="24"/>
        </w:rPr>
        <w:t>7</w:t>
      </w:r>
      <w:r>
        <w:rPr>
          <w:rFonts w:ascii="Times New Roman" w:hAnsi="Times New Roman" w:cs="Times New Roman"/>
          <w:sz w:val="24"/>
          <w:szCs w:val="24"/>
        </w:rPr>
        <w:t xml:space="preserve">] </w:t>
      </w:r>
      <w:r w:rsidRPr="001A4868">
        <w:rPr>
          <w:rFonts w:ascii="Times New Roman" w:hAnsi="Times New Roman" w:cs="Times New Roman"/>
          <w:sz w:val="24"/>
          <w:szCs w:val="24"/>
        </w:rPr>
        <w:t xml:space="preserve">There remains to be considered the question of costs. No good grounds exist for a departure from the general rule that costs follow the event. The respondents are clearly entitled to their costs. </w:t>
      </w:r>
    </w:p>
    <w:p w14:paraId="53CADFDB" w14:textId="77777777" w:rsidR="00C6608D" w:rsidRPr="001A4868" w:rsidRDefault="00C6608D" w:rsidP="001A4868">
      <w:pPr>
        <w:spacing w:after="0" w:line="360" w:lineRule="auto"/>
        <w:jc w:val="both"/>
        <w:rPr>
          <w:rFonts w:ascii="Times New Roman" w:hAnsi="Times New Roman" w:cs="Times New Roman"/>
          <w:sz w:val="24"/>
          <w:szCs w:val="24"/>
        </w:rPr>
      </w:pPr>
    </w:p>
    <w:p w14:paraId="3FFBABCC" w14:textId="39016E71" w:rsidR="001A4868" w:rsidRDefault="001A4868" w:rsidP="00C6608D">
      <w:pPr>
        <w:spacing w:after="0" w:line="360" w:lineRule="auto"/>
        <w:ind w:firstLine="720"/>
        <w:jc w:val="both"/>
        <w:rPr>
          <w:rFonts w:ascii="Times New Roman" w:hAnsi="Times New Roman" w:cs="Times New Roman"/>
          <w:sz w:val="24"/>
          <w:szCs w:val="24"/>
          <w:lang w:val="en-US"/>
        </w:rPr>
      </w:pPr>
      <w:r w:rsidRPr="001A4868">
        <w:rPr>
          <w:rFonts w:ascii="Times New Roman" w:hAnsi="Times New Roman" w:cs="Times New Roman"/>
          <w:sz w:val="24"/>
          <w:szCs w:val="24"/>
          <w:lang w:val="en-US"/>
        </w:rPr>
        <w:lastRenderedPageBreak/>
        <w:t>In the circumstances, this application is dismissed with costs</w:t>
      </w:r>
      <w:r>
        <w:rPr>
          <w:rFonts w:ascii="Times New Roman" w:hAnsi="Times New Roman" w:cs="Times New Roman"/>
          <w:sz w:val="24"/>
          <w:szCs w:val="24"/>
          <w:lang w:val="en-US"/>
        </w:rPr>
        <w:t xml:space="preserve">. </w:t>
      </w:r>
      <w:r w:rsidRPr="001A4868">
        <w:rPr>
          <w:rFonts w:ascii="Times New Roman" w:hAnsi="Times New Roman" w:cs="Times New Roman"/>
          <w:sz w:val="24"/>
          <w:szCs w:val="24"/>
          <w:lang w:val="en-US"/>
        </w:rPr>
        <w:t xml:space="preserve"> </w:t>
      </w:r>
    </w:p>
    <w:p w14:paraId="3368F795" w14:textId="77777777" w:rsidR="00C6608D" w:rsidRPr="001A4868" w:rsidRDefault="00C6608D" w:rsidP="00C6608D">
      <w:pPr>
        <w:spacing w:after="0" w:line="360" w:lineRule="auto"/>
        <w:ind w:firstLine="720"/>
        <w:jc w:val="both"/>
        <w:rPr>
          <w:rFonts w:ascii="Times New Roman" w:hAnsi="Times New Roman" w:cs="Times New Roman"/>
          <w:sz w:val="24"/>
          <w:szCs w:val="24"/>
          <w:lang w:val="en-US"/>
        </w:rPr>
      </w:pPr>
    </w:p>
    <w:p w14:paraId="34FA9105" w14:textId="7C3698FF" w:rsidR="001A4868" w:rsidRPr="00C6608D" w:rsidRDefault="00C6608D" w:rsidP="00C6608D">
      <w:pPr>
        <w:spacing w:after="0" w:line="360" w:lineRule="auto"/>
        <w:jc w:val="both"/>
        <w:rPr>
          <w:rFonts w:ascii="Times New Roman" w:hAnsi="Times New Roman" w:cs="Times New Roman"/>
          <w:b/>
          <w:bCs/>
          <w:sz w:val="24"/>
          <w:szCs w:val="24"/>
          <w:lang w:val="en-US"/>
        </w:rPr>
      </w:pPr>
      <w:r w:rsidRPr="00C6608D">
        <w:rPr>
          <w:rFonts w:ascii="Times New Roman" w:hAnsi="Times New Roman" w:cs="Times New Roman"/>
          <w:b/>
          <w:bCs/>
          <w:sz w:val="24"/>
          <w:szCs w:val="24"/>
          <w:lang w:val="en-US"/>
        </w:rPr>
        <w:t>Dube-Banda J:…………………………..</w:t>
      </w:r>
    </w:p>
    <w:p w14:paraId="0B9A337A" w14:textId="77777777" w:rsidR="001A4868" w:rsidRDefault="001A4868" w:rsidP="001A4868">
      <w:pPr>
        <w:pStyle w:val="ListParagraph"/>
        <w:spacing w:after="0" w:line="360" w:lineRule="auto"/>
        <w:ind w:left="360"/>
        <w:jc w:val="both"/>
        <w:rPr>
          <w:rFonts w:ascii="Times New Roman" w:hAnsi="Times New Roman" w:cs="Times New Roman"/>
          <w:sz w:val="24"/>
          <w:szCs w:val="24"/>
          <w:lang w:val="en-US"/>
        </w:rPr>
      </w:pPr>
    </w:p>
    <w:p w14:paraId="35B58DD0" w14:textId="77777777" w:rsidR="001A4868" w:rsidRDefault="001A4868" w:rsidP="001A4868">
      <w:pPr>
        <w:pStyle w:val="ListParagraph"/>
        <w:spacing w:after="0" w:line="360" w:lineRule="auto"/>
        <w:ind w:left="360"/>
        <w:jc w:val="both"/>
        <w:rPr>
          <w:rFonts w:ascii="Times New Roman" w:hAnsi="Times New Roman" w:cs="Times New Roman"/>
          <w:sz w:val="24"/>
          <w:szCs w:val="24"/>
          <w:lang w:val="en-US"/>
        </w:rPr>
      </w:pPr>
    </w:p>
    <w:p w14:paraId="110E2AC6" w14:textId="77777777" w:rsidR="001A4868" w:rsidRPr="001A4868" w:rsidRDefault="001A4868" w:rsidP="001A4868">
      <w:pPr>
        <w:spacing w:after="0" w:line="276" w:lineRule="auto"/>
        <w:jc w:val="both"/>
        <w:rPr>
          <w:rFonts w:ascii="Times New Roman" w:hAnsi="Times New Roman" w:cs="Times New Roman"/>
          <w:sz w:val="24"/>
          <w:szCs w:val="24"/>
          <w:lang w:val="en-US"/>
        </w:rPr>
      </w:pPr>
      <w:r w:rsidRPr="001A4868">
        <w:rPr>
          <w:rFonts w:ascii="Times New Roman" w:hAnsi="Times New Roman" w:cs="Times New Roman"/>
          <w:i/>
          <w:iCs/>
          <w:sz w:val="24"/>
          <w:szCs w:val="24"/>
          <w:lang w:val="en-US"/>
        </w:rPr>
        <w:t>Mugiya Law Chambers</w:t>
      </w:r>
      <w:r w:rsidRPr="001A4868">
        <w:rPr>
          <w:rFonts w:ascii="Times New Roman" w:hAnsi="Times New Roman" w:cs="Times New Roman"/>
          <w:sz w:val="24"/>
          <w:szCs w:val="24"/>
          <w:lang w:val="en-US"/>
        </w:rPr>
        <w:t xml:space="preserve">, applicants’ legal practitioners </w:t>
      </w:r>
    </w:p>
    <w:p w14:paraId="678BA8F9" w14:textId="5198D1AE" w:rsidR="001A4868" w:rsidRPr="001A4868" w:rsidRDefault="001A4868" w:rsidP="001A4868">
      <w:pPr>
        <w:spacing w:after="0" w:line="276" w:lineRule="auto"/>
        <w:jc w:val="both"/>
        <w:rPr>
          <w:rFonts w:ascii="Times New Roman" w:hAnsi="Times New Roman" w:cs="Times New Roman"/>
          <w:sz w:val="24"/>
          <w:szCs w:val="24"/>
          <w:lang w:val="en-US"/>
        </w:rPr>
      </w:pPr>
      <w:r w:rsidRPr="001A4868">
        <w:rPr>
          <w:rFonts w:ascii="Times New Roman" w:hAnsi="Times New Roman" w:cs="Times New Roman"/>
          <w:i/>
          <w:iCs/>
          <w:sz w:val="24"/>
          <w:szCs w:val="24"/>
          <w:lang w:val="en-US"/>
        </w:rPr>
        <w:t>Civil Division of the A-G Office,</w:t>
      </w:r>
      <w:r w:rsidRPr="001A4868">
        <w:rPr>
          <w:rFonts w:ascii="Times New Roman" w:hAnsi="Times New Roman" w:cs="Times New Roman"/>
          <w:sz w:val="24"/>
          <w:szCs w:val="24"/>
          <w:lang w:val="en-US"/>
        </w:rPr>
        <w:t xml:space="preserve"> </w:t>
      </w:r>
      <w:r w:rsidR="00C6608D">
        <w:rPr>
          <w:rFonts w:ascii="Times New Roman" w:hAnsi="Times New Roman" w:cs="Times New Roman"/>
          <w:sz w:val="24"/>
          <w:szCs w:val="24"/>
          <w:lang w:val="en-US"/>
        </w:rPr>
        <w:t xml:space="preserve">first </w:t>
      </w:r>
      <w:r w:rsidRPr="001A4868">
        <w:rPr>
          <w:rFonts w:ascii="Times New Roman" w:hAnsi="Times New Roman" w:cs="Times New Roman"/>
          <w:sz w:val="24"/>
          <w:szCs w:val="24"/>
          <w:lang w:val="en-US"/>
        </w:rPr>
        <w:t xml:space="preserve">respondent’s legal practitioners  </w:t>
      </w:r>
    </w:p>
    <w:p w14:paraId="225EE082" w14:textId="5986F59B" w:rsidR="001A4868" w:rsidRPr="001A4868" w:rsidRDefault="001A4868" w:rsidP="003F71A8">
      <w:pPr>
        <w:spacing w:line="360" w:lineRule="auto"/>
        <w:jc w:val="both"/>
        <w:rPr>
          <w:rFonts w:ascii="Times New Roman" w:hAnsi="Times New Roman" w:cs="Times New Roman"/>
          <w:sz w:val="24"/>
          <w:szCs w:val="24"/>
          <w:lang w:val="en-US"/>
        </w:rPr>
      </w:pPr>
    </w:p>
    <w:sectPr w:rsidR="001A4868" w:rsidRPr="001A48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746D" w14:textId="77777777" w:rsidR="009A05B8" w:rsidRDefault="009A05B8" w:rsidP="00C6608D">
      <w:pPr>
        <w:spacing w:after="0" w:line="240" w:lineRule="auto"/>
      </w:pPr>
      <w:r>
        <w:separator/>
      </w:r>
    </w:p>
  </w:endnote>
  <w:endnote w:type="continuationSeparator" w:id="0">
    <w:p w14:paraId="33AE94DF" w14:textId="77777777" w:rsidR="009A05B8" w:rsidRDefault="009A05B8" w:rsidP="00C6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4FCAD" w14:textId="77777777" w:rsidR="009A05B8" w:rsidRDefault="009A05B8" w:rsidP="00C6608D">
      <w:pPr>
        <w:spacing w:after="0" w:line="240" w:lineRule="auto"/>
      </w:pPr>
      <w:r>
        <w:separator/>
      </w:r>
    </w:p>
  </w:footnote>
  <w:footnote w:type="continuationSeparator" w:id="0">
    <w:p w14:paraId="1C1F1031" w14:textId="77777777" w:rsidR="009A05B8" w:rsidRDefault="009A05B8" w:rsidP="00C6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4477"/>
      <w:docPartObj>
        <w:docPartGallery w:val="Page Numbers (Top of Page)"/>
        <w:docPartUnique/>
      </w:docPartObj>
    </w:sdtPr>
    <w:sdtEndPr>
      <w:rPr>
        <w:noProof/>
      </w:rPr>
    </w:sdtEndPr>
    <w:sdtContent>
      <w:p w14:paraId="65FF4CD6" w14:textId="5BBD5651" w:rsidR="00C6608D" w:rsidRDefault="00C6608D">
        <w:pPr>
          <w:pStyle w:val="Header"/>
          <w:jc w:val="right"/>
          <w:rPr>
            <w:noProof/>
          </w:rPr>
        </w:pPr>
        <w:r>
          <w:fldChar w:fldCharType="begin"/>
        </w:r>
        <w:r>
          <w:instrText xml:space="preserve"> PAGE   \* MERGEFORMAT </w:instrText>
        </w:r>
        <w:r>
          <w:fldChar w:fldCharType="separate"/>
        </w:r>
        <w:r w:rsidR="00DE7768">
          <w:rPr>
            <w:noProof/>
          </w:rPr>
          <w:t>1</w:t>
        </w:r>
        <w:r>
          <w:rPr>
            <w:noProof/>
          </w:rPr>
          <w:fldChar w:fldCharType="end"/>
        </w:r>
      </w:p>
      <w:p w14:paraId="122A8BB8" w14:textId="589F3443" w:rsidR="00C6608D" w:rsidRDefault="00C6608D">
        <w:pPr>
          <w:pStyle w:val="Header"/>
          <w:jc w:val="right"/>
          <w:rPr>
            <w:noProof/>
          </w:rPr>
        </w:pPr>
        <w:r>
          <w:rPr>
            <w:noProof/>
          </w:rPr>
          <w:t>HH 204-25</w:t>
        </w:r>
      </w:p>
      <w:p w14:paraId="76811B9C" w14:textId="6FF62BFC" w:rsidR="00C6608D" w:rsidRDefault="00C6608D">
        <w:pPr>
          <w:pStyle w:val="Header"/>
          <w:jc w:val="right"/>
        </w:pPr>
        <w:r>
          <w:rPr>
            <w:noProof/>
          </w:rPr>
          <w:t>HCH 4051/24</w:t>
        </w:r>
      </w:p>
    </w:sdtContent>
  </w:sdt>
  <w:p w14:paraId="3A5D927D" w14:textId="77777777" w:rsidR="00C6608D" w:rsidRDefault="00C660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65F"/>
    <w:multiLevelType w:val="hybridMultilevel"/>
    <w:tmpl w:val="55A0629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6662F67"/>
    <w:multiLevelType w:val="hybridMultilevel"/>
    <w:tmpl w:val="9BC42ABA"/>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52294826"/>
    <w:multiLevelType w:val="hybridMultilevel"/>
    <w:tmpl w:val="182A64F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DC92766"/>
    <w:multiLevelType w:val="hybridMultilevel"/>
    <w:tmpl w:val="9BC42ABA"/>
    <w:lvl w:ilvl="0" w:tplc="FFFFFFFF">
      <w:start w:val="1"/>
      <w:numFmt w:val="lowerRoman"/>
      <w:lvlText w:val="%1."/>
      <w:lvlJc w:val="righ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4" w15:restartNumberingAfterBreak="0">
    <w:nsid w:val="65F128DD"/>
    <w:multiLevelType w:val="hybridMultilevel"/>
    <w:tmpl w:val="30581170"/>
    <w:lvl w:ilvl="0" w:tplc="E1C278F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7A"/>
    <w:rsid w:val="000972AE"/>
    <w:rsid w:val="00115F89"/>
    <w:rsid w:val="001A4868"/>
    <w:rsid w:val="00221A18"/>
    <w:rsid w:val="002A551B"/>
    <w:rsid w:val="0030406F"/>
    <w:rsid w:val="0031277A"/>
    <w:rsid w:val="003749A6"/>
    <w:rsid w:val="00394699"/>
    <w:rsid w:val="003F37BF"/>
    <w:rsid w:val="003F71A8"/>
    <w:rsid w:val="00403F57"/>
    <w:rsid w:val="004079A5"/>
    <w:rsid w:val="00496A7B"/>
    <w:rsid w:val="004A5556"/>
    <w:rsid w:val="0067226A"/>
    <w:rsid w:val="006868A8"/>
    <w:rsid w:val="00820005"/>
    <w:rsid w:val="00844DE5"/>
    <w:rsid w:val="008C540A"/>
    <w:rsid w:val="008F10B4"/>
    <w:rsid w:val="00926CE6"/>
    <w:rsid w:val="009612CC"/>
    <w:rsid w:val="0099012D"/>
    <w:rsid w:val="009A05B8"/>
    <w:rsid w:val="009A7B4C"/>
    <w:rsid w:val="009F6333"/>
    <w:rsid w:val="00A01151"/>
    <w:rsid w:val="00A365FB"/>
    <w:rsid w:val="00AA3F8C"/>
    <w:rsid w:val="00AB03EE"/>
    <w:rsid w:val="00AF4631"/>
    <w:rsid w:val="00B70E16"/>
    <w:rsid w:val="00B75D35"/>
    <w:rsid w:val="00BA6B90"/>
    <w:rsid w:val="00C45DA2"/>
    <w:rsid w:val="00C6608D"/>
    <w:rsid w:val="00C767F4"/>
    <w:rsid w:val="00C87775"/>
    <w:rsid w:val="00CE4232"/>
    <w:rsid w:val="00DD687F"/>
    <w:rsid w:val="00DE7768"/>
    <w:rsid w:val="00EB49CB"/>
    <w:rsid w:val="00EB5998"/>
    <w:rsid w:val="00F25DA2"/>
    <w:rsid w:val="00F73B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5AFF"/>
  <w15:chartTrackingRefBased/>
  <w15:docId w15:val="{EDE3272F-C994-4412-BB3F-8F527F3D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556"/>
  </w:style>
  <w:style w:type="paragraph" w:styleId="Heading1">
    <w:name w:val="heading 1"/>
    <w:basedOn w:val="Normal"/>
    <w:next w:val="Normal"/>
    <w:link w:val="Heading1Char"/>
    <w:uiPriority w:val="9"/>
    <w:qFormat/>
    <w:rsid w:val="00312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77A"/>
    <w:rPr>
      <w:rFonts w:eastAsiaTheme="majorEastAsia" w:cstheme="majorBidi"/>
      <w:color w:val="272727" w:themeColor="text1" w:themeTint="D8"/>
    </w:rPr>
  </w:style>
  <w:style w:type="paragraph" w:styleId="Title">
    <w:name w:val="Title"/>
    <w:basedOn w:val="Normal"/>
    <w:next w:val="Normal"/>
    <w:link w:val="TitleChar"/>
    <w:uiPriority w:val="10"/>
    <w:qFormat/>
    <w:rsid w:val="0031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77A"/>
    <w:pPr>
      <w:spacing w:before="160"/>
      <w:jc w:val="center"/>
    </w:pPr>
    <w:rPr>
      <w:i/>
      <w:iCs/>
      <w:color w:val="404040" w:themeColor="text1" w:themeTint="BF"/>
    </w:rPr>
  </w:style>
  <w:style w:type="character" w:customStyle="1" w:styleId="QuoteChar">
    <w:name w:val="Quote Char"/>
    <w:basedOn w:val="DefaultParagraphFont"/>
    <w:link w:val="Quote"/>
    <w:uiPriority w:val="29"/>
    <w:rsid w:val="0031277A"/>
    <w:rPr>
      <w:i/>
      <w:iCs/>
      <w:color w:val="404040" w:themeColor="text1" w:themeTint="BF"/>
    </w:rPr>
  </w:style>
  <w:style w:type="paragraph" w:styleId="ListParagraph">
    <w:name w:val="List Paragraph"/>
    <w:basedOn w:val="Normal"/>
    <w:uiPriority w:val="34"/>
    <w:qFormat/>
    <w:rsid w:val="0031277A"/>
    <w:pPr>
      <w:ind w:left="720"/>
      <w:contextualSpacing/>
    </w:pPr>
  </w:style>
  <w:style w:type="character" w:styleId="IntenseEmphasis">
    <w:name w:val="Intense Emphasis"/>
    <w:basedOn w:val="DefaultParagraphFont"/>
    <w:uiPriority w:val="21"/>
    <w:qFormat/>
    <w:rsid w:val="0031277A"/>
    <w:rPr>
      <w:i/>
      <w:iCs/>
      <w:color w:val="2F5496" w:themeColor="accent1" w:themeShade="BF"/>
    </w:rPr>
  </w:style>
  <w:style w:type="paragraph" w:styleId="IntenseQuote">
    <w:name w:val="Intense Quote"/>
    <w:basedOn w:val="Normal"/>
    <w:next w:val="Normal"/>
    <w:link w:val="IntenseQuoteChar"/>
    <w:uiPriority w:val="30"/>
    <w:qFormat/>
    <w:rsid w:val="00312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77A"/>
    <w:rPr>
      <w:i/>
      <w:iCs/>
      <w:color w:val="2F5496" w:themeColor="accent1" w:themeShade="BF"/>
    </w:rPr>
  </w:style>
  <w:style w:type="character" w:styleId="IntenseReference">
    <w:name w:val="Intense Reference"/>
    <w:basedOn w:val="DefaultParagraphFont"/>
    <w:uiPriority w:val="32"/>
    <w:qFormat/>
    <w:rsid w:val="0031277A"/>
    <w:rPr>
      <w:b/>
      <w:bCs/>
      <w:smallCaps/>
      <w:color w:val="2F5496" w:themeColor="accent1" w:themeShade="BF"/>
      <w:spacing w:val="5"/>
    </w:rPr>
  </w:style>
  <w:style w:type="paragraph" w:styleId="NoSpacing">
    <w:name w:val="No Spacing"/>
    <w:uiPriority w:val="1"/>
    <w:qFormat/>
    <w:rsid w:val="004A5556"/>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926CE6"/>
    <w:rPr>
      <w:color w:val="0563C1" w:themeColor="hyperlink"/>
      <w:u w:val="single"/>
    </w:rPr>
  </w:style>
  <w:style w:type="character" w:customStyle="1" w:styleId="UnresolvedMention">
    <w:name w:val="Unresolved Mention"/>
    <w:basedOn w:val="DefaultParagraphFont"/>
    <w:uiPriority w:val="99"/>
    <w:semiHidden/>
    <w:unhideWhenUsed/>
    <w:rsid w:val="00926CE6"/>
    <w:rPr>
      <w:color w:val="605E5C"/>
      <w:shd w:val="clear" w:color="auto" w:fill="E1DFDD"/>
    </w:rPr>
  </w:style>
  <w:style w:type="paragraph" w:styleId="Header">
    <w:name w:val="header"/>
    <w:basedOn w:val="Normal"/>
    <w:link w:val="HeaderChar"/>
    <w:uiPriority w:val="99"/>
    <w:unhideWhenUsed/>
    <w:rsid w:val="00C66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08D"/>
  </w:style>
  <w:style w:type="paragraph" w:styleId="Footer">
    <w:name w:val="footer"/>
    <w:basedOn w:val="Normal"/>
    <w:link w:val="FooterChar"/>
    <w:uiPriority w:val="99"/>
    <w:unhideWhenUsed/>
    <w:rsid w:val="00C66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2025-03-25T10:32:00Z</cp:lastPrinted>
  <dcterms:created xsi:type="dcterms:W3CDTF">2025-03-28T10:13:00Z</dcterms:created>
  <dcterms:modified xsi:type="dcterms:W3CDTF">2025-03-28T10:13:00Z</dcterms:modified>
</cp:coreProperties>
</file>