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DD4" w:rsidRDefault="00EE6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DURATION GOLD LIMITED</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FAWCETT SECURITY OPERATIONS (PRIVATE) LIMITED</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FORBES AND THOMPSON (BULAWAYO) (PRIVATE) LIMITED</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THE MASTER OF THE HIGH COURT N.O.</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 COMPANIES &amp; INTELLECTUAL PROPERTY N.O.</w:t>
      </w:r>
    </w:p>
    <w:p w:rsidR="00281DD4" w:rsidRDefault="00281DD4">
      <w:pPr>
        <w:spacing w:after="0" w:line="240" w:lineRule="auto"/>
        <w:rPr>
          <w:rFonts w:ascii="Times New Roman" w:hAnsi="Times New Roman" w:cs="Times New Roman"/>
          <w:sz w:val="24"/>
          <w:szCs w:val="24"/>
        </w:rPr>
      </w:pP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w:t>
      </w:r>
      <w:r>
        <w:rPr>
          <w:rFonts w:ascii="Times New Roman" w:hAnsi="Times New Roman" w:cs="Times New Roman"/>
          <w:sz w:val="24"/>
          <w:szCs w:val="24"/>
        </w:rPr>
        <w:t>ZIMBABWE</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COMMERCIAL DIVISION </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281DD4" w:rsidRDefault="00EE68D6">
      <w:pPr>
        <w:spacing w:after="0" w:line="240" w:lineRule="auto"/>
        <w:rPr>
          <w:rFonts w:ascii="Times New Roman" w:hAnsi="Times New Roman" w:cs="Times New Roman"/>
          <w:sz w:val="24"/>
          <w:szCs w:val="24"/>
        </w:rPr>
      </w:pPr>
      <w:r>
        <w:rPr>
          <w:rFonts w:ascii="Times New Roman" w:hAnsi="Times New Roman" w:cs="Times New Roman"/>
          <w:sz w:val="24"/>
          <w:szCs w:val="24"/>
        </w:rPr>
        <w:t>HARARE, 6 &amp; 10 February 2025</w:t>
      </w:r>
    </w:p>
    <w:p w:rsidR="00281DD4" w:rsidRDefault="00281DD4">
      <w:pPr>
        <w:spacing w:after="0" w:line="240" w:lineRule="auto"/>
        <w:rPr>
          <w:rFonts w:ascii="Times New Roman" w:hAnsi="Times New Roman" w:cs="Times New Roman"/>
          <w:b/>
          <w:sz w:val="24"/>
          <w:szCs w:val="24"/>
        </w:rPr>
      </w:pPr>
    </w:p>
    <w:p w:rsidR="00281DD4" w:rsidRDefault="00310B5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COURT </w:t>
      </w:r>
      <w:bookmarkStart w:id="0" w:name="_GoBack"/>
      <w:bookmarkEnd w:id="0"/>
      <w:r w:rsidR="00EE68D6">
        <w:rPr>
          <w:rFonts w:ascii="Times New Roman" w:hAnsi="Times New Roman" w:cs="Times New Roman"/>
          <w:b/>
          <w:sz w:val="24"/>
          <w:szCs w:val="24"/>
        </w:rPr>
        <w:t>APPLICATION</w:t>
      </w:r>
    </w:p>
    <w:p w:rsidR="00281DD4" w:rsidRDefault="00281DD4">
      <w:pPr>
        <w:spacing w:after="0" w:line="240" w:lineRule="auto"/>
        <w:jc w:val="both"/>
        <w:rPr>
          <w:rFonts w:ascii="Times New Roman" w:hAnsi="Times New Roman" w:cs="Times New Roman"/>
          <w:sz w:val="24"/>
          <w:szCs w:val="24"/>
        </w:rPr>
      </w:pPr>
    </w:p>
    <w:p w:rsidR="00281DD4" w:rsidRDefault="00EE6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w:t>
      </w:r>
      <w:r>
        <w:rPr>
          <w:rFonts w:ascii="Times New Roman" w:hAnsi="Times New Roman" w:cs="Times New Roman"/>
          <w:i/>
          <w:iCs/>
          <w:sz w:val="24"/>
          <w:szCs w:val="24"/>
        </w:rPr>
        <w:t xml:space="preserve"> T W Nyamakura</w:t>
      </w:r>
      <w:r>
        <w:rPr>
          <w:rFonts w:ascii="Times New Roman" w:hAnsi="Times New Roman" w:cs="Times New Roman"/>
          <w:sz w:val="24"/>
          <w:szCs w:val="24"/>
        </w:rPr>
        <w:t>, for the applicant</w:t>
      </w:r>
    </w:p>
    <w:p w:rsidR="00281DD4" w:rsidRDefault="00EE6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w:t>
      </w:r>
      <w:r>
        <w:rPr>
          <w:rFonts w:ascii="Times New Roman" w:hAnsi="Times New Roman" w:cs="Times New Roman"/>
          <w:i/>
          <w:iCs/>
          <w:sz w:val="24"/>
          <w:szCs w:val="24"/>
        </w:rPr>
        <w:t xml:space="preserve"> L Nkomo</w:t>
      </w:r>
      <w:r>
        <w:rPr>
          <w:rFonts w:ascii="Times New Roman" w:hAnsi="Times New Roman" w:cs="Times New Roman"/>
          <w:sz w:val="24"/>
          <w:szCs w:val="24"/>
        </w:rPr>
        <w:t>,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81DD4" w:rsidRDefault="00281DD4">
      <w:pPr>
        <w:spacing w:after="0" w:line="240" w:lineRule="auto"/>
        <w:jc w:val="both"/>
        <w:rPr>
          <w:rFonts w:ascii="Times New Roman" w:hAnsi="Times New Roman" w:cs="Times New Roman"/>
          <w:sz w:val="24"/>
          <w:szCs w:val="24"/>
        </w:rPr>
      </w:pPr>
    </w:p>
    <w:p w:rsidR="00281DD4" w:rsidRDefault="00EE68D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MANZUNZU J </w:t>
      </w:r>
    </w:p>
    <w:p w:rsidR="00281DD4" w:rsidRDefault="00EE68D6">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court application in which the applicant is seeking l</w:t>
      </w:r>
      <w:r>
        <w:rPr>
          <w:rFonts w:ascii="Times New Roman" w:hAnsi="Times New Roman" w:cs="Times New Roman"/>
          <w:sz w:val="24"/>
          <w:szCs w:val="24"/>
        </w:rPr>
        <w:t>eave of the court to file opposing papers to an application for corporate rescue brought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against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case number HCHC 276/24. The application is opposed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rsidR="00281DD4" w:rsidRDefault="00EE68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brought an application for corporate rescue in terms of section 124 (1) of the Insolvency Act, </w:t>
      </w:r>
      <w:r>
        <w:rPr>
          <w:rFonts w:ascii="Times New Roman" w:hAnsi="Times New Roman" w:cs="Times New Roman"/>
          <w:sz w:val="24"/>
          <w:szCs w:val="24"/>
          <w:lang w:val="en-US"/>
        </w:rPr>
        <w:t>[</w:t>
      </w:r>
      <w:r>
        <w:rPr>
          <w:rFonts w:ascii="Times New Roman" w:hAnsi="Times New Roman" w:cs="Times New Roman"/>
          <w:sz w:val="24"/>
          <w:szCs w:val="24"/>
        </w:rPr>
        <w:t>Chapter 6:07</w:t>
      </w:r>
      <w:r>
        <w:rPr>
          <w:rFonts w:ascii="Times New Roman" w:hAnsi="Times New Roman" w:cs="Times New Roman"/>
          <w:sz w:val="24"/>
          <w:szCs w:val="24"/>
          <w:lang w:val="en-US"/>
        </w:rPr>
        <w:t xml:space="preserve">] </w:t>
      </w:r>
      <w:r>
        <w:rPr>
          <w:rFonts w:ascii="Times New Roman" w:hAnsi="Times New Roman" w:cs="Times New Roman"/>
          <w:sz w:val="24"/>
          <w:szCs w:val="24"/>
        </w:rPr>
        <w:t>(the Act) against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under case number HCHC 276/24. The application is pending before this court.</w:t>
      </w:r>
    </w:p>
    <w:p w:rsidR="00281DD4" w:rsidRDefault="00EE68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is not</w:t>
      </w:r>
      <w:r>
        <w:rPr>
          <w:rFonts w:ascii="Times New Roman" w:hAnsi="Times New Roman" w:cs="Times New Roman"/>
          <w:sz w:val="24"/>
          <w:szCs w:val="24"/>
        </w:rPr>
        <w:t xml:space="preserve"> a party in HCHC 276/24.</w:t>
      </w:r>
    </w:p>
    <w:p w:rsidR="00281DD4" w:rsidRDefault="00EE68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intends to oppose the application in HCHC 276/24 as an “affected person” as contemplated in section 124 (3) of the Act.</w:t>
      </w:r>
    </w:p>
    <w:p w:rsidR="00281DD4" w:rsidRDefault="00EE68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says is an affected person as defined in section 121 (1) (a) in relation to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that it is a shareholder and/or a creditor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 position fiercely contested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81DD4" w:rsidRDefault="00EE68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refutes that the applicant is a shareholder and/or creditor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has urged the cou</w:t>
      </w:r>
      <w:r>
        <w:rPr>
          <w:rFonts w:ascii="Times New Roman" w:hAnsi="Times New Roman" w:cs="Times New Roman"/>
          <w:sz w:val="24"/>
          <w:szCs w:val="24"/>
        </w:rPr>
        <w:t>rt to dismiss the application with costs on a higher scale.</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PRELIMINARY POINT</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preliminary point raised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that the answering affidavit was filed out of time and must be struck out of the record and any reference to its conten</w:t>
      </w:r>
      <w:r>
        <w:rPr>
          <w:rFonts w:ascii="Times New Roman" w:hAnsi="Times New Roman" w:cs="Times New Roman"/>
          <w:sz w:val="24"/>
          <w:szCs w:val="24"/>
        </w:rPr>
        <w:t xml:space="preserve">ts in the heads of argument must be discarded. Mr </w:t>
      </w:r>
      <w:r>
        <w:rPr>
          <w:rFonts w:ascii="Times New Roman" w:hAnsi="Times New Roman" w:cs="Times New Roman"/>
          <w:i/>
          <w:iCs/>
          <w:sz w:val="24"/>
          <w:szCs w:val="24"/>
        </w:rPr>
        <w:t>Nyamakura</w:t>
      </w:r>
      <w:r>
        <w:rPr>
          <w:rFonts w:ascii="Times New Roman" w:hAnsi="Times New Roman" w:cs="Times New Roman"/>
          <w:sz w:val="24"/>
          <w:szCs w:val="24"/>
        </w:rPr>
        <w:t xml:space="preserve"> conceded the answering affidavit was filed out of time but proceeded to make an oral application for condonation which was opposed. After hearing counsels on the issue of condonation I dismissed t</w:t>
      </w:r>
      <w:r>
        <w:rPr>
          <w:rFonts w:ascii="Times New Roman" w:hAnsi="Times New Roman" w:cs="Times New Roman"/>
          <w:sz w:val="24"/>
          <w:szCs w:val="24"/>
        </w:rPr>
        <w:t>he application for condonation and gave my reasons extempore. The court also proceeded to uphold the preliminary point raised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with the result that the answering affidavit was struck out and expunged from the record.</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ISSUES</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t</w:t>
      </w:r>
      <w:r>
        <w:rPr>
          <w:rFonts w:ascii="Times New Roman" w:hAnsi="Times New Roman" w:cs="Times New Roman"/>
          <w:sz w:val="24"/>
          <w:szCs w:val="24"/>
        </w:rPr>
        <w:t>wo issues which arise in this dispute.</w:t>
      </w:r>
    </w:p>
    <w:p w:rsidR="00281DD4" w:rsidRDefault="00EE68D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applicant is an affected person as contemplated in the Act?</w:t>
      </w:r>
    </w:p>
    <w:p w:rsidR="00281DD4" w:rsidRDefault="00EE68D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If so, whether leave should be granted for the applicant to file opposing papers in HCHC276/24?</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ONUS</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to prove the issues on a balance of</w:t>
      </w:r>
      <w:r>
        <w:rPr>
          <w:rFonts w:ascii="Times New Roman" w:hAnsi="Times New Roman" w:cs="Times New Roman"/>
          <w:sz w:val="24"/>
          <w:szCs w:val="24"/>
        </w:rPr>
        <w:t xml:space="preserve"> probabilities rests with the applicant. It is  trite that he/she who avers must prove. </w:t>
      </w:r>
      <w:r>
        <w:rPr>
          <w:rFonts w:ascii="Times New Roman" w:hAnsi="Times New Roman" w:cs="Times New Roman"/>
          <w:sz w:val="24"/>
          <w:szCs w:val="24"/>
          <w:lang w:val="en-US"/>
        </w:rPr>
        <w:t>S</w:t>
      </w:r>
      <w:r>
        <w:rPr>
          <w:rFonts w:ascii="Times New Roman" w:hAnsi="Times New Roman" w:cs="Times New Roman"/>
          <w:sz w:val="24"/>
          <w:szCs w:val="24"/>
        </w:rPr>
        <w:t xml:space="preserve">ee </w:t>
      </w:r>
      <w:r>
        <w:rPr>
          <w:rFonts w:ascii="Times New Roman" w:hAnsi="Times New Roman" w:cs="Times New Roman"/>
          <w:i/>
          <w:iCs/>
          <w:sz w:val="24"/>
          <w:szCs w:val="24"/>
        </w:rPr>
        <w:t>Lasagne Investments (Pvt) Ltd &amp; Ors</w:t>
      </w:r>
      <w:r>
        <w:rPr>
          <w:rFonts w:ascii="Times New Roman" w:hAnsi="Times New Roman" w:cs="Times New Roman"/>
          <w:sz w:val="24"/>
          <w:szCs w:val="24"/>
        </w:rPr>
        <w:t xml:space="preserve"> v </w:t>
      </w:r>
      <w:r>
        <w:rPr>
          <w:rFonts w:ascii="Times New Roman" w:hAnsi="Times New Roman" w:cs="Times New Roman"/>
          <w:i/>
          <w:iCs/>
          <w:sz w:val="24"/>
          <w:szCs w:val="24"/>
        </w:rPr>
        <w:t>Highdon Investments (Pvt) Ltd &amp; Ors</w:t>
      </w:r>
      <w:r>
        <w:rPr>
          <w:rFonts w:ascii="Times New Roman" w:hAnsi="Times New Roman" w:cs="Times New Roman"/>
          <w:sz w:val="24"/>
          <w:szCs w:val="24"/>
        </w:rPr>
        <w:t xml:space="preserve"> 2010 (2) ZLR 296 (H).</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THE LAW</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124(3) of the Act confers a right on each “affected </w:t>
      </w:r>
      <w:r>
        <w:rPr>
          <w:rFonts w:ascii="Times New Roman" w:hAnsi="Times New Roman" w:cs="Times New Roman"/>
          <w:sz w:val="24"/>
          <w:szCs w:val="24"/>
        </w:rPr>
        <w:t>person” to participate in the hearing of an application filed in terms of section 124(1) of the Act for an order placing a company under supervision and commencing corporate rescue proceedings.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In </w:t>
      </w:r>
      <w:r>
        <w:rPr>
          <w:rFonts w:ascii="Times New Roman" w:hAnsi="Times New Roman" w:cs="Times New Roman"/>
          <w:i/>
          <w:iCs/>
          <w:sz w:val="24"/>
          <w:szCs w:val="24"/>
        </w:rPr>
        <w:t>Metallon Gold Zimbabwe (Pvt) Ltd &amp; Ors</w:t>
      </w:r>
      <w:r>
        <w:rPr>
          <w:rFonts w:ascii="Times New Roman" w:hAnsi="Times New Roman" w:cs="Times New Roman"/>
          <w:sz w:val="24"/>
          <w:szCs w:val="24"/>
        </w:rPr>
        <w:t xml:space="preserve"> v </w:t>
      </w:r>
      <w:r>
        <w:rPr>
          <w:rFonts w:ascii="Times New Roman" w:hAnsi="Times New Roman" w:cs="Times New Roman"/>
          <w:i/>
          <w:iCs/>
          <w:sz w:val="24"/>
          <w:szCs w:val="24"/>
        </w:rPr>
        <w:t>Shatirwa Investme</w:t>
      </w:r>
      <w:r>
        <w:rPr>
          <w:rFonts w:ascii="Times New Roman" w:hAnsi="Times New Roman" w:cs="Times New Roman"/>
          <w:i/>
          <w:iCs/>
          <w:sz w:val="24"/>
          <w:szCs w:val="24"/>
        </w:rPr>
        <w:t>nts (Pvt) Ltd &amp; Ors</w:t>
      </w:r>
      <w:r>
        <w:rPr>
          <w:rFonts w:ascii="Times New Roman" w:hAnsi="Times New Roman" w:cs="Times New Roman"/>
          <w:sz w:val="24"/>
          <w:szCs w:val="24"/>
        </w:rPr>
        <w:t xml:space="preserve"> SC 107/21 at p. 23 of the cyclostyled judgment, the Supreme Court, per MALABA CJ, made the following apposite remarks about who an affected person is:</w:t>
      </w:r>
    </w:p>
    <w:p w:rsidR="00281DD4" w:rsidRDefault="00EE68D6">
      <w:pPr>
        <w:spacing w:line="240" w:lineRule="auto"/>
        <w:ind w:left="720" w:firstLine="720"/>
        <w:jc w:val="both"/>
        <w:rPr>
          <w:rFonts w:ascii="Times New Roman" w:hAnsi="Times New Roman" w:cs="Times New Roman"/>
          <w:sz w:val="24"/>
          <w:szCs w:val="24"/>
        </w:rPr>
      </w:pPr>
      <w:r>
        <w:rPr>
          <w:rFonts w:ascii="Times New Roman" w:hAnsi="Times New Roman" w:cs="Times New Roman"/>
        </w:rPr>
        <w:lastRenderedPageBreak/>
        <w:t xml:space="preserve">“In terms of the Insolvency Act, there is no ambiguity as to whom an affected person </w:t>
      </w:r>
      <w:r>
        <w:rPr>
          <w:rFonts w:ascii="Times New Roman" w:hAnsi="Times New Roman" w:cs="Times New Roman"/>
        </w:rPr>
        <w:t>is. It is either a shareholder, a creditor of the company, a registered trade union representing the employees of the company or the employees of the company who are not represented by a registered trade union. An applicant for corporate rescue is therefor</w:t>
      </w:r>
      <w:r>
        <w:rPr>
          <w:rFonts w:ascii="Times New Roman" w:hAnsi="Times New Roman" w:cs="Times New Roman"/>
        </w:rPr>
        <w:t>e confined to such persons.”</w:t>
      </w:r>
      <w:r>
        <w:rPr>
          <w:rFonts w:ascii="Times New Roman" w:hAnsi="Times New Roman" w:cs="Times New Roman"/>
          <w:sz w:val="24"/>
          <w:szCs w:val="24"/>
        </w:rPr>
        <w:t xml:space="preserve"> It cannot be “any interested person” as alleged by the applicant.</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121(1) (a) of the Act defines “affected person” to mean, </w:t>
      </w:r>
      <w:r>
        <w:rPr>
          <w:rFonts w:ascii="Times New Roman" w:hAnsi="Times New Roman" w:cs="Times New Roman"/>
          <w:i/>
          <w:sz w:val="24"/>
          <w:szCs w:val="24"/>
        </w:rPr>
        <w:t>inter alia</w:t>
      </w:r>
      <w:r>
        <w:rPr>
          <w:rFonts w:ascii="Times New Roman" w:hAnsi="Times New Roman" w:cs="Times New Roman"/>
          <w:sz w:val="24"/>
          <w:szCs w:val="24"/>
        </w:rPr>
        <w:t>, a “shareholder” or “creditor” of the company.</w:t>
      </w:r>
    </w:p>
    <w:p w:rsidR="00281DD4" w:rsidRDefault="00EE68D6">
      <w:pPr>
        <w:pStyle w:val="Default"/>
        <w:spacing w:line="360" w:lineRule="auto"/>
        <w:ind w:firstLine="720"/>
        <w:jc w:val="both"/>
      </w:pPr>
      <w:r>
        <w:t xml:space="preserve">The resolution of the application </w:t>
      </w:r>
      <w:r>
        <w:t>turns on the interpretation of the relevant provisions of the Insolvency Act and of the Companies and Other Business Entities Act [Chapter 24:31] on the meaning of “shareholder” and “creditor”.. A “shareholder” is simply</w:t>
      </w:r>
      <w:r>
        <w:rPr>
          <w:color w:val="auto"/>
        </w:rPr>
        <w:t xml:space="preserve"> a “member” of a com</w:t>
      </w:r>
      <w:r>
        <w:t>pany</w:t>
      </w:r>
      <w:r>
        <w:rPr>
          <w:color w:val="auto"/>
        </w:rPr>
        <w:t xml:space="preserve">. </w:t>
      </w:r>
      <w:r>
        <w:t xml:space="preserve"> The Insol</w:t>
      </w:r>
      <w:r>
        <w:t xml:space="preserve">vency Act defines the word “independent creditor” to  mean a person who— </w:t>
      </w:r>
    </w:p>
    <w:p w:rsidR="00281DD4" w:rsidRDefault="00EE68D6">
      <w:pPr>
        <w:pStyle w:val="Default"/>
        <w:spacing w:line="360" w:lineRule="auto"/>
        <w:jc w:val="both"/>
      </w:pPr>
      <w:r>
        <w:t xml:space="preserve">(i) is a creditor of the company, including an employee of the company who is a creditor in terms of section 137(2); and </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is not an associate of the company, a director, or the </w:t>
      </w:r>
      <w:r>
        <w:rPr>
          <w:rFonts w:ascii="Times New Roman" w:hAnsi="Times New Roman" w:cs="Times New Roman"/>
          <w:sz w:val="24"/>
          <w:szCs w:val="24"/>
        </w:rPr>
        <w:t>practitioner, subject to subsection (2).</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IS APPLICANT SHAREHOLDER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hearing the applicant conceded was not a shareholder to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IS APPLICANT A CREDITOR OF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a lengthy founding </w:t>
      </w:r>
      <w:r>
        <w:rPr>
          <w:rFonts w:ascii="Times New Roman" w:hAnsi="Times New Roman" w:cs="Times New Roman"/>
          <w:sz w:val="24"/>
          <w:szCs w:val="24"/>
        </w:rPr>
        <w:t>affidavit said was a significant creditor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that it has funded and continues to fund the resuscitation plan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applicant said so far has invested in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more than six million United States dolla</w:t>
      </w:r>
      <w:r>
        <w:rPr>
          <w:rFonts w:ascii="Times New Roman" w:hAnsi="Times New Roman" w:cs="Times New Roman"/>
          <w:sz w:val="24"/>
          <w:szCs w:val="24"/>
        </w:rPr>
        <w:t>rs.</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denies that the applicant is a creditor or independent creditor in the absence of proof. Even if there were proof that applicant is an independent creditor, the applicant was disqualified by virtue of being an associate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w:t>
      </w:r>
      <w:r>
        <w:rPr>
          <w:rFonts w:ascii="Times New Roman" w:hAnsi="Times New Roman" w:cs="Times New Roman"/>
          <w:sz w:val="24"/>
          <w:szCs w:val="24"/>
        </w:rPr>
        <w:t>spondent.</w:t>
      </w:r>
    </w:p>
    <w:p w:rsidR="00281DD4" w:rsidRDefault="00281DD4">
      <w:pPr>
        <w:spacing w:line="360" w:lineRule="auto"/>
        <w:jc w:val="both"/>
        <w:rPr>
          <w:rFonts w:ascii="Times New Roman" w:hAnsi="Times New Roman" w:cs="Times New Roman"/>
          <w:sz w:val="24"/>
          <w:szCs w:val="24"/>
        </w:rPr>
      </w:pP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SUBMISSIONS </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Nkomo</w:t>
      </w:r>
      <w:r>
        <w:rPr>
          <w:rFonts w:ascii="Times New Roman" w:hAnsi="Times New Roman" w:cs="Times New Roman"/>
          <w:sz w:val="24"/>
          <w:szCs w:val="24"/>
        </w:rPr>
        <w:t xml:space="preserve"> read into section 121 (1) (a) of the Act the words “independent creditor” and said the applicant is not an affected person in the capacity of an “independent creditor” of the 2nd respondent. “Independent creditor” has a nar</w:t>
      </w:r>
      <w:r>
        <w:rPr>
          <w:rFonts w:ascii="Times New Roman" w:hAnsi="Times New Roman" w:cs="Times New Roman"/>
          <w:sz w:val="24"/>
          <w:szCs w:val="24"/>
        </w:rPr>
        <w:t xml:space="preserve">row meaning than the ordinary grammatical </w:t>
      </w:r>
      <w:r>
        <w:rPr>
          <w:rFonts w:ascii="Times New Roman" w:hAnsi="Times New Roman" w:cs="Times New Roman"/>
          <w:sz w:val="24"/>
          <w:szCs w:val="24"/>
        </w:rPr>
        <w:lastRenderedPageBreak/>
        <w:t>meaning of the word “creditor”. This is so because it excludes an associate of the company, a director, or the practitioner.</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Nyamakura</w:t>
      </w:r>
      <w:r>
        <w:rPr>
          <w:rFonts w:ascii="Times New Roman" w:hAnsi="Times New Roman" w:cs="Times New Roman"/>
          <w:sz w:val="24"/>
          <w:szCs w:val="24"/>
        </w:rPr>
        <w:t xml:space="preserve"> urged the court not to read  the word “creditor”  with the qualification “in</w:t>
      </w:r>
      <w:r>
        <w:rPr>
          <w:rFonts w:ascii="Times New Roman" w:hAnsi="Times New Roman" w:cs="Times New Roman"/>
          <w:sz w:val="24"/>
          <w:szCs w:val="24"/>
        </w:rPr>
        <w:t>dependent”. This is because if that was the intention the  words “independent creditor” would have been used in section 121 (1)(a).</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ANALYSIS</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121 (1)(a) of the Act is not ambiguous in its reading. It talks of creditor and not independent creditor. I</w:t>
      </w:r>
      <w:r>
        <w:rPr>
          <w:rFonts w:ascii="Times New Roman" w:hAnsi="Times New Roman" w:cs="Times New Roman"/>
          <w:sz w:val="24"/>
          <w:szCs w:val="24"/>
        </w:rPr>
        <w:t xml:space="preserve"> am not persuaded that the word “creditor” was meant to mean “independent creditor.” An independent creditor is just a class of creditors as defined in the Act. This distinction is necessary because certain provisions of the Act recognize rights which are </w:t>
      </w:r>
      <w:r>
        <w:rPr>
          <w:rFonts w:ascii="Times New Roman" w:hAnsi="Times New Roman" w:cs="Times New Roman"/>
          <w:sz w:val="24"/>
          <w:szCs w:val="24"/>
        </w:rPr>
        <w:t>conferred upon independent creditors only.</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made bald averments that it is a creditor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Mr </w:t>
      </w:r>
      <w:r>
        <w:rPr>
          <w:rFonts w:ascii="Times New Roman" w:hAnsi="Times New Roman" w:cs="Times New Roman"/>
          <w:i/>
          <w:iCs/>
          <w:sz w:val="24"/>
          <w:szCs w:val="24"/>
        </w:rPr>
        <w:t>Nyamakura</w:t>
      </w:r>
      <w:r>
        <w:rPr>
          <w:rFonts w:ascii="Times New Roman" w:hAnsi="Times New Roman" w:cs="Times New Roman"/>
          <w:sz w:val="24"/>
          <w:szCs w:val="24"/>
        </w:rPr>
        <w:t xml:space="preserve"> argued that that was sufficient because this was not a forum to prove its claim. While I accept that the applicant need n</w:t>
      </w:r>
      <w:r>
        <w:rPr>
          <w:rFonts w:ascii="Times New Roman" w:hAnsi="Times New Roman" w:cs="Times New Roman"/>
          <w:sz w:val="24"/>
          <w:szCs w:val="24"/>
        </w:rPr>
        <w:t>ot prove its claim, nevertheless, has a duty to show that it is a creditor. Mere bald assertions will not suffice. Instead of demonstrating that it was a creditor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applicant concentrated on how it will oppose the main application.</w:t>
      </w:r>
      <w:r>
        <w:rPr>
          <w:rFonts w:ascii="Times New Roman" w:hAnsi="Times New Roman" w:cs="Times New Roman"/>
          <w:sz w:val="24"/>
          <w:szCs w:val="24"/>
        </w:rPr>
        <w:t xml:space="preserve">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did not list the applicant as a creditor when opposing the application in HCHC 276/24. It is unusual for a significant creditor who accounts more than 80% of the debts.</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the applicant’s case is made in the founding affid</w:t>
      </w:r>
      <w:r>
        <w:rPr>
          <w:rFonts w:ascii="Times New Roman" w:hAnsi="Times New Roman" w:cs="Times New Roman"/>
          <w:sz w:val="24"/>
          <w:szCs w:val="24"/>
        </w:rPr>
        <w:t xml:space="preserve">avit, see  </w:t>
      </w:r>
      <w:r>
        <w:rPr>
          <w:rFonts w:ascii="Times New Roman" w:hAnsi="Times New Roman" w:cs="Times New Roman"/>
          <w:i/>
          <w:iCs/>
          <w:sz w:val="24"/>
          <w:szCs w:val="24"/>
        </w:rPr>
        <w:t xml:space="preserve">Minister of Justice, Legal and Parliamentary Affairs </w:t>
      </w:r>
      <w:r>
        <w:rPr>
          <w:rFonts w:ascii="Times New Roman" w:hAnsi="Times New Roman" w:cs="Times New Roman"/>
          <w:sz w:val="24"/>
          <w:szCs w:val="24"/>
        </w:rPr>
        <w:t xml:space="preserve">v </w:t>
      </w:r>
      <w:r>
        <w:rPr>
          <w:rFonts w:ascii="Times New Roman" w:hAnsi="Times New Roman" w:cs="Times New Roman"/>
          <w:i/>
          <w:iCs/>
          <w:sz w:val="24"/>
          <w:szCs w:val="24"/>
        </w:rPr>
        <w:t>Muskwe &amp; Ors</w:t>
      </w:r>
      <w:r>
        <w:rPr>
          <w:rFonts w:ascii="Times New Roman" w:hAnsi="Times New Roman" w:cs="Times New Roman"/>
          <w:sz w:val="24"/>
          <w:szCs w:val="24"/>
        </w:rPr>
        <w:t xml:space="preserve"> SC 67/22. The applicant failed to discharge the onus upon it on a balance of probabilities. While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asked for costs on a higher scale, I do not think such are warranted. Failure to prove one’s case does not convert to abuse of court process.</w:t>
      </w:r>
    </w:p>
    <w:p w:rsidR="00281DD4" w:rsidRDefault="00EE68D6">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281DD4" w:rsidRDefault="00EE68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be and is hereby dismissed with costs. </w:t>
      </w:r>
    </w:p>
    <w:p w:rsidR="00281DD4" w:rsidRDefault="00281DD4">
      <w:pPr>
        <w:spacing w:line="360" w:lineRule="auto"/>
        <w:ind w:left="360"/>
        <w:jc w:val="both"/>
        <w:rPr>
          <w:rFonts w:ascii="Times New Roman" w:hAnsi="Times New Roman" w:cs="Times New Roman"/>
          <w:sz w:val="24"/>
          <w:szCs w:val="24"/>
        </w:rPr>
      </w:pPr>
    </w:p>
    <w:p w:rsidR="00281DD4" w:rsidRDefault="00281DD4">
      <w:pPr>
        <w:spacing w:after="0" w:line="240" w:lineRule="auto"/>
        <w:ind w:left="360"/>
        <w:jc w:val="both"/>
        <w:rPr>
          <w:rFonts w:ascii="Times New Roman" w:hAnsi="Times New Roman" w:cs="Times New Roman"/>
          <w:i/>
          <w:sz w:val="24"/>
          <w:szCs w:val="24"/>
        </w:rPr>
      </w:pPr>
    </w:p>
    <w:p w:rsidR="00281DD4" w:rsidRDefault="00281DD4">
      <w:pPr>
        <w:spacing w:after="0" w:line="240" w:lineRule="auto"/>
        <w:ind w:left="360"/>
        <w:jc w:val="both"/>
        <w:rPr>
          <w:rFonts w:ascii="Times New Roman" w:hAnsi="Times New Roman" w:cs="Times New Roman"/>
          <w:i/>
          <w:sz w:val="24"/>
          <w:szCs w:val="24"/>
        </w:rPr>
      </w:pPr>
    </w:p>
    <w:p w:rsidR="00281DD4" w:rsidRDefault="00EE68D6">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lastRenderedPageBreak/>
        <w:t>Diza attorneys</w:t>
      </w:r>
      <w:r>
        <w:rPr>
          <w:rFonts w:ascii="Times New Roman" w:hAnsi="Times New Roman" w:cs="Times New Roman"/>
          <w:sz w:val="24"/>
          <w:szCs w:val="24"/>
        </w:rPr>
        <w:t>, applicant’s leg</w:t>
      </w:r>
      <w:r>
        <w:rPr>
          <w:rFonts w:ascii="Times New Roman" w:hAnsi="Times New Roman" w:cs="Times New Roman"/>
          <w:sz w:val="24"/>
          <w:szCs w:val="24"/>
        </w:rPr>
        <w:t>al practitioners</w:t>
      </w:r>
    </w:p>
    <w:p w:rsidR="00281DD4" w:rsidRDefault="00EE68D6">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Masamvu </w:t>
      </w:r>
      <w:r>
        <w:rPr>
          <w:rFonts w:ascii="Times New Roman" w:hAnsi="Times New Roman" w:cs="Times New Roman"/>
          <w:iCs/>
          <w:sz w:val="24"/>
          <w:szCs w:val="24"/>
        </w:rPr>
        <w:t>&amp;</w:t>
      </w:r>
      <w:r>
        <w:rPr>
          <w:rFonts w:ascii="Times New Roman" w:hAnsi="Times New Roman" w:cs="Times New Roman"/>
          <w:i/>
          <w:sz w:val="24"/>
          <w:szCs w:val="24"/>
        </w:rPr>
        <w:t xml:space="preserve"> </w:t>
      </w:r>
      <w:r>
        <w:rPr>
          <w:rFonts w:ascii="Times New Roman" w:hAnsi="Times New Roman" w:cs="Times New Roman"/>
          <w:i/>
          <w:sz w:val="24"/>
          <w:szCs w:val="24"/>
          <w:lang w:val="en-US"/>
        </w:rPr>
        <w:t>D</w:t>
      </w:r>
      <w:r>
        <w:rPr>
          <w:rFonts w:ascii="Times New Roman" w:hAnsi="Times New Roman" w:cs="Times New Roman"/>
          <w:i/>
          <w:sz w:val="24"/>
          <w:szCs w:val="24"/>
        </w:rPr>
        <w:t>a</w:t>
      </w:r>
      <w:r>
        <w:rPr>
          <w:rFonts w:ascii="Times New Roman" w:hAnsi="Times New Roman" w:cs="Times New Roman"/>
          <w:i/>
          <w:sz w:val="24"/>
          <w:szCs w:val="24"/>
        </w:rPr>
        <w:t xml:space="preserve"> Silva-Gustavo</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281DD4" w:rsidRDefault="00281DD4">
      <w:pPr>
        <w:spacing w:line="360" w:lineRule="auto"/>
        <w:ind w:left="360"/>
        <w:jc w:val="both"/>
        <w:rPr>
          <w:rFonts w:ascii="Times New Roman" w:hAnsi="Times New Roman" w:cs="Times New Roman"/>
          <w:sz w:val="24"/>
          <w:szCs w:val="24"/>
        </w:rPr>
      </w:pPr>
    </w:p>
    <w:p w:rsidR="00281DD4" w:rsidRDefault="00281DD4">
      <w:pPr>
        <w:jc w:val="both"/>
        <w:rPr>
          <w:rFonts w:ascii="Times New Roman" w:hAnsi="Times New Roman" w:cs="Times New Roman"/>
          <w:sz w:val="24"/>
          <w:szCs w:val="24"/>
        </w:rPr>
      </w:pPr>
    </w:p>
    <w:p w:rsidR="00281DD4" w:rsidRDefault="00281DD4">
      <w:pPr>
        <w:jc w:val="both"/>
        <w:rPr>
          <w:lang w:eastAsia="en-ZW"/>
        </w:rPr>
      </w:pPr>
    </w:p>
    <w:sectPr w:rsidR="00281D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8D6" w:rsidRDefault="00EE68D6">
      <w:pPr>
        <w:spacing w:line="240" w:lineRule="auto"/>
      </w:pPr>
      <w:r>
        <w:separator/>
      </w:r>
    </w:p>
  </w:endnote>
  <w:endnote w:type="continuationSeparator" w:id="0">
    <w:p w:rsidR="00EE68D6" w:rsidRDefault="00EE6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8D6" w:rsidRDefault="00EE68D6">
      <w:pPr>
        <w:spacing w:after="0"/>
      </w:pPr>
      <w:r>
        <w:separator/>
      </w:r>
    </w:p>
  </w:footnote>
  <w:footnote w:type="continuationSeparator" w:id="0">
    <w:p w:rsidR="00EE68D6" w:rsidRDefault="00EE68D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99843"/>
    </w:sdtPr>
    <w:sdtEndPr/>
    <w:sdtContent>
      <w:p w:rsidR="00281DD4" w:rsidRDefault="00EE68D6">
        <w:pPr>
          <w:pStyle w:val="Header"/>
          <w:jc w:val="right"/>
        </w:pPr>
        <w:r>
          <w:fldChar w:fldCharType="begin"/>
        </w:r>
        <w:r>
          <w:instrText xml:space="preserve"> PAGE   \* MERGEFORMAT </w:instrText>
        </w:r>
        <w:r>
          <w:fldChar w:fldCharType="separate"/>
        </w:r>
        <w:r w:rsidR="00310B5B">
          <w:rPr>
            <w:noProof/>
          </w:rPr>
          <w:t>2</w:t>
        </w:r>
        <w:r>
          <w:fldChar w:fldCharType="end"/>
        </w:r>
      </w:p>
      <w:p w:rsidR="00281DD4" w:rsidRDefault="00EE68D6">
        <w:pPr>
          <w:pStyle w:val="Header"/>
          <w:jc w:val="right"/>
          <w:rPr>
            <w:lang w:val="en-US"/>
          </w:rPr>
        </w:pPr>
        <w:r>
          <w:rPr>
            <w:lang w:val="en-US"/>
          </w:rPr>
          <w:t>HH 66/25</w:t>
        </w:r>
      </w:p>
      <w:p w:rsidR="00281DD4" w:rsidRDefault="00EE68D6">
        <w:pPr>
          <w:pStyle w:val="Header"/>
          <w:jc w:val="right"/>
          <w:rPr>
            <w:lang w:val="en-US"/>
          </w:rPr>
        </w:pPr>
        <w:r>
          <w:rPr>
            <w:lang w:val="en-US"/>
          </w:rPr>
          <w:t>HCHC 662/24</w:t>
        </w:r>
      </w:p>
      <w:p w:rsidR="00281DD4" w:rsidRDefault="00EE68D6">
        <w:pPr>
          <w:pStyle w:val="Header"/>
          <w:jc w:val="right"/>
        </w:pPr>
        <w:r>
          <w:rPr>
            <w:lang w:val="en-US"/>
          </w:rPr>
          <w:t>REF HCHC 276/24</w:t>
        </w:r>
      </w:p>
    </w:sdtContent>
  </w:sdt>
  <w:p w:rsidR="00281DD4" w:rsidRDefault="00281D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34452"/>
    <w:multiLevelType w:val="multilevel"/>
    <w:tmpl w:val="2623445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4244E1"/>
    <w:multiLevelType w:val="multilevel"/>
    <w:tmpl w:val="574244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51"/>
    <w:rsid w:val="00033997"/>
    <w:rsid w:val="00094A29"/>
    <w:rsid w:val="00094ECA"/>
    <w:rsid w:val="000B1B93"/>
    <w:rsid w:val="000F3C73"/>
    <w:rsid w:val="00271C49"/>
    <w:rsid w:val="00281DD4"/>
    <w:rsid w:val="002C0F77"/>
    <w:rsid w:val="002D76E1"/>
    <w:rsid w:val="002E09A2"/>
    <w:rsid w:val="002F54D3"/>
    <w:rsid w:val="00310B5B"/>
    <w:rsid w:val="00357306"/>
    <w:rsid w:val="00375216"/>
    <w:rsid w:val="003763CE"/>
    <w:rsid w:val="003A2A15"/>
    <w:rsid w:val="003B4A3D"/>
    <w:rsid w:val="00481232"/>
    <w:rsid w:val="00493685"/>
    <w:rsid w:val="004C490C"/>
    <w:rsid w:val="005568E2"/>
    <w:rsid w:val="005B5B9D"/>
    <w:rsid w:val="006010CB"/>
    <w:rsid w:val="00643FB9"/>
    <w:rsid w:val="00663A05"/>
    <w:rsid w:val="00675829"/>
    <w:rsid w:val="006C3BCE"/>
    <w:rsid w:val="00737377"/>
    <w:rsid w:val="00757008"/>
    <w:rsid w:val="007C0491"/>
    <w:rsid w:val="007F3A72"/>
    <w:rsid w:val="008C0E78"/>
    <w:rsid w:val="008E666E"/>
    <w:rsid w:val="008F6E30"/>
    <w:rsid w:val="009B0DD6"/>
    <w:rsid w:val="00A828D8"/>
    <w:rsid w:val="00AC7855"/>
    <w:rsid w:val="00B0398A"/>
    <w:rsid w:val="00B13083"/>
    <w:rsid w:val="00B14700"/>
    <w:rsid w:val="00B3430D"/>
    <w:rsid w:val="00C1652E"/>
    <w:rsid w:val="00D05ED9"/>
    <w:rsid w:val="00D35D0E"/>
    <w:rsid w:val="00D471E7"/>
    <w:rsid w:val="00D47AE4"/>
    <w:rsid w:val="00DB1F8B"/>
    <w:rsid w:val="00E13CF5"/>
    <w:rsid w:val="00E1411A"/>
    <w:rsid w:val="00EE68D6"/>
    <w:rsid w:val="00F22B58"/>
    <w:rsid w:val="00F3203E"/>
    <w:rsid w:val="00F37034"/>
    <w:rsid w:val="00F54663"/>
    <w:rsid w:val="00F81351"/>
    <w:rsid w:val="00FB48C5"/>
    <w:rsid w:val="00FB72A6"/>
    <w:rsid w:val="021C6B5B"/>
    <w:rsid w:val="07215F41"/>
    <w:rsid w:val="087040DB"/>
    <w:rsid w:val="08AB5A48"/>
    <w:rsid w:val="11670D99"/>
    <w:rsid w:val="16605430"/>
    <w:rsid w:val="1FBA6080"/>
    <w:rsid w:val="268009F9"/>
    <w:rsid w:val="26AC2D80"/>
    <w:rsid w:val="285A2EFD"/>
    <w:rsid w:val="2F3017FB"/>
    <w:rsid w:val="3B3C7B17"/>
    <w:rsid w:val="3D833971"/>
    <w:rsid w:val="405939A2"/>
    <w:rsid w:val="50BB2D6C"/>
    <w:rsid w:val="543713F0"/>
    <w:rsid w:val="6D900673"/>
    <w:rsid w:val="6E0A574E"/>
    <w:rsid w:val="753C1C4E"/>
    <w:rsid w:val="765D5CB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853E"/>
  <w15:docId w15:val="{CE4E7B14-0A28-4D7A-9344-E2058094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erChar">
    <w:name w:val="Header Char"/>
    <w:basedOn w:val="DefaultParagraphFont"/>
    <w:link w:val="Header"/>
    <w:uiPriority w:val="99"/>
    <w:qFormat/>
    <w:rPr>
      <w:kern w:val="0"/>
      <w14:ligatures w14:val="none"/>
    </w:rPr>
  </w:style>
  <w:style w:type="character" w:customStyle="1" w:styleId="FooterChar">
    <w:name w:val="Footer Char"/>
    <w:basedOn w:val="DefaultParagraphFont"/>
    <w:link w:val="Footer"/>
    <w:uiPriority w:val="99"/>
    <w:qFormat/>
    <w:rPr>
      <w:kern w:val="0"/>
      <w14:ligatures w14:val="none"/>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16D34-6284-48AF-9095-B90F0044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2024-11-06T09:12:00Z</cp:lastPrinted>
  <dcterms:created xsi:type="dcterms:W3CDTF">2025-02-14T09:36:00Z</dcterms:created>
  <dcterms:modified xsi:type="dcterms:W3CDTF">2025-02-14T09:36:00Z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AB8836A6B25F4C1DA89F1DAE799087D0_13</vt:lpwstr>
  </property>
</Properties>
</file>