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ED7" w:rsidRPr="008C7C27" w:rsidRDefault="00D32ED7" w:rsidP="00F01721">
      <w:pPr>
        <w:spacing w:after="0" w:line="240" w:lineRule="auto"/>
        <w:jc w:val="both"/>
        <w:rPr>
          <w:rFonts w:ascii="Times New Roman" w:hAnsi="Times New Roman" w:cs="Times New Roman"/>
          <w:sz w:val="24"/>
          <w:szCs w:val="24"/>
        </w:rPr>
      </w:pPr>
    </w:p>
    <w:p w:rsidR="000430AC" w:rsidRPr="008C7C27" w:rsidRDefault="000430AC" w:rsidP="00F01721">
      <w:pPr>
        <w:spacing w:after="0" w:line="240" w:lineRule="auto"/>
        <w:jc w:val="both"/>
        <w:rPr>
          <w:rFonts w:ascii="Times New Roman" w:hAnsi="Times New Roman" w:cs="Times New Roman"/>
          <w:sz w:val="24"/>
          <w:szCs w:val="24"/>
        </w:rPr>
      </w:pPr>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DR BOZENA DUDKA</w:t>
      </w:r>
    </w:p>
    <w:p w:rsidR="00AD100B" w:rsidRPr="008C7C27" w:rsidRDefault="00716856" w:rsidP="00F01721">
      <w:pPr>
        <w:spacing w:after="0" w:line="240" w:lineRule="auto"/>
        <w:jc w:val="both"/>
        <w:rPr>
          <w:rFonts w:ascii="Times New Roman" w:hAnsi="Times New Roman" w:cs="Times New Roman"/>
          <w:sz w:val="24"/>
          <w:szCs w:val="24"/>
        </w:rPr>
      </w:pPr>
      <w:proofErr w:type="gramStart"/>
      <w:r w:rsidRPr="008C7C27">
        <w:rPr>
          <w:rFonts w:ascii="Times New Roman" w:hAnsi="Times New Roman" w:cs="Times New Roman"/>
          <w:sz w:val="24"/>
          <w:szCs w:val="24"/>
        </w:rPr>
        <w:t>a</w:t>
      </w:r>
      <w:r w:rsidR="00AD100B" w:rsidRPr="008C7C27">
        <w:rPr>
          <w:rFonts w:ascii="Times New Roman" w:hAnsi="Times New Roman" w:cs="Times New Roman"/>
          <w:sz w:val="24"/>
          <w:szCs w:val="24"/>
        </w:rPr>
        <w:t>nd</w:t>
      </w:r>
      <w:proofErr w:type="gramEnd"/>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ALLAN TILLING RUSSELL</w:t>
      </w:r>
    </w:p>
    <w:p w:rsidR="00AD100B" w:rsidRPr="008C7C27" w:rsidRDefault="00716856"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a</w:t>
      </w:r>
      <w:r w:rsidR="00AD100B" w:rsidRPr="008C7C27">
        <w:rPr>
          <w:rFonts w:ascii="Times New Roman" w:hAnsi="Times New Roman" w:cs="Times New Roman"/>
          <w:sz w:val="24"/>
          <w:szCs w:val="24"/>
        </w:rPr>
        <w:t>nd</w:t>
      </w:r>
      <w:bookmarkStart w:id="0" w:name="_GoBack"/>
      <w:bookmarkEnd w:id="0"/>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FAIR COAT INVESTMENTS (PVT) LIMITED</w:t>
      </w:r>
    </w:p>
    <w:p w:rsidR="00AD100B" w:rsidRPr="008C7C27" w:rsidRDefault="00716856" w:rsidP="00F01721">
      <w:pPr>
        <w:spacing w:after="0" w:line="240" w:lineRule="auto"/>
        <w:jc w:val="both"/>
        <w:rPr>
          <w:rFonts w:ascii="Times New Roman" w:hAnsi="Times New Roman" w:cs="Times New Roman"/>
          <w:sz w:val="24"/>
          <w:szCs w:val="24"/>
        </w:rPr>
      </w:pPr>
      <w:proofErr w:type="gramStart"/>
      <w:r w:rsidRPr="008C7C27">
        <w:rPr>
          <w:rFonts w:ascii="Times New Roman" w:hAnsi="Times New Roman" w:cs="Times New Roman"/>
          <w:sz w:val="24"/>
          <w:szCs w:val="24"/>
        </w:rPr>
        <w:t>a</w:t>
      </w:r>
      <w:r w:rsidR="00AD100B" w:rsidRPr="008C7C27">
        <w:rPr>
          <w:rFonts w:ascii="Times New Roman" w:hAnsi="Times New Roman" w:cs="Times New Roman"/>
          <w:sz w:val="24"/>
          <w:szCs w:val="24"/>
        </w:rPr>
        <w:t>nd</w:t>
      </w:r>
      <w:proofErr w:type="gramEnd"/>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JOHN MUKONO</w:t>
      </w:r>
    </w:p>
    <w:p w:rsidR="00AD100B" w:rsidRPr="008C7C27" w:rsidRDefault="00716856" w:rsidP="00F01721">
      <w:pPr>
        <w:spacing w:after="0" w:line="240" w:lineRule="auto"/>
        <w:jc w:val="both"/>
        <w:rPr>
          <w:rFonts w:ascii="Times New Roman" w:hAnsi="Times New Roman" w:cs="Times New Roman"/>
          <w:sz w:val="24"/>
          <w:szCs w:val="24"/>
        </w:rPr>
      </w:pPr>
      <w:proofErr w:type="gramStart"/>
      <w:r w:rsidRPr="008C7C27">
        <w:rPr>
          <w:rFonts w:ascii="Times New Roman" w:hAnsi="Times New Roman" w:cs="Times New Roman"/>
          <w:sz w:val="24"/>
          <w:szCs w:val="24"/>
        </w:rPr>
        <w:t>v</w:t>
      </w:r>
      <w:r w:rsidR="00AD100B" w:rsidRPr="008C7C27">
        <w:rPr>
          <w:rFonts w:ascii="Times New Roman" w:hAnsi="Times New Roman" w:cs="Times New Roman"/>
          <w:sz w:val="24"/>
          <w:szCs w:val="24"/>
        </w:rPr>
        <w:t>ersus</w:t>
      </w:r>
      <w:proofErr w:type="gramEnd"/>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CHENI INVESTMENTS (PVT) LIMITED</w:t>
      </w:r>
    </w:p>
    <w:p w:rsidR="00AD100B" w:rsidRPr="008C7C27" w:rsidRDefault="00716856" w:rsidP="00F01721">
      <w:pPr>
        <w:spacing w:after="0" w:line="240" w:lineRule="auto"/>
        <w:jc w:val="both"/>
        <w:rPr>
          <w:rFonts w:ascii="Times New Roman" w:hAnsi="Times New Roman" w:cs="Times New Roman"/>
          <w:sz w:val="24"/>
          <w:szCs w:val="24"/>
        </w:rPr>
      </w:pPr>
      <w:proofErr w:type="gramStart"/>
      <w:r w:rsidRPr="008C7C27">
        <w:rPr>
          <w:rFonts w:ascii="Times New Roman" w:hAnsi="Times New Roman" w:cs="Times New Roman"/>
          <w:sz w:val="24"/>
          <w:szCs w:val="24"/>
        </w:rPr>
        <w:t>a</w:t>
      </w:r>
      <w:r w:rsidR="00AD100B" w:rsidRPr="008C7C27">
        <w:rPr>
          <w:rFonts w:ascii="Times New Roman" w:hAnsi="Times New Roman" w:cs="Times New Roman"/>
          <w:sz w:val="24"/>
          <w:szCs w:val="24"/>
        </w:rPr>
        <w:t>nd</w:t>
      </w:r>
      <w:proofErr w:type="gramEnd"/>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IAN JOHN HAWTHORNE</w:t>
      </w:r>
    </w:p>
    <w:p w:rsidR="00AD100B" w:rsidRPr="008C7C27" w:rsidRDefault="00716856" w:rsidP="00F01721">
      <w:pPr>
        <w:spacing w:after="0" w:line="240" w:lineRule="auto"/>
        <w:jc w:val="both"/>
        <w:rPr>
          <w:rFonts w:ascii="Times New Roman" w:hAnsi="Times New Roman" w:cs="Times New Roman"/>
          <w:sz w:val="24"/>
          <w:szCs w:val="24"/>
        </w:rPr>
      </w:pPr>
      <w:proofErr w:type="gramStart"/>
      <w:r w:rsidRPr="008C7C27">
        <w:rPr>
          <w:rFonts w:ascii="Times New Roman" w:hAnsi="Times New Roman" w:cs="Times New Roman"/>
          <w:sz w:val="24"/>
          <w:szCs w:val="24"/>
        </w:rPr>
        <w:t>a</w:t>
      </w:r>
      <w:r w:rsidR="00AD100B" w:rsidRPr="008C7C27">
        <w:rPr>
          <w:rFonts w:ascii="Times New Roman" w:hAnsi="Times New Roman" w:cs="Times New Roman"/>
          <w:sz w:val="24"/>
          <w:szCs w:val="24"/>
        </w:rPr>
        <w:t>nd</w:t>
      </w:r>
      <w:proofErr w:type="gramEnd"/>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PERVAZ KHAN</w:t>
      </w:r>
    </w:p>
    <w:p w:rsidR="00AD100B" w:rsidRPr="008C7C27" w:rsidRDefault="00716856" w:rsidP="00F01721">
      <w:pPr>
        <w:spacing w:after="0" w:line="240" w:lineRule="auto"/>
        <w:jc w:val="both"/>
        <w:rPr>
          <w:rFonts w:ascii="Times New Roman" w:hAnsi="Times New Roman" w:cs="Times New Roman"/>
          <w:sz w:val="24"/>
          <w:szCs w:val="24"/>
        </w:rPr>
      </w:pPr>
      <w:proofErr w:type="gramStart"/>
      <w:r w:rsidRPr="008C7C27">
        <w:rPr>
          <w:rFonts w:ascii="Times New Roman" w:hAnsi="Times New Roman" w:cs="Times New Roman"/>
          <w:sz w:val="24"/>
          <w:szCs w:val="24"/>
        </w:rPr>
        <w:t>a</w:t>
      </w:r>
      <w:r w:rsidR="00AD100B" w:rsidRPr="008C7C27">
        <w:rPr>
          <w:rFonts w:ascii="Times New Roman" w:hAnsi="Times New Roman" w:cs="Times New Roman"/>
          <w:sz w:val="24"/>
          <w:szCs w:val="24"/>
        </w:rPr>
        <w:t>nd</w:t>
      </w:r>
      <w:proofErr w:type="gramEnd"/>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BRIGHTON MATIKITI</w:t>
      </w:r>
    </w:p>
    <w:p w:rsidR="00AD100B" w:rsidRPr="008C7C27" w:rsidRDefault="00716856" w:rsidP="00F01721">
      <w:pPr>
        <w:spacing w:after="0" w:line="240" w:lineRule="auto"/>
        <w:jc w:val="both"/>
        <w:rPr>
          <w:rFonts w:ascii="Times New Roman" w:hAnsi="Times New Roman" w:cs="Times New Roman"/>
          <w:sz w:val="24"/>
          <w:szCs w:val="24"/>
        </w:rPr>
      </w:pPr>
      <w:proofErr w:type="gramStart"/>
      <w:r w:rsidRPr="008C7C27">
        <w:rPr>
          <w:rFonts w:ascii="Times New Roman" w:hAnsi="Times New Roman" w:cs="Times New Roman"/>
          <w:sz w:val="24"/>
          <w:szCs w:val="24"/>
        </w:rPr>
        <w:t>a</w:t>
      </w:r>
      <w:r w:rsidR="00AD100B" w:rsidRPr="008C7C27">
        <w:rPr>
          <w:rFonts w:ascii="Times New Roman" w:hAnsi="Times New Roman" w:cs="Times New Roman"/>
          <w:sz w:val="24"/>
          <w:szCs w:val="24"/>
        </w:rPr>
        <w:t>nd</w:t>
      </w:r>
      <w:proofErr w:type="gramEnd"/>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INNOCENT KHUMALO</w:t>
      </w:r>
    </w:p>
    <w:p w:rsidR="00AD100B" w:rsidRPr="008C7C27" w:rsidRDefault="00716856" w:rsidP="00F01721">
      <w:pPr>
        <w:spacing w:after="0" w:line="240" w:lineRule="auto"/>
        <w:jc w:val="both"/>
        <w:rPr>
          <w:rFonts w:ascii="Times New Roman" w:hAnsi="Times New Roman" w:cs="Times New Roman"/>
          <w:sz w:val="24"/>
          <w:szCs w:val="24"/>
        </w:rPr>
      </w:pPr>
      <w:proofErr w:type="gramStart"/>
      <w:r w:rsidRPr="008C7C27">
        <w:rPr>
          <w:rFonts w:ascii="Times New Roman" w:hAnsi="Times New Roman" w:cs="Times New Roman"/>
          <w:sz w:val="24"/>
          <w:szCs w:val="24"/>
        </w:rPr>
        <w:t>a</w:t>
      </w:r>
      <w:r w:rsidR="00AD100B" w:rsidRPr="008C7C27">
        <w:rPr>
          <w:rFonts w:ascii="Times New Roman" w:hAnsi="Times New Roman" w:cs="Times New Roman"/>
          <w:sz w:val="24"/>
          <w:szCs w:val="24"/>
        </w:rPr>
        <w:t>nd</w:t>
      </w:r>
      <w:proofErr w:type="gramEnd"/>
      <w:r w:rsidR="00AD100B" w:rsidRPr="008C7C27">
        <w:rPr>
          <w:rFonts w:ascii="Times New Roman" w:hAnsi="Times New Roman" w:cs="Times New Roman"/>
          <w:sz w:val="24"/>
          <w:szCs w:val="24"/>
        </w:rPr>
        <w:t xml:space="preserve"> </w:t>
      </w:r>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REGISTRAR OF DEEDS</w:t>
      </w:r>
    </w:p>
    <w:p w:rsidR="00065AEF" w:rsidRPr="008C7C27" w:rsidRDefault="00065AEF" w:rsidP="00F01721">
      <w:pPr>
        <w:spacing w:after="0" w:line="240" w:lineRule="auto"/>
        <w:jc w:val="both"/>
        <w:rPr>
          <w:rFonts w:ascii="Times New Roman" w:hAnsi="Times New Roman" w:cs="Times New Roman"/>
          <w:sz w:val="24"/>
          <w:szCs w:val="24"/>
        </w:rPr>
      </w:pPr>
    </w:p>
    <w:p w:rsidR="00065AEF" w:rsidRPr="008C7C27" w:rsidRDefault="00065AEF" w:rsidP="00F01721">
      <w:pPr>
        <w:spacing w:after="0" w:line="240" w:lineRule="auto"/>
        <w:jc w:val="both"/>
        <w:rPr>
          <w:rFonts w:ascii="Times New Roman" w:hAnsi="Times New Roman" w:cs="Times New Roman"/>
          <w:sz w:val="24"/>
          <w:szCs w:val="24"/>
        </w:rPr>
      </w:pPr>
    </w:p>
    <w:p w:rsidR="00065AEF" w:rsidRPr="008C7C27" w:rsidRDefault="00065AEF"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HIGH COURT OF ZIMBABWE</w:t>
      </w:r>
    </w:p>
    <w:p w:rsidR="00065AEF" w:rsidRPr="008C7C27" w:rsidRDefault="00065AEF"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MAKONI J</w:t>
      </w:r>
    </w:p>
    <w:p w:rsidR="00065AEF" w:rsidRPr="008C7C27" w:rsidRDefault="00065AEF"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sz w:val="24"/>
          <w:szCs w:val="24"/>
        </w:rPr>
        <w:t>HARARE, 6 May 2010 and 15 June 2010</w:t>
      </w:r>
    </w:p>
    <w:p w:rsidR="00AD100B" w:rsidRPr="008C7C27" w:rsidRDefault="00AD100B" w:rsidP="00F01721">
      <w:pPr>
        <w:spacing w:after="0" w:line="240" w:lineRule="auto"/>
        <w:jc w:val="both"/>
        <w:rPr>
          <w:rFonts w:ascii="Times New Roman" w:hAnsi="Times New Roman" w:cs="Times New Roman"/>
          <w:sz w:val="24"/>
          <w:szCs w:val="24"/>
        </w:rPr>
      </w:pPr>
    </w:p>
    <w:p w:rsidR="00AD100B" w:rsidRPr="008C7C27" w:rsidRDefault="00AD100B" w:rsidP="00F01721">
      <w:pPr>
        <w:spacing w:after="0" w:line="240" w:lineRule="auto"/>
        <w:jc w:val="both"/>
        <w:rPr>
          <w:rFonts w:ascii="Times New Roman" w:hAnsi="Times New Roman" w:cs="Times New Roman"/>
          <w:sz w:val="24"/>
          <w:szCs w:val="24"/>
        </w:rPr>
      </w:pPr>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i/>
          <w:sz w:val="24"/>
          <w:szCs w:val="24"/>
        </w:rPr>
        <w:t xml:space="preserve">T </w:t>
      </w:r>
      <w:proofErr w:type="spellStart"/>
      <w:r w:rsidRPr="008C7C27">
        <w:rPr>
          <w:rFonts w:ascii="Times New Roman" w:hAnsi="Times New Roman" w:cs="Times New Roman"/>
          <w:i/>
          <w:sz w:val="24"/>
          <w:szCs w:val="24"/>
        </w:rPr>
        <w:t>Mpofu</w:t>
      </w:r>
      <w:proofErr w:type="spellEnd"/>
      <w:r w:rsidRPr="008C7C27">
        <w:rPr>
          <w:rFonts w:ascii="Times New Roman" w:hAnsi="Times New Roman" w:cs="Times New Roman"/>
          <w:sz w:val="24"/>
          <w:szCs w:val="24"/>
        </w:rPr>
        <w:t>, for the 1</w:t>
      </w:r>
      <w:r w:rsidRPr="008C7C27">
        <w:rPr>
          <w:rFonts w:ascii="Times New Roman" w:hAnsi="Times New Roman" w:cs="Times New Roman"/>
          <w:sz w:val="24"/>
          <w:szCs w:val="24"/>
          <w:vertAlign w:val="superscript"/>
        </w:rPr>
        <w:t>st</w:t>
      </w:r>
      <w:r w:rsidRPr="008C7C27">
        <w:rPr>
          <w:rFonts w:ascii="Times New Roman" w:hAnsi="Times New Roman" w:cs="Times New Roman"/>
          <w:sz w:val="24"/>
          <w:szCs w:val="24"/>
        </w:rPr>
        <w:t xml:space="preserve"> applicant</w:t>
      </w:r>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i/>
          <w:sz w:val="24"/>
          <w:szCs w:val="24"/>
        </w:rPr>
        <w:t xml:space="preserve">L </w:t>
      </w:r>
      <w:proofErr w:type="spellStart"/>
      <w:r w:rsidRPr="008C7C27">
        <w:rPr>
          <w:rFonts w:ascii="Times New Roman" w:hAnsi="Times New Roman" w:cs="Times New Roman"/>
          <w:i/>
          <w:sz w:val="24"/>
          <w:szCs w:val="24"/>
        </w:rPr>
        <w:t>Uriri</w:t>
      </w:r>
      <w:proofErr w:type="spellEnd"/>
      <w:r w:rsidRPr="008C7C27">
        <w:rPr>
          <w:rFonts w:ascii="Times New Roman" w:hAnsi="Times New Roman" w:cs="Times New Roman"/>
          <w:sz w:val="24"/>
          <w:szCs w:val="24"/>
        </w:rPr>
        <w:t>, for the 2</w:t>
      </w:r>
      <w:r w:rsidRPr="008C7C27">
        <w:rPr>
          <w:rFonts w:ascii="Times New Roman" w:hAnsi="Times New Roman" w:cs="Times New Roman"/>
          <w:sz w:val="24"/>
          <w:szCs w:val="24"/>
          <w:vertAlign w:val="superscript"/>
        </w:rPr>
        <w:t>nd</w:t>
      </w:r>
      <w:r w:rsidRPr="008C7C27">
        <w:rPr>
          <w:rFonts w:ascii="Times New Roman" w:hAnsi="Times New Roman" w:cs="Times New Roman"/>
          <w:sz w:val="24"/>
          <w:szCs w:val="24"/>
        </w:rPr>
        <w:t xml:space="preserve"> and 3</w:t>
      </w:r>
      <w:r w:rsidRPr="008C7C27">
        <w:rPr>
          <w:rFonts w:ascii="Times New Roman" w:hAnsi="Times New Roman" w:cs="Times New Roman"/>
          <w:sz w:val="24"/>
          <w:szCs w:val="24"/>
          <w:vertAlign w:val="superscript"/>
        </w:rPr>
        <w:t>rd</w:t>
      </w:r>
      <w:r w:rsidRPr="008C7C27">
        <w:rPr>
          <w:rFonts w:ascii="Times New Roman" w:hAnsi="Times New Roman" w:cs="Times New Roman"/>
          <w:sz w:val="24"/>
          <w:szCs w:val="24"/>
        </w:rPr>
        <w:t xml:space="preserve"> applicants</w:t>
      </w:r>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i/>
          <w:sz w:val="24"/>
          <w:szCs w:val="24"/>
        </w:rPr>
        <w:t xml:space="preserve">L </w:t>
      </w:r>
      <w:proofErr w:type="spellStart"/>
      <w:r w:rsidRPr="008C7C27">
        <w:rPr>
          <w:rFonts w:ascii="Times New Roman" w:hAnsi="Times New Roman" w:cs="Times New Roman"/>
          <w:i/>
          <w:sz w:val="24"/>
          <w:szCs w:val="24"/>
        </w:rPr>
        <w:t>Mazonde</w:t>
      </w:r>
      <w:proofErr w:type="spellEnd"/>
      <w:r w:rsidRPr="008C7C27">
        <w:rPr>
          <w:rFonts w:ascii="Times New Roman" w:hAnsi="Times New Roman" w:cs="Times New Roman"/>
          <w:sz w:val="24"/>
          <w:szCs w:val="24"/>
        </w:rPr>
        <w:t>, for the 4</w:t>
      </w:r>
      <w:r w:rsidRPr="008C7C27">
        <w:rPr>
          <w:rFonts w:ascii="Times New Roman" w:hAnsi="Times New Roman" w:cs="Times New Roman"/>
          <w:sz w:val="24"/>
          <w:szCs w:val="24"/>
          <w:vertAlign w:val="superscript"/>
        </w:rPr>
        <w:t>th</w:t>
      </w:r>
      <w:r w:rsidRPr="008C7C27">
        <w:rPr>
          <w:rFonts w:ascii="Times New Roman" w:hAnsi="Times New Roman" w:cs="Times New Roman"/>
          <w:sz w:val="24"/>
          <w:szCs w:val="24"/>
        </w:rPr>
        <w:t xml:space="preserve"> applicant</w:t>
      </w:r>
    </w:p>
    <w:p w:rsidR="00AD100B" w:rsidRPr="008C7C27" w:rsidRDefault="00AD100B" w:rsidP="00F01721">
      <w:pPr>
        <w:spacing w:after="0" w:line="240" w:lineRule="auto"/>
        <w:jc w:val="both"/>
        <w:rPr>
          <w:rFonts w:ascii="Times New Roman" w:hAnsi="Times New Roman" w:cs="Times New Roman"/>
          <w:sz w:val="24"/>
          <w:szCs w:val="24"/>
        </w:rPr>
      </w:pPr>
      <w:r w:rsidRPr="008C7C27">
        <w:rPr>
          <w:rFonts w:ascii="Times New Roman" w:hAnsi="Times New Roman" w:cs="Times New Roman"/>
          <w:i/>
          <w:sz w:val="24"/>
          <w:szCs w:val="24"/>
        </w:rPr>
        <w:t xml:space="preserve">S </w:t>
      </w:r>
      <w:proofErr w:type="spellStart"/>
      <w:r w:rsidRPr="008C7C27">
        <w:rPr>
          <w:rFonts w:ascii="Times New Roman" w:hAnsi="Times New Roman" w:cs="Times New Roman"/>
          <w:i/>
          <w:sz w:val="24"/>
          <w:szCs w:val="24"/>
        </w:rPr>
        <w:t>Tsaurayi</w:t>
      </w:r>
      <w:proofErr w:type="spellEnd"/>
      <w:r w:rsidRPr="008C7C27">
        <w:rPr>
          <w:rFonts w:ascii="Times New Roman" w:hAnsi="Times New Roman" w:cs="Times New Roman"/>
          <w:sz w:val="24"/>
          <w:szCs w:val="24"/>
        </w:rPr>
        <w:t>, for the 3</w:t>
      </w:r>
      <w:r w:rsidRPr="008C7C27">
        <w:rPr>
          <w:rFonts w:ascii="Times New Roman" w:hAnsi="Times New Roman" w:cs="Times New Roman"/>
          <w:sz w:val="24"/>
          <w:szCs w:val="24"/>
          <w:vertAlign w:val="superscript"/>
        </w:rPr>
        <w:t>rd</w:t>
      </w:r>
      <w:r w:rsidRPr="008C7C27">
        <w:rPr>
          <w:rFonts w:ascii="Times New Roman" w:hAnsi="Times New Roman" w:cs="Times New Roman"/>
          <w:sz w:val="24"/>
          <w:szCs w:val="24"/>
        </w:rPr>
        <w:t>, 4</w:t>
      </w:r>
      <w:r w:rsidRPr="008C7C27">
        <w:rPr>
          <w:rFonts w:ascii="Times New Roman" w:hAnsi="Times New Roman" w:cs="Times New Roman"/>
          <w:sz w:val="24"/>
          <w:szCs w:val="24"/>
          <w:vertAlign w:val="superscript"/>
        </w:rPr>
        <w:t>th</w:t>
      </w:r>
      <w:r w:rsidRPr="008C7C27">
        <w:rPr>
          <w:rFonts w:ascii="Times New Roman" w:hAnsi="Times New Roman" w:cs="Times New Roman"/>
          <w:sz w:val="24"/>
          <w:szCs w:val="24"/>
        </w:rPr>
        <w:t xml:space="preserve"> and 5</w:t>
      </w:r>
      <w:r w:rsidRPr="008C7C27">
        <w:rPr>
          <w:rFonts w:ascii="Times New Roman" w:hAnsi="Times New Roman" w:cs="Times New Roman"/>
          <w:sz w:val="24"/>
          <w:szCs w:val="24"/>
          <w:vertAlign w:val="superscript"/>
        </w:rPr>
        <w:t>th</w:t>
      </w:r>
      <w:r w:rsidRPr="008C7C27">
        <w:rPr>
          <w:rFonts w:ascii="Times New Roman" w:hAnsi="Times New Roman" w:cs="Times New Roman"/>
          <w:sz w:val="24"/>
          <w:szCs w:val="24"/>
        </w:rPr>
        <w:t xml:space="preserve"> respondents</w:t>
      </w:r>
    </w:p>
    <w:p w:rsidR="00AD100B" w:rsidRPr="008C7C27" w:rsidRDefault="00AD100B" w:rsidP="00F01721">
      <w:pPr>
        <w:spacing w:after="0" w:line="240" w:lineRule="auto"/>
        <w:jc w:val="both"/>
        <w:rPr>
          <w:rFonts w:ascii="Times New Roman" w:hAnsi="Times New Roman" w:cs="Times New Roman"/>
          <w:sz w:val="24"/>
          <w:szCs w:val="24"/>
        </w:rPr>
      </w:pPr>
    </w:p>
    <w:p w:rsidR="00AD100B" w:rsidRPr="008C7C27" w:rsidRDefault="00AD100B" w:rsidP="00F01721">
      <w:pPr>
        <w:spacing w:after="0" w:line="240" w:lineRule="auto"/>
        <w:jc w:val="both"/>
        <w:rPr>
          <w:rFonts w:ascii="Times New Roman" w:hAnsi="Times New Roman" w:cs="Times New Roman"/>
          <w:sz w:val="24"/>
          <w:szCs w:val="24"/>
        </w:rPr>
      </w:pPr>
    </w:p>
    <w:p w:rsidR="00F55850" w:rsidRPr="008C7C27" w:rsidRDefault="00AD100B"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MAKONI J:</w:t>
      </w:r>
      <w:r w:rsidR="00F55850" w:rsidRPr="008C7C27">
        <w:rPr>
          <w:rFonts w:ascii="Times New Roman" w:hAnsi="Times New Roman" w:cs="Times New Roman"/>
          <w:sz w:val="24"/>
          <w:szCs w:val="24"/>
        </w:rPr>
        <w:tab/>
        <w:t>The above matters were filed as case numbers HC 3855/09, HC 3846/09 and HC 3891/09. At the hearing of the matter, the parties agreed that the matters be consolidated as all the matters raised the same issues. I consolidated all three matters.</w:t>
      </w:r>
    </w:p>
    <w:p w:rsidR="00065AEF" w:rsidRPr="008C7C27" w:rsidRDefault="00F55850"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The background to the matters is that the applicants bought residential units from the first respondent in </w:t>
      </w:r>
      <w:r w:rsidR="00065AEF" w:rsidRPr="008C7C27">
        <w:rPr>
          <w:rFonts w:ascii="Times New Roman" w:hAnsi="Times New Roman" w:cs="Times New Roman"/>
          <w:sz w:val="24"/>
          <w:szCs w:val="24"/>
        </w:rPr>
        <w:t xml:space="preserve">a </w:t>
      </w:r>
      <w:r w:rsidRPr="008C7C27">
        <w:rPr>
          <w:rFonts w:ascii="Times New Roman" w:hAnsi="Times New Roman" w:cs="Times New Roman"/>
          <w:sz w:val="24"/>
          <w:szCs w:val="24"/>
        </w:rPr>
        <w:t>cluster housing scheme being developed by the second respondent on land owned by the first respondent. They also entered into building contracts with the second respondent.</w:t>
      </w:r>
    </w:p>
    <w:p w:rsidR="00CD08DF" w:rsidRPr="008C7C27" w:rsidRDefault="00F55850"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 The first applicant (Dr </w:t>
      </w:r>
      <w:proofErr w:type="spellStart"/>
      <w:r w:rsidRPr="008C7C27">
        <w:rPr>
          <w:rFonts w:ascii="Times New Roman" w:hAnsi="Times New Roman" w:cs="Times New Roman"/>
          <w:sz w:val="24"/>
          <w:szCs w:val="24"/>
        </w:rPr>
        <w:t>Dudka</w:t>
      </w:r>
      <w:proofErr w:type="spellEnd"/>
      <w:r w:rsidRPr="008C7C27">
        <w:rPr>
          <w:rFonts w:ascii="Times New Roman" w:hAnsi="Times New Roman" w:cs="Times New Roman"/>
          <w:sz w:val="24"/>
          <w:szCs w:val="24"/>
        </w:rPr>
        <w:t>) bought share number 9. She paid the full purchase price. A dispute arose due to failure of the second respondent to fulfil its obligations in terms of the agreement. By mutual agreement, the dispute was referred to arbitration. The arbitra</w:t>
      </w:r>
      <w:r w:rsidR="00065AEF" w:rsidRPr="008C7C27">
        <w:rPr>
          <w:rFonts w:ascii="Times New Roman" w:hAnsi="Times New Roman" w:cs="Times New Roman"/>
          <w:sz w:val="24"/>
          <w:szCs w:val="24"/>
        </w:rPr>
        <w:t>l</w:t>
      </w:r>
      <w:r w:rsidRPr="008C7C27">
        <w:rPr>
          <w:rFonts w:ascii="Times New Roman" w:hAnsi="Times New Roman" w:cs="Times New Roman"/>
          <w:sz w:val="24"/>
          <w:szCs w:val="24"/>
        </w:rPr>
        <w:t xml:space="preserve"> </w:t>
      </w:r>
      <w:r w:rsidRPr="008C7C27">
        <w:rPr>
          <w:rFonts w:ascii="Times New Roman" w:hAnsi="Times New Roman" w:cs="Times New Roman"/>
          <w:sz w:val="24"/>
          <w:szCs w:val="24"/>
        </w:rPr>
        <w:lastRenderedPageBreak/>
        <w:t xml:space="preserve">award was to the effect that the agreement of sale was valid. Since the second respondent had failed to comply with its obligations in the terms of the building contract, Dr </w:t>
      </w:r>
      <w:proofErr w:type="spellStart"/>
      <w:r w:rsidRPr="008C7C27">
        <w:rPr>
          <w:rFonts w:ascii="Times New Roman" w:hAnsi="Times New Roman" w:cs="Times New Roman"/>
          <w:sz w:val="24"/>
          <w:szCs w:val="24"/>
        </w:rPr>
        <w:t>Dudka</w:t>
      </w:r>
      <w:proofErr w:type="spellEnd"/>
      <w:r w:rsidRPr="008C7C27">
        <w:rPr>
          <w:rFonts w:ascii="Times New Roman" w:hAnsi="Times New Roman" w:cs="Times New Roman"/>
          <w:sz w:val="24"/>
          <w:szCs w:val="24"/>
        </w:rPr>
        <w:t xml:space="preserve"> was entitled</w:t>
      </w:r>
      <w:r w:rsidR="00CD08DF" w:rsidRPr="008C7C27">
        <w:rPr>
          <w:rFonts w:ascii="Times New Roman" w:hAnsi="Times New Roman" w:cs="Times New Roman"/>
          <w:sz w:val="24"/>
          <w:szCs w:val="24"/>
        </w:rPr>
        <w:t xml:space="preserve"> to take over the construction of the house. The respondents were to transfer to Dr </w:t>
      </w:r>
      <w:proofErr w:type="spellStart"/>
      <w:r w:rsidR="00CD08DF" w:rsidRPr="008C7C27">
        <w:rPr>
          <w:rFonts w:ascii="Times New Roman" w:hAnsi="Times New Roman" w:cs="Times New Roman"/>
          <w:sz w:val="24"/>
          <w:szCs w:val="24"/>
        </w:rPr>
        <w:t>Dudka</w:t>
      </w:r>
      <w:proofErr w:type="spellEnd"/>
      <w:r w:rsidR="00CD08DF" w:rsidRPr="008C7C27">
        <w:rPr>
          <w:rFonts w:ascii="Times New Roman" w:hAnsi="Times New Roman" w:cs="Times New Roman"/>
          <w:sz w:val="24"/>
          <w:szCs w:val="24"/>
        </w:rPr>
        <w:t xml:space="preserve"> share in the </w:t>
      </w:r>
      <w:r w:rsidR="00065AEF" w:rsidRPr="008C7C27">
        <w:rPr>
          <w:rFonts w:ascii="Times New Roman" w:hAnsi="Times New Roman" w:cs="Times New Roman"/>
          <w:sz w:val="24"/>
          <w:szCs w:val="24"/>
        </w:rPr>
        <w:t xml:space="preserve">first </w:t>
      </w:r>
      <w:r w:rsidR="00CD08DF" w:rsidRPr="008C7C27">
        <w:rPr>
          <w:rFonts w:ascii="Times New Roman" w:hAnsi="Times New Roman" w:cs="Times New Roman"/>
          <w:sz w:val="24"/>
          <w:szCs w:val="24"/>
        </w:rPr>
        <w:t>respondent which would confer ownership and right to possession of unit 9.</w:t>
      </w:r>
    </w:p>
    <w:p w:rsidR="00CD08DF" w:rsidRPr="008C7C27" w:rsidRDefault="00CD08DF"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Following the award, Dr </w:t>
      </w:r>
      <w:proofErr w:type="spellStart"/>
      <w:r w:rsidRPr="008C7C27">
        <w:rPr>
          <w:rFonts w:ascii="Times New Roman" w:hAnsi="Times New Roman" w:cs="Times New Roman"/>
          <w:sz w:val="24"/>
          <w:szCs w:val="24"/>
        </w:rPr>
        <w:t>Dudka</w:t>
      </w:r>
      <w:proofErr w:type="spellEnd"/>
      <w:r w:rsidRPr="008C7C27">
        <w:rPr>
          <w:rFonts w:ascii="Times New Roman" w:hAnsi="Times New Roman" w:cs="Times New Roman"/>
          <w:sz w:val="24"/>
          <w:szCs w:val="24"/>
        </w:rPr>
        <w:t xml:space="preserve"> engaged building contractors to complete the house. The contractors were confronted by certain persons who claimed ownership of the unit. A deeds search was done and it revealed that the unit had been transferred to the first respondent (Khan).</w:t>
      </w:r>
    </w:p>
    <w:p w:rsidR="002F7DC9" w:rsidRPr="008C7C27" w:rsidRDefault="00CD08DF"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The second applicant (Russell) bought share number 5 from the first respondent. He also entered into a building contract with the second respondent. The third </w:t>
      </w:r>
      <w:proofErr w:type="gramStart"/>
      <w:r w:rsidRPr="008C7C27">
        <w:rPr>
          <w:rFonts w:ascii="Times New Roman" w:hAnsi="Times New Roman" w:cs="Times New Roman"/>
          <w:sz w:val="24"/>
          <w:szCs w:val="24"/>
        </w:rPr>
        <w:t>applicant  (</w:t>
      </w:r>
      <w:proofErr w:type="spellStart"/>
      <w:proofErr w:type="gramEnd"/>
      <w:r w:rsidRPr="008C7C27">
        <w:rPr>
          <w:rFonts w:ascii="Times New Roman" w:hAnsi="Times New Roman" w:cs="Times New Roman"/>
          <w:sz w:val="24"/>
          <w:szCs w:val="24"/>
        </w:rPr>
        <w:t>Fairclot</w:t>
      </w:r>
      <w:proofErr w:type="spellEnd"/>
      <w:r w:rsidRPr="008C7C27">
        <w:rPr>
          <w:rFonts w:ascii="Times New Roman" w:hAnsi="Times New Roman" w:cs="Times New Roman"/>
          <w:sz w:val="24"/>
          <w:szCs w:val="24"/>
        </w:rPr>
        <w:t xml:space="preserve">) bought shares number 6 and 12 from the first respondent. It also entered into a building contract with the second respondent. A dispute </w:t>
      </w:r>
      <w:r w:rsidR="002F7DC9" w:rsidRPr="008C7C27">
        <w:rPr>
          <w:rFonts w:ascii="Times New Roman" w:hAnsi="Times New Roman" w:cs="Times New Roman"/>
          <w:sz w:val="24"/>
          <w:szCs w:val="24"/>
        </w:rPr>
        <w:t xml:space="preserve">arose between the parties and was referred to arbitration. On 23 October 2008, Russell obtained an interim order to the effect that pending the finalisation of his matter and that of </w:t>
      </w:r>
      <w:proofErr w:type="spellStart"/>
      <w:r w:rsidR="002F7DC9" w:rsidRPr="008C7C27">
        <w:rPr>
          <w:rFonts w:ascii="Times New Roman" w:hAnsi="Times New Roman" w:cs="Times New Roman"/>
          <w:sz w:val="24"/>
          <w:szCs w:val="24"/>
        </w:rPr>
        <w:t>Fairclot</w:t>
      </w:r>
      <w:proofErr w:type="spellEnd"/>
      <w:r w:rsidR="002F7DC9" w:rsidRPr="008C7C27">
        <w:rPr>
          <w:rFonts w:ascii="Times New Roman" w:hAnsi="Times New Roman" w:cs="Times New Roman"/>
          <w:sz w:val="24"/>
          <w:szCs w:val="24"/>
        </w:rPr>
        <w:t xml:space="preserve">, the first and second respondent were interdicted from selling, disposing of or transferring in whole or in part by way of share transfer or any one method the property in issue which is the remaining extent of lot 3 </w:t>
      </w:r>
      <w:proofErr w:type="spellStart"/>
      <w:r w:rsidR="002F7DC9" w:rsidRPr="008C7C27">
        <w:rPr>
          <w:rFonts w:ascii="Times New Roman" w:hAnsi="Times New Roman" w:cs="Times New Roman"/>
          <w:sz w:val="24"/>
          <w:szCs w:val="24"/>
        </w:rPr>
        <w:t>Lewisam</w:t>
      </w:r>
      <w:proofErr w:type="spellEnd"/>
      <w:r w:rsidR="002F7DC9" w:rsidRPr="008C7C27">
        <w:rPr>
          <w:rFonts w:ascii="Times New Roman" w:hAnsi="Times New Roman" w:cs="Times New Roman"/>
          <w:sz w:val="24"/>
          <w:szCs w:val="24"/>
        </w:rPr>
        <w:t xml:space="preserve"> of Lot E of </w:t>
      </w:r>
      <w:proofErr w:type="spellStart"/>
      <w:r w:rsidR="002F7DC9" w:rsidRPr="008C7C27">
        <w:rPr>
          <w:rFonts w:ascii="Times New Roman" w:hAnsi="Times New Roman" w:cs="Times New Roman"/>
          <w:sz w:val="24"/>
          <w:szCs w:val="24"/>
        </w:rPr>
        <w:t>Colne</w:t>
      </w:r>
      <w:proofErr w:type="spellEnd"/>
      <w:r w:rsidR="002F7DC9" w:rsidRPr="008C7C27">
        <w:rPr>
          <w:rFonts w:ascii="Times New Roman" w:hAnsi="Times New Roman" w:cs="Times New Roman"/>
          <w:sz w:val="24"/>
          <w:szCs w:val="24"/>
        </w:rPr>
        <w:t xml:space="preserve"> Valley of </w:t>
      </w:r>
      <w:proofErr w:type="spellStart"/>
      <w:r w:rsidR="002F7DC9" w:rsidRPr="008C7C27">
        <w:rPr>
          <w:rFonts w:ascii="Times New Roman" w:hAnsi="Times New Roman" w:cs="Times New Roman"/>
          <w:sz w:val="24"/>
          <w:szCs w:val="24"/>
        </w:rPr>
        <w:t>Rietfontein</w:t>
      </w:r>
      <w:proofErr w:type="spellEnd"/>
      <w:r w:rsidR="002F7DC9" w:rsidRPr="008C7C27">
        <w:rPr>
          <w:rFonts w:ascii="Times New Roman" w:hAnsi="Times New Roman" w:cs="Times New Roman"/>
          <w:sz w:val="24"/>
          <w:szCs w:val="24"/>
        </w:rPr>
        <w:t xml:space="preserve"> situate in the district of Salisbury and measuring 26638 hectares. It was also ordered that the copy of the award be served on the Registrar of Deeds, Registrar of Companies and Messrs </w:t>
      </w:r>
      <w:proofErr w:type="spellStart"/>
      <w:r w:rsidR="002F7DC9" w:rsidRPr="008C7C27">
        <w:rPr>
          <w:rFonts w:ascii="Times New Roman" w:hAnsi="Times New Roman" w:cs="Times New Roman"/>
          <w:sz w:val="24"/>
          <w:szCs w:val="24"/>
        </w:rPr>
        <w:t>Enerst</w:t>
      </w:r>
      <w:proofErr w:type="spellEnd"/>
      <w:r w:rsidR="002F7DC9" w:rsidRPr="008C7C27">
        <w:rPr>
          <w:rFonts w:ascii="Times New Roman" w:hAnsi="Times New Roman" w:cs="Times New Roman"/>
          <w:sz w:val="24"/>
          <w:szCs w:val="24"/>
        </w:rPr>
        <w:t xml:space="preserve"> &amp; Young. The order was served on the Registrar of Dees on 23 October 2008.</w:t>
      </w:r>
    </w:p>
    <w:p w:rsidR="00CA6776" w:rsidRPr="008C7C27" w:rsidRDefault="002F7DC9"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The dispute was finally resolved by an award in favour of Russel</w:t>
      </w:r>
      <w:r w:rsidR="00C4021E" w:rsidRPr="008C7C27">
        <w:rPr>
          <w:rFonts w:ascii="Times New Roman" w:hAnsi="Times New Roman" w:cs="Times New Roman"/>
          <w:sz w:val="24"/>
          <w:szCs w:val="24"/>
        </w:rPr>
        <w:t>l</w:t>
      </w:r>
      <w:r w:rsidRPr="008C7C27">
        <w:rPr>
          <w:rFonts w:ascii="Times New Roman" w:hAnsi="Times New Roman" w:cs="Times New Roman"/>
          <w:sz w:val="24"/>
          <w:szCs w:val="24"/>
        </w:rPr>
        <w:t xml:space="preserve"> and </w:t>
      </w:r>
      <w:proofErr w:type="spellStart"/>
      <w:r w:rsidRPr="008C7C27">
        <w:rPr>
          <w:rFonts w:ascii="Times New Roman" w:hAnsi="Times New Roman" w:cs="Times New Roman"/>
          <w:sz w:val="24"/>
          <w:szCs w:val="24"/>
        </w:rPr>
        <w:t>Fairclot</w:t>
      </w:r>
      <w:proofErr w:type="spellEnd"/>
      <w:r w:rsidRPr="008C7C27">
        <w:rPr>
          <w:rFonts w:ascii="Times New Roman" w:hAnsi="Times New Roman" w:cs="Times New Roman"/>
          <w:sz w:val="24"/>
          <w:szCs w:val="24"/>
        </w:rPr>
        <w:t>. This award was registered</w:t>
      </w:r>
      <w:r w:rsidR="00C4021E" w:rsidRPr="008C7C27">
        <w:rPr>
          <w:rFonts w:ascii="Times New Roman" w:hAnsi="Times New Roman" w:cs="Times New Roman"/>
          <w:sz w:val="24"/>
          <w:szCs w:val="24"/>
        </w:rPr>
        <w:t xml:space="preserve"> with this court on 21 May 2009.</w:t>
      </w:r>
      <w:r w:rsidR="00CA6776" w:rsidRPr="008C7C27">
        <w:rPr>
          <w:rFonts w:ascii="Times New Roman" w:hAnsi="Times New Roman" w:cs="Times New Roman"/>
          <w:sz w:val="24"/>
          <w:szCs w:val="24"/>
        </w:rPr>
        <w:t xml:space="preserve"> The order provided </w:t>
      </w:r>
      <w:r w:rsidR="00CA6776" w:rsidRPr="008C7C27">
        <w:rPr>
          <w:rFonts w:ascii="Times New Roman" w:hAnsi="Times New Roman" w:cs="Times New Roman"/>
          <w:i/>
          <w:sz w:val="24"/>
          <w:szCs w:val="24"/>
        </w:rPr>
        <w:t>inter alia</w:t>
      </w:r>
      <w:r w:rsidR="00CA6776" w:rsidRPr="008C7C27">
        <w:rPr>
          <w:rFonts w:ascii="Times New Roman" w:hAnsi="Times New Roman" w:cs="Times New Roman"/>
          <w:sz w:val="24"/>
          <w:szCs w:val="24"/>
        </w:rPr>
        <w:t xml:space="preserve">, for the issue to Russell of share number 5 of </w:t>
      </w:r>
      <w:proofErr w:type="spellStart"/>
      <w:r w:rsidR="00CA6776" w:rsidRPr="008C7C27">
        <w:rPr>
          <w:rFonts w:ascii="Times New Roman" w:hAnsi="Times New Roman" w:cs="Times New Roman"/>
          <w:sz w:val="24"/>
          <w:szCs w:val="24"/>
        </w:rPr>
        <w:t>Cheni</w:t>
      </w:r>
      <w:proofErr w:type="spellEnd"/>
      <w:r w:rsidR="00CA6776" w:rsidRPr="008C7C27">
        <w:rPr>
          <w:rFonts w:ascii="Times New Roman" w:hAnsi="Times New Roman" w:cs="Times New Roman"/>
          <w:sz w:val="24"/>
          <w:szCs w:val="24"/>
        </w:rPr>
        <w:t xml:space="preserve"> Estates (Pvt) Ltd giving Russell right of ownership of unit 5. It also ordered the issue of share number 4 and 12 of </w:t>
      </w:r>
      <w:proofErr w:type="spellStart"/>
      <w:r w:rsidR="00CA6776" w:rsidRPr="008C7C27">
        <w:rPr>
          <w:rFonts w:ascii="Times New Roman" w:hAnsi="Times New Roman" w:cs="Times New Roman"/>
          <w:sz w:val="24"/>
          <w:szCs w:val="24"/>
        </w:rPr>
        <w:t>Cheni</w:t>
      </w:r>
      <w:proofErr w:type="spellEnd"/>
      <w:r w:rsidR="00CA6776" w:rsidRPr="008C7C27">
        <w:rPr>
          <w:rFonts w:ascii="Times New Roman" w:hAnsi="Times New Roman" w:cs="Times New Roman"/>
          <w:sz w:val="24"/>
          <w:szCs w:val="24"/>
        </w:rPr>
        <w:t xml:space="preserve"> Investments (Pvt) Ltd to </w:t>
      </w:r>
      <w:proofErr w:type="spellStart"/>
      <w:r w:rsidR="00CA6776" w:rsidRPr="008C7C27">
        <w:rPr>
          <w:rFonts w:ascii="Times New Roman" w:hAnsi="Times New Roman" w:cs="Times New Roman"/>
          <w:sz w:val="24"/>
          <w:szCs w:val="24"/>
        </w:rPr>
        <w:t>Fairclot</w:t>
      </w:r>
      <w:proofErr w:type="spellEnd"/>
      <w:r w:rsidR="00CA6776" w:rsidRPr="008C7C27">
        <w:rPr>
          <w:rFonts w:ascii="Times New Roman" w:hAnsi="Times New Roman" w:cs="Times New Roman"/>
          <w:sz w:val="24"/>
          <w:szCs w:val="24"/>
        </w:rPr>
        <w:t xml:space="preserve"> giving it the right of ownership over unit 4 and 12. It further ordered the Deputy Sheriff to give effect to the order by signing necessary documents to </w:t>
      </w:r>
      <w:proofErr w:type="gramStart"/>
      <w:r w:rsidR="00CA6776" w:rsidRPr="008C7C27">
        <w:rPr>
          <w:rFonts w:ascii="Times New Roman" w:hAnsi="Times New Roman" w:cs="Times New Roman"/>
          <w:sz w:val="24"/>
          <w:szCs w:val="24"/>
        </w:rPr>
        <w:t>effect</w:t>
      </w:r>
      <w:proofErr w:type="gramEnd"/>
      <w:r w:rsidR="00CA6776" w:rsidRPr="008C7C27">
        <w:rPr>
          <w:rFonts w:ascii="Times New Roman" w:hAnsi="Times New Roman" w:cs="Times New Roman"/>
          <w:sz w:val="24"/>
          <w:szCs w:val="24"/>
        </w:rPr>
        <w:t xml:space="preserve"> transfer to Russell and </w:t>
      </w:r>
      <w:proofErr w:type="spellStart"/>
      <w:r w:rsidR="00CA6776" w:rsidRPr="008C7C27">
        <w:rPr>
          <w:rFonts w:ascii="Times New Roman" w:hAnsi="Times New Roman" w:cs="Times New Roman"/>
          <w:sz w:val="24"/>
          <w:szCs w:val="24"/>
        </w:rPr>
        <w:t>Fairclot</w:t>
      </w:r>
      <w:proofErr w:type="spellEnd"/>
      <w:r w:rsidR="00CA6776" w:rsidRPr="008C7C27">
        <w:rPr>
          <w:rFonts w:ascii="Times New Roman" w:hAnsi="Times New Roman" w:cs="Times New Roman"/>
          <w:sz w:val="24"/>
          <w:szCs w:val="24"/>
        </w:rPr>
        <w:t>.</w:t>
      </w:r>
    </w:p>
    <w:p w:rsidR="00CA6776" w:rsidRPr="008C7C27" w:rsidRDefault="00CA6776"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The fourth applicant (“John”) bought share number 3 from the first respondent and also entered into a building contract with the second respondent. The respondents failed to comply with their obligations in terms of the building contract. John took over the construction. Around June 2009, he discovered that the first respondent had transferred his unit to Khan. The applicants then filed the present proceedings seeking the setting aside of </w:t>
      </w:r>
      <w:r w:rsidRPr="008C7C27">
        <w:rPr>
          <w:rFonts w:ascii="Times New Roman" w:hAnsi="Times New Roman" w:cs="Times New Roman"/>
          <w:sz w:val="24"/>
          <w:szCs w:val="24"/>
        </w:rPr>
        <w:lastRenderedPageBreak/>
        <w:t>the transfer of their units to the third, fourth and fifth respondents and an order to have the units transferred into their names.</w:t>
      </w:r>
    </w:p>
    <w:p w:rsidR="00CA6776" w:rsidRPr="008C7C27" w:rsidRDefault="00CA6776"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The first and second respondents did not file heads of argument and they were automatically barred. They did not appear on the day of hearing.</w:t>
      </w:r>
    </w:p>
    <w:p w:rsidR="00992DF5" w:rsidRPr="008C7C27" w:rsidRDefault="00CA6776"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The applicants seek their orders based on three main grounds. First they contend that when transfer was </w:t>
      </w:r>
      <w:proofErr w:type="gramStart"/>
      <w:r w:rsidRPr="008C7C27">
        <w:rPr>
          <w:rFonts w:ascii="Times New Roman" w:hAnsi="Times New Roman" w:cs="Times New Roman"/>
          <w:sz w:val="24"/>
          <w:szCs w:val="24"/>
        </w:rPr>
        <w:t>effected</w:t>
      </w:r>
      <w:proofErr w:type="gramEnd"/>
      <w:r w:rsidRPr="008C7C27">
        <w:rPr>
          <w:rFonts w:ascii="Times New Roman" w:hAnsi="Times New Roman" w:cs="Times New Roman"/>
          <w:sz w:val="24"/>
          <w:szCs w:val="24"/>
        </w:rPr>
        <w:t xml:space="preserve">, </w:t>
      </w:r>
      <w:r w:rsidR="00992DF5" w:rsidRPr="008C7C27">
        <w:rPr>
          <w:rFonts w:ascii="Times New Roman" w:hAnsi="Times New Roman" w:cs="Times New Roman"/>
          <w:sz w:val="24"/>
          <w:szCs w:val="24"/>
        </w:rPr>
        <w:t xml:space="preserve">same proceeded in defiance of a judicial caveat placed against the property. Secondly, the property transferred was </w:t>
      </w:r>
      <w:r w:rsidR="00992DF5" w:rsidRPr="008C7C27">
        <w:rPr>
          <w:rFonts w:ascii="Times New Roman" w:hAnsi="Times New Roman" w:cs="Times New Roman"/>
          <w:i/>
          <w:sz w:val="24"/>
          <w:szCs w:val="24"/>
        </w:rPr>
        <w:t xml:space="preserve">res </w:t>
      </w:r>
      <w:proofErr w:type="spellStart"/>
      <w:r w:rsidR="00992DF5" w:rsidRPr="008C7C27">
        <w:rPr>
          <w:rFonts w:ascii="Times New Roman" w:hAnsi="Times New Roman" w:cs="Times New Roman"/>
          <w:i/>
          <w:sz w:val="24"/>
          <w:szCs w:val="24"/>
        </w:rPr>
        <w:t>litigiosa</w:t>
      </w:r>
      <w:proofErr w:type="spellEnd"/>
      <w:r w:rsidR="00992DF5" w:rsidRPr="008C7C27">
        <w:rPr>
          <w:rFonts w:ascii="Times New Roman" w:hAnsi="Times New Roman" w:cs="Times New Roman"/>
          <w:sz w:val="24"/>
          <w:szCs w:val="24"/>
        </w:rPr>
        <w:t xml:space="preserve"> and incapable of being alienated to the prejudice of the applicant. Thirdly they contend that the third, fourth and fifth respondents are not innocent third parties as they were or ought to have been aware of the dispute between the applicants and the first and second respondents.</w:t>
      </w:r>
    </w:p>
    <w:p w:rsidR="00992DF5" w:rsidRPr="008C7C27" w:rsidRDefault="00992DF5"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The third, fourth and fifth respondents contend that they were not part to the arbitration proceedings and could not have known of the arbitration award and could not be bound by it. They also contend that they are innocent purchasers who purchased their units for value.</w:t>
      </w:r>
    </w:p>
    <w:p w:rsidR="00992DF5" w:rsidRPr="008C7C27" w:rsidRDefault="00992DF5" w:rsidP="00F01721">
      <w:pPr>
        <w:spacing w:after="0" w:line="360" w:lineRule="auto"/>
        <w:jc w:val="both"/>
        <w:rPr>
          <w:rFonts w:ascii="Times New Roman" w:hAnsi="Times New Roman" w:cs="Times New Roman"/>
          <w:sz w:val="24"/>
          <w:szCs w:val="24"/>
        </w:rPr>
      </w:pPr>
      <w:r w:rsidRPr="008C7C27">
        <w:rPr>
          <w:rFonts w:ascii="Times New Roman" w:hAnsi="Times New Roman" w:cs="Times New Roman"/>
          <w:sz w:val="24"/>
          <w:szCs w:val="24"/>
        </w:rPr>
        <w:t>THE CAVEAT</w:t>
      </w:r>
    </w:p>
    <w:p w:rsidR="00992DF5" w:rsidRPr="008C7C27" w:rsidRDefault="00992DF5"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It is common </w:t>
      </w:r>
      <w:proofErr w:type="gramStart"/>
      <w:r w:rsidRPr="008C7C27">
        <w:rPr>
          <w:rFonts w:ascii="Times New Roman" w:hAnsi="Times New Roman" w:cs="Times New Roman"/>
          <w:sz w:val="24"/>
          <w:szCs w:val="24"/>
        </w:rPr>
        <w:t>cause</w:t>
      </w:r>
      <w:proofErr w:type="gramEnd"/>
      <w:r w:rsidRPr="008C7C27">
        <w:rPr>
          <w:rFonts w:ascii="Times New Roman" w:hAnsi="Times New Roman" w:cs="Times New Roman"/>
          <w:sz w:val="24"/>
          <w:szCs w:val="24"/>
        </w:rPr>
        <w:t xml:space="preserve"> that on 23 October 2008, the arbitrator, granted an interim arbitral award which </w:t>
      </w:r>
      <w:r w:rsidRPr="008C7C27">
        <w:rPr>
          <w:rFonts w:ascii="Times New Roman" w:hAnsi="Times New Roman" w:cs="Times New Roman"/>
          <w:i/>
          <w:sz w:val="24"/>
          <w:szCs w:val="24"/>
        </w:rPr>
        <w:t>inter alia</w:t>
      </w:r>
      <w:r w:rsidRPr="008C7C27">
        <w:rPr>
          <w:rFonts w:ascii="Times New Roman" w:hAnsi="Times New Roman" w:cs="Times New Roman"/>
          <w:sz w:val="24"/>
          <w:szCs w:val="24"/>
        </w:rPr>
        <w:t>, interdicted the transfer of the property and that the order be served on the Registrar of Deeds. The order was served on the same day.</w:t>
      </w:r>
      <w:r w:rsidR="00065AEF" w:rsidRPr="008C7C27">
        <w:rPr>
          <w:rFonts w:ascii="Times New Roman" w:hAnsi="Times New Roman" w:cs="Times New Roman"/>
          <w:sz w:val="24"/>
          <w:szCs w:val="24"/>
        </w:rPr>
        <w:t xml:space="preserve"> Although the award was made in respect of the second and third applicants, it barred the selling or disposing of the </w:t>
      </w:r>
      <w:r w:rsidR="00B812DE" w:rsidRPr="008C7C27">
        <w:rPr>
          <w:rFonts w:ascii="Times New Roman" w:hAnsi="Times New Roman" w:cs="Times New Roman"/>
          <w:sz w:val="24"/>
          <w:szCs w:val="24"/>
        </w:rPr>
        <w:t xml:space="preserve">whole property </w:t>
      </w:r>
      <w:r w:rsidR="00065AEF" w:rsidRPr="008C7C27">
        <w:rPr>
          <w:rFonts w:ascii="Times New Roman" w:hAnsi="Times New Roman" w:cs="Times New Roman"/>
          <w:sz w:val="24"/>
          <w:szCs w:val="24"/>
        </w:rPr>
        <w:t>which included the units of the other applicants.</w:t>
      </w:r>
    </w:p>
    <w:p w:rsidR="00065AEF" w:rsidRPr="008C7C27" w:rsidRDefault="00992DF5"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It was submitted on behalf of the applicants that the interim award constituted the caveat and is a judgment in</w:t>
      </w:r>
      <w:r w:rsidR="00C373A6" w:rsidRPr="008C7C27">
        <w:rPr>
          <w:rFonts w:ascii="Times New Roman" w:hAnsi="Times New Roman" w:cs="Times New Roman"/>
          <w:sz w:val="24"/>
          <w:szCs w:val="24"/>
        </w:rPr>
        <w:t xml:space="preserve"> </w:t>
      </w:r>
      <w:r w:rsidRPr="008C7C27">
        <w:rPr>
          <w:rFonts w:ascii="Times New Roman" w:hAnsi="Times New Roman" w:cs="Times New Roman"/>
          <w:i/>
          <w:sz w:val="24"/>
          <w:szCs w:val="24"/>
        </w:rPr>
        <w:t>rem</w:t>
      </w:r>
      <w:r w:rsidRPr="008C7C27">
        <w:rPr>
          <w:rFonts w:ascii="Times New Roman" w:hAnsi="Times New Roman" w:cs="Times New Roman"/>
          <w:sz w:val="24"/>
          <w:szCs w:val="24"/>
        </w:rPr>
        <w:t xml:space="preserve">. It stands on the same </w:t>
      </w:r>
      <w:r w:rsidR="00C373A6" w:rsidRPr="008C7C27">
        <w:rPr>
          <w:rFonts w:ascii="Times New Roman" w:hAnsi="Times New Roman" w:cs="Times New Roman"/>
          <w:sz w:val="24"/>
          <w:szCs w:val="24"/>
        </w:rPr>
        <w:t>footing as an order of court and it must be obeyed unless it is set aside. The arbitral award took effect upon its grant</w:t>
      </w:r>
      <w:r w:rsidR="00065AEF" w:rsidRPr="008C7C27">
        <w:rPr>
          <w:rFonts w:ascii="Times New Roman" w:hAnsi="Times New Roman" w:cs="Times New Roman"/>
          <w:sz w:val="24"/>
          <w:szCs w:val="24"/>
        </w:rPr>
        <w:t>.</w:t>
      </w:r>
    </w:p>
    <w:p w:rsidR="00FE35EA" w:rsidRPr="008C7C27" w:rsidRDefault="00C373A6"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It was submitted on behalf of the third, fourth and fifth respondents that an award, standing on its own does not have the force of a judicial order. It has to be registered with the </w:t>
      </w:r>
      <w:r w:rsidR="005E4A1B" w:rsidRPr="008C7C27">
        <w:rPr>
          <w:rFonts w:ascii="Times New Roman" w:hAnsi="Times New Roman" w:cs="Times New Roman"/>
          <w:sz w:val="24"/>
          <w:szCs w:val="24"/>
        </w:rPr>
        <w:t>appropriate court</w:t>
      </w:r>
      <w:r w:rsidRPr="008C7C27">
        <w:rPr>
          <w:rFonts w:ascii="Times New Roman" w:hAnsi="Times New Roman" w:cs="Times New Roman"/>
          <w:sz w:val="24"/>
          <w:szCs w:val="24"/>
        </w:rPr>
        <w:t xml:space="preserve"> for purposes of execution. If the court were to find that the caveat was in the form of the award, then the fraud or negligence on the part of the Registrar of Deeds cannot be attributed to the respondents.</w:t>
      </w:r>
      <w:r w:rsidR="005E4A1B" w:rsidRPr="008C7C27">
        <w:rPr>
          <w:rFonts w:ascii="Times New Roman" w:hAnsi="Times New Roman" w:cs="Times New Roman"/>
          <w:sz w:val="24"/>
          <w:szCs w:val="24"/>
        </w:rPr>
        <w:t xml:space="preserve"> </w:t>
      </w:r>
      <w:r w:rsidR="00FE35EA" w:rsidRPr="008C7C27">
        <w:rPr>
          <w:rFonts w:ascii="Times New Roman" w:hAnsi="Times New Roman" w:cs="Times New Roman"/>
          <w:sz w:val="24"/>
          <w:szCs w:val="24"/>
        </w:rPr>
        <w:t>The balance of convenience favoured that the application be dismissed as the respondents purchased the properties for value. The applicants have not established a basis for averring that the respondents had knowledge of the sale from the first and second respondents to them.</w:t>
      </w:r>
    </w:p>
    <w:p w:rsidR="00FE35EA" w:rsidRPr="008C7C27" w:rsidRDefault="00FE35EA"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In terms of Article 17 of the schedule to the Arbitration Act [</w:t>
      </w:r>
      <w:r w:rsidRPr="008C7C27">
        <w:rPr>
          <w:rFonts w:ascii="Times New Roman" w:hAnsi="Times New Roman" w:cs="Times New Roman"/>
          <w:i/>
          <w:sz w:val="24"/>
          <w:szCs w:val="24"/>
        </w:rPr>
        <w:t xml:space="preserve">Cap </w:t>
      </w:r>
      <w:r w:rsidR="00CC74B5" w:rsidRPr="008C7C27">
        <w:rPr>
          <w:rFonts w:ascii="Times New Roman" w:hAnsi="Times New Roman" w:cs="Times New Roman"/>
          <w:i/>
          <w:sz w:val="24"/>
          <w:szCs w:val="24"/>
        </w:rPr>
        <w:t>7</w:t>
      </w:r>
      <w:r w:rsidR="00CC74B5" w:rsidRPr="008C7C27">
        <w:rPr>
          <w:rFonts w:ascii="Times New Roman" w:hAnsi="Times New Roman" w:cs="Times New Roman"/>
          <w:sz w:val="24"/>
          <w:szCs w:val="24"/>
        </w:rPr>
        <w:t>:</w:t>
      </w:r>
      <w:r w:rsidR="00CC74B5" w:rsidRPr="008C7C27">
        <w:rPr>
          <w:rFonts w:ascii="Times New Roman" w:hAnsi="Times New Roman" w:cs="Times New Roman"/>
          <w:i/>
          <w:sz w:val="24"/>
          <w:szCs w:val="24"/>
        </w:rPr>
        <w:t>03</w:t>
      </w:r>
      <w:r w:rsidRPr="008C7C27">
        <w:rPr>
          <w:rFonts w:ascii="Times New Roman" w:hAnsi="Times New Roman" w:cs="Times New Roman"/>
          <w:sz w:val="24"/>
          <w:szCs w:val="24"/>
        </w:rPr>
        <w:t xml:space="preserve">] an arbitrator has power to order interim measures which, </w:t>
      </w:r>
      <w:r w:rsidRPr="008C7C27">
        <w:rPr>
          <w:rFonts w:ascii="Times New Roman" w:hAnsi="Times New Roman" w:cs="Times New Roman"/>
          <w:i/>
          <w:sz w:val="24"/>
          <w:szCs w:val="24"/>
        </w:rPr>
        <w:t>inter alia</w:t>
      </w:r>
      <w:r w:rsidRPr="008C7C27">
        <w:rPr>
          <w:rFonts w:ascii="Times New Roman" w:hAnsi="Times New Roman" w:cs="Times New Roman"/>
          <w:sz w:val="24"/>
          <w:szCs w:val="24"/>
        </w:rPr>
        <w:t xml:space="preserve"> include an interdict. In terms of Article </w:t>
      </w:r>
      <w:r w:rsidRPr="008C7C27">
        <w:rPr>
          <w:rFonts w:ascii="Times New Roman" w:hAnsi="Times New Roman" w:cs="Times New Roman"/>
          <w:sz w:val="24"/>
          <w:szCs w:val="24"/>
        </w:rPr>
        <w:lastRenderedPageBreak/>
        <w:t>35 an arbitral award shall be recognised as binding and upon application in writing to the High Court shall be enforced.</w:t>
      </w:r>
    </w:p>
    <w:p w:rsidR="00E404CD" w:rsidRPr="008C7C27" w:rsidRDefault="00FE35EA"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Article 35 brings out two distinctive features of an arbitral award. The first one is its binding nature and the second one its enforceability. I agree with the submissions made on behalf of the applicants that an award takes effect upon its grant. Its execution has no effect on whether it is binding or not. A party</w:t>
      </w:r>
      <w:r w:rsidR="00E404CD" w:rsidRPr="008C7C27">
        <w:rPr>
          <w:rFonts w:ascii="Times New Roman" w:hAnsi="Times New Roman" w:cs="Times New Roman"/>
          <w:sz w:val="24"/>
          <w:szCs w:val="24"/>
        </w:rPr>
        <w:t xml:space="preserve"> can chose to obey an award such that there would not be need for the award to be registered. Registration allows for execution. The respondents cannot therefore succeed in their argument that when registration of transfer was </w:t>
      </w:r>
      <w:proofErr w:type="gramStart"/>
      <w:r w:rsidR="00E404CD" w:rsidRPr="008C7C27">
        <w:rPr>
          <w:rFonts w:ascii="Times New Roman" w:hAnsi="Times New Roman" w:cs="Times New Roman"/>
          <w:sz w:val="24"/>
          <w:szCs w:val="24"/>
        </w:rPr>
        <w:t>effected</w:t>
      </w:r>
      <w:proofErr w:type="gramEnd"/>
      <w:r w:rsidR="00E404CD" w:rsidRPr="008C7C27">
        <w:rPr>
          <w:rFonts w:ascii="Times New Roman" w:hAnsi="Times New Roman" w:cs="Times New Roman"/>
          <w:sz w:val="24"/>
          <w:szCs w:val="24"/>
        </w:rPr>
        <w:t xml:space="preserve"> to them, the award had not yet been registered with the High Court.</w:t>
      </w:r>
    </w:p>
    <w:p w:rsidR="00E404CD" w:rsidRPr="008C7C27" w:rsidRDefault="00E404CD"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It is common cause that the award was served on the Registrar of Deeds. What is not clear is whether it was endorsed on the title deeds. The respondents argue that the negligence or fraud on the part of the Registrar of Deeds in registering the transfers when the caveat was in </w:t>
      </w:r>
      <w:proofErr w:type="gramStart"/>
      <w:r w:rsidRPr="008C7C27">
        <w:rPr>
          <w:rFonts w:ascii="Times New Roman" w:hAnsi="Times New Roman" w:cs="Times New Roman"/>
          <w:sz w:val="24"/>
          <w:szCs w:val="24"/>
        </w:rPr>
        <w:t>place,</w:t>
      </w:r>
      <w:proofErr w:type="gramEnd"/>
      <w:r w:rsidRPr="008C7C27">
        <w:rPr>
          <w:rFonts w:ascii="Times New Roman" w:hAnsi="Times New Roman" w:cs="Times New Roman"/>
          <w:sz w:val="24"/>
          <w:szCs w:val="24"/>
        </w:rPr>
        <w:t xml:space="preserve"> cannot be attributed to them.</w:t>
      </w:r>
    </w:p>
    <w:p w:rsidR="00FE35EA" w:rsidRPr="008C7C27" w:rsidRDefault="00E404CD"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A case which is almost on all fours with the present matter is that of </w:t>
      </w:r>
      <w:proofErr w:type="spellStart"/>
      <w:r w:rsidRPr="008C7C27">
        <w:rPr>
          <w:rFonts w:ascii="Times New Roman" w:hAnsi="Times New Roman" w:cs="Times New Roman"/>
          <w:i/>
          <w:sz w:val="24"/>
          <w:szCs w:val="24"/>
        </w:rPr>
        <w:t>Mwayipaida</w:t>
      </w:r>
      <w:proofErr w:type="spellEnd"/>
      <w:r w:rsidRPr="008C7C27">
        <w:rPr>
          <w:rFonts w:ascii="Times New Roman" w:hAnsi="Times New Roman" w:cs="Times New Roman"/>
          <w:i/>
          <w:sz w:val="24"/>
          <w:szCs w:val="24"/>
        </w:rPr>
        <w:t xml:space="preserve"> Family Trust</w:t>
      </w:r>
      <w:r w:rsidRPr="008C7C27">
        <w:rPr>
          <w:rFonts w:ascii="Times New Roman" w:hAnsi="Times New Roman" w:cs="Times New Roman"/>
          <w:sz w:val="24"/>
          <w:szCs w:val="24"/>
        </w:rPr>
        <w:t xml:space="preserve"> v</w:t>
      </w:r>
      <w:r w:rsidRPr="008C7C27">
        <w:rPr>
          <w:rFonts w:ascii="Times New Roman" w:hAnsi="Times New Roman" w:cs="Times New Roman"/>
          <w:i/>
          <w:sz w:val="24"/>
          <w:szCs w:val="24"/>
        </w:rPr>
        <w:t xml:space="preserve"> </w:t>
      </w:r>
      <w:proofErr w:type="spellStart"/>
      <w:r w:rsidRPr="008C7C27">
        <w:rPr>
          <w:rFonts w:ascii="Times New Roman" w:hAnsi="Times New Roman" w:cs="Times New Roman"/>
          <w:i/>
          <w:sz w:val="24"/>
          <w:szCs w:val="24"/>
        </w:rPr>
        <w:t>Madoroba</w:t>
      </w:r>
      <w:proofErr w:type="spellEnd"/>
      <w:r w:rsidRPr="008C7C27">
        <w:rPr>
          <w:rFonts w:ascii="Times New Roman" w:hAnsi="Times New Roman" w:cs="Times New Roman"/>
          <w:i/>
          <w:sz w:val="24"/>
          <w:szCs w:val="24"/>
        </w:rPr>
        <w:t xml:space="preserve"> &amp; </w:t>
      </w:r>
      <w:proofErr w:type="spellStart"/>
      <w:r w:rsidRPr="008C7C27">
        <w:rPr>
          <w:rFonts w:ascii="Times New Roman" w:hAnsi="Times New Roman" w:cs="Times New Roman"/>
          <w:i/>
          <w:sz w:val="24"/>
          <w:szCs w:val="24"/>
        </w:rPr>
        <w:t>Ors</w:t>
      </w:r>
      <w:proofErr w:type="spellEnd"/>
      <w:r w:rsidRPr="008C7C27">
        <w:rPr>
          <w:rFonts w:ascii="Times New Roman" w:hAnsi="Times New Roman" w:cs="Times New Roman"/>
          <w:sz w:val="24"/>
          <w:szCs w:val="24"/>
        </w:rPr>
        <w:t xml:space="preserve"> 2004 (1) ZLR 439 (S). The brief facts of the matter were that the appellant was an innocent second purchaser of an immovable property. The first purchaser had obtained an interdict against the seller, restraining her from transferring the property to anyone else. He served a copy of the order on the Registrar of Deeds who was instructed to</w:t>
      </w:r>
      <w:r w:rsidR="00FE35EA" w:rsidRPr="008C7C27">
        <w:rPr>
          <w:rFonts w:ascii="Times New Roman" w:hAnsi="Times New Roman" w:cs="Times New Roman"/>
          <w:sz w:val="24"/>
          <w:szCs w:val="24"/>
        </w:rPr>
        <w:t xml:space="preserve"> </w:t>
      </w:r>
      <w:r w:rsidR="00926807" w:rsidRPr="008C7C27">
        <w:rPr>
          <w:rFonts w:ascii="Times New Roman" w:hAnsi="Times New Roman" w:cs="Times New Roman"/>
          <w:sz w:val="24"/>
          <w:szCs w:val="24"/>
        </w:rPr>
        <w:t>endorse a caveat upon the deeds of the property. The Registrar failed to do so. A search of the register revealing no caveat, the property was transferred to the appellant. The aggrieved first purchaser obtained a High Court order setting aside the transfer with costs.</w:t>
      </w:r>
    </w:p>
    <w:p w:rsidR="00926807" w:rsidRPr="008C7C27" w:rsidRDefault="00926807"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On appeal it was held that the circumstances of the case placed is somewhere in between the two extremes (the traditional approach to double sales) because, even though the appellant was ignorant of the respondent’s prior claim to the property at the time transfer into its name was effected, such ignorance was due solely to the oversight or incompetence of a public official. It would not be fair and just to rule that the failure by the Deeds office to register the caveat had the effect of nullifying the respondent’s prior claim to the property.</w:t>
      </w:r>
    </w:p>
    <w:p w:rsidR="005E4A1B" w:rsidRPr="008C7C27" w:rsidRDefault="00926807"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The same can be said in the present matter. The negligence or incompetence of the Deeds Office by failing to register the caveat resulted in the property in issue being transferred to the respondents. I agree entirely with the </w:t>
      </w:r>
      <w:r w:rsidR="005E4A1B" w:rsidRPr="008C7C27">
        <w:rPr>
          <w:rFonts w:ascii="Times New Roman" w:hAnsi="Times New Roman" w:cs="Times New Roman"/>
          <w:sz w:val="24"/>
          <w:szCs w:val="24"/>
        </w:rPr>
        <w:t>findings</w:t>
      </w:r>
      <w:r w:rsidRPr="008C7C27">
        <w:rPr>
          <w:rFonts w:ascii="Times New Roman" w:hAnsi="Times New Roman" w:cs="Times New Roman"/>
          <w:sz w:val="24"/>
          <w:szCs w:val="24"/>
        </w:rPr>
        <w:t xml:space="preserve"> expressed</w:t>
      </w:r>
      <w:r w:rsidR="005E4A1B" w:rsidRPr="008C7C27">
        <w:rPr>
          <w:rFonts w:ascii="Times New Roman" w:hAnsi="Times New Roman" w:cs="Times New Roman"/>
          <w:sz w:val="24"/>
          <w:szCs w:val="24"/>
        </w:rPr>
        <w:t xml:space="preserve"> in</w:t>
      </w:r>
      <w:r w:rsidRPr="008C7C27">
        <w:rPr>
          <w:rFonts w:ascii="Times New Roman" w:hAnsi="Times New Roman" w:cs="Times New Roman"/>
          <w:sz w:val="24"/>
          <w:szCs w:val="24"/>
        </w:rPr>
        <w:t xml:space="preserve"> </w:t>
      </w:r>
      <w:r w:rsidR="005E4A1B" w:rsidRPr="008C7C27">
        <w:rPr>
          <w:rFonts w:ascii="Times New Roman" w:hAnsi="Times New Roman" w:cs="Times New Roman"/>
          <w:sz w:val="24"/>
          <w:szCs w:val="24"/>
        </w:rPr>
        <w:t xml:space="preserve">the </w:t>
      </w:r>
      <w:proofErr w:type="spellStart"/>
      <w:r w:rsidR="005E4A1B" w:rsidRPr="008C7C27">
        <w:rPr>
          <w:rFonts w:ascii="Times New Roman" w:hAnsi="Times New Roman" w:cs="Times New Roman"/>
          <w:i/>
          <w:sz w:val="24"/>
          <w:szCs w:val="24"/>
        </w:rPr>
        <w:t>Mwayipaida</w:t>
      </w:r>
      <w:proofErr w:type="spellEnd"/>
      <w:r w:rsidR="005E4A1B" w:rsidRPr="008C7C27">
        <w:rPr>
          <w:rFonts w:ascii="Times New Roman" w:hAnsi="Times New Roman" w:cs="Times New Roman"/>
          <w:i/>
          <w:sz w:val="24"/>
          <w:szCs w:val="24"/>
        </w:rPr>
        <w:t xml:space="preserve"> Family Trust</w:t>
      </w:r>
      <w:r w:rsidR="005E4A1B" w:rsidRPr="008C7C27">
        <w:rPr>
          <w:rFonts w:ascii="Times New Roman" w:hAnsi="Times New Roman" w:cs="Times New Roman"/>
          <w:sz w:val="24"/>
          <w:szCs w:val="24"/>
        </w:rPr>
        <w:t xml:space="preserve"> case </w:t>
      </w:r>
      <w:r w:rsidR="005E4A1B" w:rsidRPr="008C7C27">
        <w:rPr>
          <w:rFonts w:ascii="Times New Roman" w:hAnsi="Times New Roman" w:cs="Times New Roman"/>
          <w:i/>
          <w:sz w:val="24"/>
          <w:szCs w:val="24"/>
        </w:rPr>
        <w:t>supra</w:t>
      </w:r>
      <w:r w:rsidRPr="008C7C27">
        <w:rPr>
          <w:rFonts w:ascii="Times New Roman" w:hAnsi="Times New Roman" w:cs="Times New Roman"/>
          <w:sz w:val="24"/>
          <w:szCs w:val="24"/>
        </w:rPr>
        <w:t xml:space="preserve"> that it would not be fair and just to rule that the failure by the Deeds Office to register the caveat had the effect of nullifying the applicants’ prior claim to the property.</w:t>
      </w:r>
    </w:p>
    <w:p w:rsidR="007D07EA" w:rsidRPr="008C7C27" w:rsidRDefault="007D07EA"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lastRenderedPageBreak/>
        <w:t xml:space="preserve"> The other point taken by the applicant is that the property in dispute was </w:t>
      </w:r>
      <w:r w:rsidRPr="008C7C27">
        <w:rPr>
          <w:rFonts w:ascii="Times New Roman" w:hAnsi="Times New Roman" w:cs="Times New Roman"/>
          <w:i/>
          <w:sz w:val="24"/>
          <w:szCs w:val="24"/>
        </w:rPr>
        <w:t xml:space="preserve">res </w:t>
      </w:r>
      <w:proofErr w:type="spellStart"/>
      <w:r w:rsidRPr="008C7C27">
        <w:rPr>
          <w:rFonts w:ascii="Times New Roman" w:hAnsi="Times New Roman" w:cs="Times New Roman"/>
          <w:i/>
          <w:sz w:val="24"/>
          <w:szCs w:val="24"/>
        </w:rPr>
        <w:t>litigiosa</w:t>
      </w:r>
      <w:proofErr w:type="spellEnd"/>
      <w:r w:rsidRPr="008C7C27">
        <w:rPr>
          <w:rFonts w:ascii="Times New Roman" w:hAnsi="Times New Roman" w:cs="Times New Roman"/>
          <w:sz w:val="24"/>
          <w:szCs w:val="24"/>
        </w:rPr>
        <w:t xml:space="preserve"> at the time it was sold and transfer effected.</w:t>
      </w:r>
    </w:p>
    <w:p w:rsidR="00926807" w:rsidRPr="008C7C27" w:rsidRDefault="007D07EA"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The question that exe</w:t>
      </w:r>
      <w:r w:rsidR="005E4A1B" w:rsidRPr="008C7C27">
        <w:rPr>
          <w:rFonts w:ascii="Times New Roman" w:hAnsi="Times New Roman" w:cs="Times New Roman"/>
          <w:sz w:val="24"/>
          <w:szCs w:val="24"/>
        </w:rPr>
        <w:t xml:space="preserve">rcised </w:t>
      </w:r>
      <w:r w:rsidRPr="008C7C27">
        <w:rPr>
          <w:rFonts w:ascii="Times New Roman" w:hAnsi="Times New Roman" w:cs="Times New Roman"/>
          <w:sz w:val="24"/>
          <w:szCs w:val="24"/>
        </w:rPr>
        <w:t xml:space="preserve">my mind is whether the principle of </w:t>
      </w:r>
      <w:r w:rsidRPr="008C7C27">
        <w:rPr>
          <w:rFonts w:ascii="Times New Roman" w:hAnsi="Times New Roman" w:cs="Times New Roman"/>
          <w:i/>
          <w:sz w:val="24"/>
          <w:szCs w:val="24"/>
        </w:rPr>
        <w:t xml:space="preserve">res </w:t>
      </w:r>
      <w:proofErr w:type="spellStart"/>
      <w:r w:rsidRPr="008C7C27">
        <w:rPr>
          <w:rFonts w:ascii="Times New Roman" w:hAnsi="Times New Roman" w:cs="Times New Roman"/>
          <w:i/>
          <w:sz w:val="24"/>
          <w:szCs w:val="24"/>
        </w:rPr>
        <w:t>litigiosa</w:t>
      </w:r>
      <w:proofErr w:type="spellEnd"/>
      <w:r w:rsidRPr="008C7C27">
        <w:rPr>
          <w:rFonts w:ascii="Times New Roman" w:hAnsi="Times New Roman" w:cs="Times New Roman"/>
          <w:i/>
          <w:sz w:val="24"/>
          <w:szCs w:val="24"/>
        </w:rPr>
        <w:t xml:space="preserve"> can be extended to arbitration proceedings and if so at what stage does the subject matter become </w:t>
      </w:r>
      <w:r w:rsidRPr="008C7C27">
        <w:rPr>
          <w:rFonts w:ascii="Times New Roman" w:hAnsi="Times New Roman" w:cs="Times New Roman"/>
          <w:sz w:val="24"/>
          <w:szCs w:val="24"/>
        </w:rPr>
        <w:t xml:space="preserve">res </w:t>
      </w:r>
      <w:proofErr w:type="spellStart"/>
      <w:r w:rsidRPr="008C7C27">
        <w:rPr>
          <w:rFonts w:ascii="Times New Roman" w:hAnsi="Times New Roman" w:cs="Times New Roman"/>
          <w:sz w:val="24"/>
          <w:szCs w:val="24"/>
        </w:rPr>
        <w:t>litigiosa</w:t>
      </w:r>
      <w:proofErr w:type="spellEnd"/>
      <w:r w:rsidRPr="008C7C27">
        <w:rPr>
          <w:rFonts w:ascii="Times New Roman" w:hAnsi="Times New Roman" w:cs="Times New Roman"/>
          <w:sz w:val="24"/>
          <w:szCs w:val="24"/>
        </w:rPr>
        <w:t xml:space="preserve">. In action proceedings there are two schools of thought. One is that the subject matter of litigation becomes </w:t>
      </w:r>
      <w:r w:rsidRPr="008C7C27">
        <w:rPr>
          <w:rFonts w:ascii="Times New Roman" w:hAnsi="Times New Roman" w:cs="Times New Roman"/>
          <w:i/>
          <w:sz w:val="24"/>
          <w:szCs w:val="24"/>
        </w:rPr>
        <w:t xml:space="preserve">res </w:t>
      </w:r>
      <w:proofErr w:type="spellStart"/>
      <w:r w:rsidRPr="008C7C27">
        <w:rPr>
          <w:rFonts w:ascii="Times New Roman" w:hAnsi="Times New Roman" w:cs="Times New Roman"/>
          <w:i/>
          <w:sz w:val="24"/>
          <w:szCs w:val="24"/>
        </w:rPr>
        <w:t>litigiosa</w:t>
      </w:r>
      <w:proofErr w:type="spellEnd"/>
      <w:r w:rsidRPr="008C7C27">
        <w:rPr>
          <w:rFonts w:ascii="Times New Roman" w:hAnsi="Times New Roman" w:cs="Times New Roman"/>
          <w:sz w:val="24"/>
          <w:szCs w:val="24"/>
        </w:rPr>
        <w:t xml:space="preserve"> at </w:t>
      </w:r>
      <w:proofErr w:type="spellStart"/>
      <w:r w:rsidRPr="008C7C27">
        <w:rPr>
          <w:rFonts w:ascii="Times New Roman" w:hAnsi="Times New Roman" w:cs="Times New Roman"/>
          <w:i/>
          <w:sz w:val="24"/>
          <w:szCs w:val="24"/>
        </w:rPr>
        <w:t>litis</w:t>
      </w:r>
      <w:proofErr w:type="spellEnd"/>
      <w:r w:rsidRPr="008C7C27">
        <w:rPr>
          <w:rFonts w:ascii="Times New Roman" w:hAnsi="Times New Roman" w:cs="Times New Roman"/>
          <w:i/>
          <w:sz w:val="24"/>
          <w:szCs w:val="24"/>
        </w:rPr>
        <w:t xml:space="preserve"> </w:t>
      </w:r>
      <w:proofErr w:type="spellStart"/>
      <w:r w:rsidRPr="008C7C27">
        <w:rPr>
          <w:rFonts w:ascii="Times New Roman" w:hAnsi="Times New Roman" w:cs="Times New Roman"/>
          <w:i/>
          <w:sz w:val="24"/>
          <w:szCs w:val="24"/>
        </w:rPr>
        <w:t>contestatio</w:t>
      </w:r>
      <w:proofErr w:type="spellEnd"/>
      <w:r w:rsidRPr="008C7C27">
        <w:rPr>
          <w:rFonts w:ascii="Times New Roman" w:hAnsi="Times New Roman" w:cs="Times New Roman"/>
          <w:sz w:val="24"/>
          <w:szCs w:val="24"/>
        </w:rPr>
        <w:t xml:space="preserve"> and the other is that the subject matter becomes </w:t>
      </w:r>
      <w:r w:rsidRPr="008C7C27">
        <w:rPr>
          <w:rFonts w:ascii="Times New Roman" w:hAnsi="Times New Roman" w:cs="Times New Roman"/>
          <w:i/>
          <w:sz w:val="24"/>
          <w:szCs w:val="24"/>
        </w:rPr>
        <w:t xml:space="preserve">res </w:t>
      </w:r>
      <w:proofErr w:type="spellStart"/>
      <w:r w:rsidRPr="008C7C27">
        <w:rPr>
          <w:rFonts w:ascii="Times New Roman" w:hAnsi="Times New Roman" w:cs="Times New Roman"/>
          <w:i/>
          <w:sz w:val="24"/>
          <w:szCs w:val="24"/>
        </w:rPr>
        <w:t>litigosa</w:t>
      </w:r>
      <w:proofErr w:type="spellEnd"/>
      <w:r w:rsidRPr="008C7C27">
        <w:rPr>
          <w:rFonts w:ascii="Times New Roman" w:hAnsi="Times New Roman" w:cs="Times New Roman"/>
          <w:i/>
          <w:sz w:val="24"/>
          <w:szCs w:val="24"/>
        </w:rPr>
        <w:t xml:space="preserve"> </w:t>
      </w:r>
      <w:r w:rsidRPr="008C7C27">
        <w:rPr>
          <w:rFonts w:ascii="Times New Roman" w:hAnsi="Times New Roman" w:cs="Times New Roman"/>
          <w:sz w:val="24"/>
          <w:szCs w:val="24"/>
        </w:rPr>
        <w:t>from</w:t>
      </w:r>
      <w:r w:rsidR="00926807" w:rsidRPr="008C7C27">
        <w:rPr>
          <w:rFonts w:ascii="Times New Roman" w:hAnsi="Times New Roman" w:cs="Times New Roman"/>
          <w:sz w:val="24"/>
          <w:szCs w:val="24"/>
        </w:rPr>
        <w:t xml:space="preserve"> </w:t>
      </w:r>
      <w:r w:rsidRPr="008C7C27">
        <w:rPr>
          <w:rFonts w:ascii="Times New Roman" w:hAnsi="Times New Roman" w:cs="Times New Roman"/>
          <w:sz w:val="24"/>
          <w:szCs w:val="24"/>
        </w:rPr>
        <w:t xml:space="preserve">the time that the citation is issued and notice is given to the defendants. See </w:t>
      </w:r>
      <w:proofErr w:type="spellStart"/>
      <w:r w:rsidRPr="008C7C27">
        <w:rPr>
          <w:rFonts w:ascii="Times New Roman" w:hAnsi="Times New Roman" w:cs="Times New Roman"/>
          <w:i/>
          <w:sz w:val="24"/>
          <w:szCs w:val="24"/>
        </w:rPr>
        <w:t>Zimbank</w:t>
      </w:r>
      <w:proofErr w:type="spellEnd"/>
      <w:r w:rsidRPr="008C7C27">
        <w:rPr>
          <w:rFonts w:ascii="Times New Roman" w:hAnsi="Times New Roman" w:cs="Times New Roman"/>
          <w:i/>
          <w:sz w:val="24"/>
          <w:szCs w:val="24"/>
        </w:rPr>
        <w:t xml:space="preserve"> Ltd &amp; </w:t>
      </w:r>
      <w:proofErr w:type="spellStart"/>
      <w:r w:rsidRPr="008C7C27">
        <w:rPr>
          <w:rFonts w:ascii="Times New Roman" w:hAnsi="Times New Roman" w:cs="Times New Roman"/>
          <w:i/>
          <w:sz w:val="24"/>
          <w:szCs w:val="24"/>
        </w:rPr>
        <w:t>Anor</w:t>
      </w:r>
      <w:proofErr w:type="spellEnd"/>
      <w:r w:rsidRPr="008C7C27">
        <w:rPr>
          <w:rFonts w:ascii="Times New Roman" w:hAnsi="Times New Roman" w:cs="Times New Roman"/>
          <w:sz w:val="24"/>
          <w:szCs w:val="24"/>
        </w:rPr>
        <w:t xml:space="preserve"> v </w:t>
      </w:r>
      <w:r w:rsidRPr="008C7C27">
        <w:rPr>
          <w:rFonts w:ascii="Times New Roman" w:hAnsi="Times New Roman" w:cs="Times New Roman"/>
          <w:i/>
          <w:sz w:val="24"/>
          <w:szCs w:val="24"/>
        </w:rPr>
        <w:t>consolidated Pipe Fittings</w:t>
      </w:r>
      <w:r w:rsidRPr="008C7C27">
        <w:rPr>
          <w:rFonts w:ascii="Times New Roman" w:hAnsi="Times New Roman" w:cs="Times New Roman"/>
          <w:sz w:val="24"/>
          <w:szCs w:val="24"/>
        </w:rPr>
        <w:t xml:space="preserve"> (</w:t>
      </w:r>
      <w:r w:rsidRPr="008C7C27">
        <w:rPr>
          <w:rFonts w:ascii="Times New Roman" w:hAnsi="Times New Roman" w:cs="Times New Roman"/>
          <w:i/>
          <w:sz w:val="24"/>
          <w:szCs w:val="24"/>
        </w:rPr>
        <w:t>Pvt)</w:t>
      </w:r>
      <w:r w:rsidRPr="008C7C27">
        <w:rPr>
          <w:rFonts w:ascii="Times New Roman" w:hAnsi="Times New Roman" w:cs="Times New Roman"/>
          <w:sz w:val="24"/>
          <w:szCs w:val="24"/>
        </w:rPr>
        <w:t xml:space="preserve"> </w:t>
      </w:r>
      <w:r w:rsidRPr="008C7C27">
        <w:rPr>
          <w:rFonts w:ascii="Times New Roman" w:hAnsi="Times New Roman" w:cs="Times New Roman"/>
          <w:i/>
          <w:sz w:val="24"/>
          <w:szCs w:val="24"/>
        </w:rPr>
        <w:t xml:space="preserve">Ltd &amp; </w:t>
      </w:r>
      <w:proofErr w:type="spellStart"/>
      <w:r w:rsidRPr="008C7C27">
        <w:rPr>
          <w:rFonts w:ascii="Times New Roman" w:hAnsi="Times New Roman" w:cs="Times New Roman"/>
          <w:i/>
          <w:sz w:val="24"/>
          <w:szCs w:val="24"/>
        </w:rPr>
        <w:t>Anor</w:t>
      </w:r>
      <w:proofErr w:type="spellEnd"/>
      <w:r w:rsidRPr="008C7C27">
        <w:rPr>
          <w:rFonts w:ascii="Times New Roman" w:hAnsi="Times New Roman" w:cs="Times New Roman"/>
          <w:sz w:val="24"/>
          <w:szCs w:val="24"/>
        </w:rPr>
        <w:t xml:space="preserve"> 2000 (1) ZLR 672 (H) at 677 B – C.</w:t>
      </w:r>
    </w:p>
    <w:p w:rsidR="005E4A1B" w:rsidRPr="008C7C27" w:rsidRDefault="007D07EA"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The parties did not present argument regarding the stage at which a subject matter becomes </w:t>
      </w:r>
      <w:r w:rsidRPr="008C7C27">
        <w:rPr>
          <w:rFonts w:ascii="Times New Roman" w:hAnsi="Times New Roman" w:cs="Times New Roman"/>
          <w:i/>
          <w:sz w:val="24"/>
          <w:szCs w:val="24"/>
        </w:rPr>
        <w:t xml:space="preserve">res </w:t>
      </w:r>
      <w:proofErr w:type="spellStart"/>
      <w:r w:rsidRPr="008C7C27">
        <w:rPr>
          <w:rFonts w:ascii="Times New Roman" w:hAnsi="Times New Roman" w:cs="Times New Roman"/>
          <w:i/>
          <w:sz w:val="24"/>
          <w:szCs w:val="24"/>
        </w:rPr>
        <w:t>litigiosa</w:t>
      </w:r>
      <w:proofErr w:type="spellEnd"/>
      <w:r w:rsidRPr="008C7C27">
        <w:rPr>
          <w:rFonts w:ascii="Times New Roman" w:hAnsi="Times New Roman" w:cs="Times New Roman"/>
          <w:sz w:val="24"/>
          <w:szCs w:val="24"/>
        </w:rPr>
        <w:t xml:space="preserve"> in arbitration proceedings. I will therefore leave the issue open and not </w:t>
      </w:r>
      <w:r w:rsidR="001C6110" w:rsidRPr="008C7C27">
        <w:rPr>
          <w:rFonts w:ascii="Times New Roman" w:hAnsi="Times New Roman" w:cs="Times New Roman"/>
          <w:sz w:val="24"/>
          <w:szCs w:val="24"/>
        </w:rPr>
        <w:t xml:space="preserve">make a determination. However the applicant’s argued that there was an interim arbitral award at the time that the property was sold and transferred. The property was therefore </w:t>
      </w:r>
      <w:r w:rsidR="001C6110" w:rsidRPr="008C7C27">
        <w:rPr>
          <w:rFonts w:ascii="Times New Roman" w:hAnsi="Times New Roman" w:cs="Times New Roman"/>
          <w:i/>
          <w:sz w:val="24"/>
          <w:szCs w:val="24"/>
        </w:rPr>
        <w:t xml:space="preserve">res </w:t>
      </w:r>
      <w:proofErr w:type="spellStart"/>
      <w:r w:rsidR="001C6110" w:rsidRPr="008C7C27">
        <w:rPr>
          <w:rFonts w:ascii="Times New Roman" w:hAnsi="Times New Roman" w:cs="Times New Roman"/>
          <w:i/>
          <w:sz w:val="24"/>
          <w:szCs w:val="24"/>
        </w:rPr>
        <w:t>litigiosa</w:t>
      </w:r>
      <w:proofErr w:type="spellEnd"/>
      <w:r w:rsidR="001C6110" w:rsidRPr="008C7C27">
        <w:rPr>
          <w:rFonts w:ascii="Times New Roman" w:hAnsi="Times New Roman" w:cs="Times New Roman"/>
          <w:sz w:val="24"/>
          <w:szCs w:val="24"/>
        </w:rPr>
        <w:t>. I agree with the position taken by the applicant</w:t>
      </w:r>
      <w:r w:rsidR="005E4A1B" w:rsidRPr="008C7C27">
        <w:rPr>
          <w:rFonts w:ascii="Times New Roman" w:hAnsi="Times New Roman" w:cs="Times New Roman"/>
          <w:sz w:val="24"/>
          <w:szCs w:val="24"/>
        </w:rPr>
        <w:t>s</w:t>
      </w:r>
      <w:r w:rsidR="001C6110" w:rsidRPr="008C7C27">
        <w:rPr>
          <w:rFonts w:ascii="Times New Roman" w:hAnsi="Times New Roman" w:cs="Times New Roman"/>
          <w:sz w:val="24"/>
          <w:szCs w:val="24"/>
        </w:rPr>
        <w:t xml:space="preserve">. At the time the property was sold and transferred, there was an interim order bearing on how it was to be dealt with. The first and second respondents had no authority to deal with the property the manner they did. I can conclude that in the circumstances of this matter, </w:t>
      </w:r>
      <w:r w:rsidR="005E4A1B" w:rsidRPr="008C7C27">
        <w:rPr>
          <w:rFonts w:ascii="Times New Roman" w:hAnsi="Times New Roman" w:cs="Times New Roman"/>
          <w:sz w:val="24"/>
          <w:szCs w:val="24"/>
        </w:rPr>
        <w:t>must</w:t>
      </w:r>
      <w:r w:rsidR="001C6110" w:rsidRPr="008C7C27">
        <w:rPr>
          <w:rFonts w:ascii="Times New Roman" w:hAnsi="Times New Roman" w:cs="Times New Roman"/>
          <w:sz w:val="24"/>
          <w:szCs w:val="24"/>
        </w:rPr>
        <w:t xml:space="preserve"> </w:t>
      </w:r>
      <w:r w:rsidR="005E4A1B" w:rsidRPr="008C7C27">
        <w:rPr>
          <w:rFonts w:ascii="Times New Roman" w:hAnsi="Times New Roman" w:cs="Times New Roman"/>
          <w:sz w:val="24"/>
          <w:szCs w:val="24"/>
        </w:rPr>
        <w:t>t</w:t>
      </w:r>
      <w:r w:rsidR="001C6110" w:rsidRPr="008C7C27">
        <w:rPr>
          <w:rFonts w:ascii="Times New Roman" w:hAnsi="Times New Roman" w:cs="Times New Roman"/>
          <w:sz w:val="24"/>
          <w:szCs w:val="24"/>
        </w:rPr>
        <w:t xml:space="preserve">he property </w:t>
      </w:r>
      <w:r w:rsidR="001C6110" w:rsidRPr="008C7C27">
        <w:rPr>
          <w:rFonts w:ascii="Times New Roman" w:hAnsi="Times New Roman" w:cs="Times New Roman"/>
          <w:i/>
          <w:sz w:val="24"/>
          <w:szCs w:val="24"/>
        </w:rPr>
        <w:t xml:space="preserve">res </w:t>
      </w:r>
      <w:proofErr w:type="spellStart"/>
      <w:r w:rsidR="001C6110" w:rsidRPr="008C7C27">
        <w:rPr>
          <w:rFonts w:ascii="Times New Roman" w:hAnsi="Times New Roman" w:cs="Times New Roman"/>
          <w:i/>
          <w:sz w:val="24"/>
          <w:szCs w:val="24"/>
        </w:rPr>
        <w:t>litigiosa</w:t>
      </w:r>
      <w:proofErr w:type="spellEnd"/>
      <w:r w:rsidR="001C6110" w:rsidRPr="008C7C27">
        <w:rPr>
          <w:rFonts w:ascii="Times New Roman" w:hAnsi="Times New Roman" w:cs="Times New Roman"/>
          <w:sz w:val="24"/>
          <w:szCs w:val="24"/>
        </w:rPr>
        <w:t xml:space="preserve"> as there was an interim award barring the transfer of the property pending the determination of the dispute between the applicant and the first and second respondents.</w:t>
      </w:r>
    </w:p>
    <w:p w:rsidR="007D07EA" w:rsidRPr="008C7C27" w:rsidRDefault="001C6110"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 It is settled in our law that the fact that a thing is </w:t>
      </w:r>
      <w:r w:rsidRPr="008C7C27">
        <w:rPr>
          <w:rFonts w:ascii="Times New Roman" w:hAnsi="Times New Roman" w:cs="Times New Roman"/>
          <w:i/>
          <w:sz w:val="24"/>
          <w:szCs w:val="24"/>
        </w:rPr>
        <w:t xml:space="preserve">res </w:t>
      </w:r>
      <w:proofErr w:type="spellStart"/>
      <w:r w:rsidRPr="008C7C27">
        <w:rPr>
          <w:rFonts w:ascii="Times New Roman" w:hAnsi="Times New Roman" w:cs="Times New Roman"/>
          <w:i/>
          <w:sz w:val="24"/>
          <w:szCs w:val="24"/>
        </w:rPr>
        <w:t>litigiosa</w:t>
      </w:r>
      <w:proofErr w:type="spellEnd"/>
      <w:r w:rsidRPr="008C7C27">
        <w:rPr>
          <w:rFonts w:ascii="Times New Roman" w:hAnsi="Times New Roman" w:cs="Times New Roman"/>
          <w:sz w:val="24"/>
          <w:szCs w:val="24"/>
        </w:rPr>
        <w:t xml:space="preserve"> does not preclude or prevent it from being alienated or </w:t>
      </w:r>
      <w:proofErr w:type="spellStart"/>
      <w:r w:rsidRPr="008C7C27">
        <w:rPr>
          <w:rFonts w:ascii="Times New Roman" w:hAnsi="Times New Roman" w:cs="Times New Roman"/>
          <w:sz w:val="24"/>
          <w:szCs w:val="24"/>
        </w:rPr>
        <w:t>similary</w:t>
      </w:r>
      <w:proofErr w:type="spellEnd"/>
      <w:r w:rsidRPr="008C7C27">
        <w:rPr>
          <w:rFonts w:ascii="Times New Roman" w:hAnsi="Times New Roman" w:cs="Times New Roman"/>
          <w:sz w:val="24"/>
          <w:szCs w:val="24"/>
        </w:rPr>
        <w:t xml:space="preserve"> dealt with, as long as the rights of the non-alienating litigant in the </w:t>
      </w:r>
      <w:proofErr w:type="spellStart"/>
      <w:r w:rsidRPr="008C7C27">
        <w:rPr>
          <w:rFonts w:ascii="Times New Roman" w:hAnsi="Times New Roman" w:cs="Times New Roman"/>
          <w:i/>
          <w:sz w:val="24"/>
          <w:szCs w:val="24"/>
        </w:rPr>
        <w:t>res</w:t>
      </w:r>
      <w:proofErr w:type="spellEnd"/>
      <w:r w:rsidRPr="008C7C27">
        <w:rPr>
          <w:rFonts w:ascii="Times New Roman" w:hAnsi="Times New Roman" w:cs="Times New Roman"/>
          <w:sz w:val="24"/>
          <w:szCs w:val="24"/>
        </w:rPr>
        <w:t xml:space="preserve"> are protected. See </w:t>
      </w:r>
      <w:proofErr w:type="spellStart"/>
      <w:r w:rsidRPr="008C7C27">
        <w:rPr>
          <w:rFonts w:ascii="Times New Roman" w:hAnsi="Times New Roman" w:cs="Times New Roman"/>
          <w:i/>
          <w:sz w:val="24"/>
          <w:szCs w:val="24"/>
        </w:rPr>
        <w:t>Supa</w:t>
      </w:r>
      <w:proofErr w:type="spellEnd"/>
      <w:r w:rsidRPr="008C7C27">
        <w:rPr>
          <w:rFonts w:ascii="Times New Roman" w:hAnsi="Times New Roman" w:cs="Times New Roman"/>
          <w:i/>
          <w:sz w:val="24"/>
          <w:szCs w:val="24"/>
        </w:rPr>
        <w:t xml:space="preserve"> Plant </w:t>
      </w:r>
      <w:proofErr w:type="gramStart"/>
      <w:r w:rsidRPr="008C7C27">
        <w:rPr>
          <w:rFonts w:ascii="Times New Roman" w:hAnsi="Times New Roman" w:cs="Times New Roman"/>
          <w:i/>
          <w:sz w:val="24"/>
          <w:szCs w:val="24"/>
        </w:rPr>
        <w:t>Investments</w:t>
      </w:r>
      <w:r w:rsidRPr="008C7C27">
        <w:rPr>
          <w:rFonts w:ascii="Times New Roman" w:hAnsi="Times New Roman" w:cs="Times New Roman"/>
          <w:sz w:val="24"/>
          <w:szCs w:val="24"/>
        </w:rPr>
        <w:t>(</w:t>
      </w:r>
      <w:proofErr w:type="gramEnd"/>
      <w:r w:rsidRPr="008C7C27">
        <w:rPr>
          <w:rFonts w:ascii="Times New Roman" w:hAnsi="Times New Roman" w:cs="Times New Roman"/>
          <w:i/>
          <w:sz w:val="24"/>
          <w:szCs w:val="24"/>
        </w:rPr>
        <w:t>Pvt</w:t>
      </w:r>
      <w:r w:rsidRPr="008C7C27">
        <w:rPr>
          <w:rFonts w:ascii="Times New Roman" w:hAnsi="Times New Roman" w:cs="Times New Roman"/>
          <w:sz w:val="24"/>
          <w:szCs w:val="24"/>
        </w:rPr>
        <w:t xml:space="preserve">) </w:t>
      </w:r>
      <w:r w:rsidRPr="008C7C27">
        <w:rPr>
          <w:rFonts w:ascii="Times New Roman" w:hAnsi="Times New Roman" w:cs="Times New Roman"/>
          <w:i/>
          <w:sz w:val="24"/>
          <w:szCs w:val="24"/>
        </w:rPr>
        <w:t>Ltd</w:t>
      </w:r>
      <w:r w:rsidRPr="008C7C27">
        <w:rPr>
          <w:rFonts w:ascii="Times New Roman" w:hAnsi="Times New Roman" w:cs="Times New Roman"/>
          <w:sz w:val="24"/>
          <w:szCs w:val="24"/>
        </w:rPr>
        <w:t xml:space="preserve"> v </w:t>
      </w:r>
      <w:r w:rsidRPr="008C7C27">
        <w:rPr>
          <w:rFonts w:ascii="Times New Roman" w:hAnsi="Times New Roman" w:cs="Times New Roman"/>
          <w:i/>
          <w:sz w:val="24"/>
          <w:szCs w:val="24"/>
        </w:rPr>
        <w:t xml:space="preserve">Edgar </w:t>
      </w:r>
      <w:proofErr w:type="spellStart"/>
      <w:r w:rsidRPr="008C7C27">
        <w:rPr>
          <w:rFonts w:ascii="Times New Roman" w:hAnsi="Times New Roman" w:cs="Times New Roman"/>
          <w:i/>
          <w:sz w:val="24"/>
          <w:szCs w:val="24"/>
        </w:rPr>
        <w:t>Chidavaenzi</w:t>
      </w:r>
      <w:proofErr w:type="spellEnd"/>
      <w:r w:rsidRPr="008C7C27">
        <w:rPr>
          <w:rFonts w:ascii="Times New Roman" w:hAnsi="Times New Roman" w:cs="Times New Roman"/>
          <w:sz w:val="24"/>
          <w:szCs w:val="24"/>
        </w:rPr>
        <w:t xml:space="preserve"> HH 92-09 at p 6-7 and </w:t>
      </w:r>
      <w:r w:rsidRPr="008C7C27">
        <w:rPr>
          <w:rFonts w:ascii="Times New Roman" w:hAnsi="Times New Roman" w:cs="Times New Roman"/>
          <w:i/>
          <w:sz w:val="24"/>
          <w:szCs w:val="24"/>
        </w:rPr>
        <w:t>Edward Collin Gardiner</w:t>
      </w:r>
      <w:r w:rsidRPr="008C7C27">
        <w:rPr>
          <w:rFonts w:ascii="Times New Roman" w:hAnsi="Times New Roman" w:cs="Times New Roman"/>
          <w:sz w:val="24"/>
          <w:szCs w:val="24"/>
        </w:rPr>
        <w:t xml:space="preserve"> v </w:t>
      </w:r>
      <w:r w:rsidRPr="008C7C27">
        <w:rPr>
          <w:rFonts w:ascii="Times New Roman" w:hAnsi="Times New Roman" w:cs="Times New Roman"/>
          <w:i/>
          <w:sz w:val="24"/>
          <w:szCs w:val="24"/>
        </w:rPr>
        <w:t xml:space="preserve">Dampier Development &amp; </w:t>
      </w:r>
      <w:proofErr w:type="spellStart"/>
      <w:r w:rsidRPr="008C7C27">
        <w:rPr>
          <w:rFonts w:ascii="Times New Roman" w:hAnsi="Times New Roman" w:cs="Times New Roman"/>
          <w:i/>
          <w:sz w:val="24"/>
          <w:szCs w:val="24"/>
        </w:rPr>
        <w:t>Ors</w:t>
      </w:r>
      <w:proofErr w:type="spellEnd"/>
      <w:r w:rsidRPr="008C7C27">
        <w:rPr>
          <w:rFonts w:ascii="Times New Roman" w:hAnsi="Times New Roman" w:cs="Times New Roman"/>
          <w:sz w:val="24"/>
          <w:szCs w:val="24"/>
        </w:rPr>
        <w:t xml:space="preserve"> HH 72-10 at p 4.</w:t>
      </w:r>
    </w:p>
    <w:p w:rsidR="001C6110" w:rsidRPr="008C7C27" w:rsidRDefault="001C6110"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In the </w:t>
      </w:r>
      <w:r w:rsidRPr="008C7C27">
        <w:rPr>
          <w:rFonts w:ascii="Times New Roman" w:hAnsi="Times New Roman" w:cs="Times New Roman"/>
          <w:i/>
          <w:sz w:val="24"/>
          <w:szCs w:val="24"/>
        </w:rPr>
        <w:t xml:space="preserve">Edward Collin </w:t>
      </w:r>
      <w:proofErr w:type="gramStart"/>
      <w:r w:rsidRPr="008C7C27">
        <w:rPr>
          <w:rFonts w:ascii="Times New Roman" w:hAnsi="Times New Roman" w:cs="Times New Roman"/>
          <w:i/>
          <w:sz w:val="24"/>
          <w:szCs w:val="24"/>
        </w:rPr>
        <w:t>Gardiner</w:t>
      </w:r>
      <w:r w:rsidRPr="008C7C27">
        <w:rPr>
          <w:rFonts w:ascii="Times New Roman" w:hAnsi="Times New Roman" w:cs="Times New Roman"/>
          <w:sz w:val="24"/>
          <w:szCs w:val="24"/>
        </w:rPr>
        <w:t>(</w:t>
      </w:r>
      <w:proofErr w:type="gramEnd"/>
      <w:r w:rsidRPr="008C7C27">
        <w:rPr>
          <w:rFonts w:ascii="Times New Roman" w:hAnsi="Times New Roman" w:cs="Times New Roman"/>
          <w:i/>
          <w:sz w:val="24"/>
          <w:szCs w:val="24"/>
        </w:rPr>
        <w:t>supra</w:t>
      </w:r>
      <w:r w:rsidRPr="008C7C27">
        <w:rPr>
          <w:rFonts w:ascii="Times New Roman" w:hAnsi="Times New Roman" w:cs="Times New Roman"/>
          <w:sz w:val="24"/>
          <w:szCs w:val="24"/>
        </w:rPr>
        <w:t xml:space="preserve">) at p 5, in dealing with the issue of </w:t>
      </w:r>
      <w:r w:rsidRPr="008C7C27">
        <w:rPr>
          <w:rFonts w:ascii="Times New Roman" w:hAnsi="Times New Roman" w:cs="Times New Roman"/>
          <w:i/>
          <w:sz w:val="24"/>
          <w:szCs w:val="24"/>
        </w:rPr>
        <w:t xml:space="preserve">res </w:t>
      </w:r>
      <w:proofErr w:type="spellStart"/>
      <w:r w:rsidRPr="008C7C27">
        <w:rPr>
          <w:rFonts w:ascii="Times New Roman" w:hAnsi="Times New Roman" w:cs="Times New Roman"/>
          <w:i/>
          <w:sz w:val="24"/>
          <w:szCs w:val="24"/>
        </w:rPr>
        <w:t>litigiosa</w:t>
      </w:r>
      <w:proofErr w:type="spellEnd"/>
      <w:r w:rsidRPr="008C7C27">
        <w:rPr>
          <w:rFonts w:ascii="Times New Roman" w:hAnsi="Times New Roman" w:cs="Times New Roman"/>
          <w:sz w:val="24"/>
          <w:szCs w:val="24"/>
        </w:rPr>
        <w:t xml:space="preserve"> I made the following remarks:</w:t>
      </w:r>
    </w:p>
    <w:p w:rsidR="00AD5C1D" w:rsidRPr="008C7C27" w:rsidRDefault="00AD5C1D" w:rsidP="00F01721">
      <w:pPr>
        <w:spacing w:after="0" w:line="240" w:lineRule="auto"/>
        <w:ind w:left="720"/>
        <w:jc w:val="both"/>
        <w:rPr>
          <w:rFonts w:ascii="Times New Roman" w:hAnsi="Times New Roman" w:cs="Times New Roman"/>
          <w:sz w:val="24"/>
          <w:szCs w:val="24"/>
        </w:rPr>
      </w:pPr>
    </w:p>
    <w:p w:rsidR="001C6110" w:rsidRPr="008C7C27" w:rsidRDefault="00AD5C1D" w:rsidP="00F01721">
      <w:pPr>
        <w:spacing w:after="0" w:line="240" w:lineRule="auto"/>
        <w:ind w:left="720"/>
        <w:jc w:val="both"/>
        <w:rPr>
          <w:rFonts w:ascii="Times New Roman" w:hAnsi="Times New Roman" w:cs="Times New Roman"/>
          <w:sz w:val="24"/>
          <w:szCs w:val="24"/>
        </w:rPr>
      </w:pPr>
      <w:r w:rsidRPr="008C7C27">
        <w:rPr>
          <w:rFonts w:ascii="Times New Roman" w:hAnsi="Times New Roman" w:cs="Times New Roman"/>
          <w:sz w:val="24"/>
          <w:szCs w:val="24"/>
        </w:rPr>
        <w:t xml:space="preserve">“The authors Silberberg and </w:t>
      </w:r>
      <w:proofErr w:type="spellStart"/>
      <w:r w:rsidRPr="008C7C27">
        <w:rPr>
          <w:rFonts w:ascii="Times New Roman" w:hAnsi="Times New Roman" w:cs="Times New Roman"/>
          <w:sz w:val="24"/>
          <w:szCs w:val="24"/>
        </w:rPr>
        <w:t>Shoeman</w:t>
      </w:r>
      <w:proofErr w:type="spellEnd"/>
      <w:r w:rsidRPr="008C7C27">
        <w:rPr>
          <w:rFonts w:ascii="Times New Roman" w:hAnsi="Times New Roman" w:cs="Times New Roman"/>
          <w:sz w:val="24"/>
          <w:szCs w:val="24"/>
        </w:rPr>
        <w:t xml:space="preserve"> in the Law of Property 3</w:t>
      </w:r>
      <w:r w:rsidRPr="008C7C27">
        <w:rPr>
          <w:rFonts w:ascii="Times New Roman" w:hAnsi="Times New Roman" w:cs="Times New Roman"/>
          <w:sz w:val="24"/>
          <w:szCs w:val="24"/>
          <w:vertAlign w:val="superscript"/>
        </w:rPr>
        <w:t>rd</w:t>
      </w:r>
      <w:r w:rsidRPr="008C7C27">
        <w:rPr>
          <w:rFonts w:ascii="Times New Roman" w:hAnsi="Times New Roman" w:cs="Times New Roman"/>
          <w:sz w:val="24"/>
          <w:szCs w:val="24"/>
        </w:rPr>
        <w:t xml:space="preserve"> </w:t>
      </w:r>
      <w:proofErr w:type="spellStart"/>
      <w:r w:rsidRPr="008C7C27">
        <w:rPr>
          <w:rFonts w:ascii="Times New Roman" w:hAnsi="Times New Roman" w:cs="Times New Roman"/>
          <w:sz w:val="24"/>
          <w:szCs w:val="24"/>
        </w:rPr>
        <w:t>ed</w:t>
      </w:r>
      <w:proofErr w:type="spellEnd"/>
      <w:r w:rsidRPr="008C7C27">
        <w:rPr>
          <w:rFonts w:ascii="Times New Roman" w:hAnsi="Times New Roman" w:cs="Times New Roman"/>
          <w:sz w:val="24"/>
          <w:szCs w:val="24"/>
        </w:rPr>
        <w:t xml:space="preserve"> at p 304 made the point that the agreement of sale of the </w:t>
      </w:r>
      <w:r w:rsidRPr="008C7C27">
        <w:rPr>
          <w:rFonts w:ascii="Times New Roman" w:hAnsi="Times New Roman" w:cs="Times New Roman"/>
          <w:i/>
          <w:sz w:val="24"/>
          <w:szCs w:val="24"/>
        </w:rPr>
        <w:t xml:space="preserve">res </w:t>
      </w:r>
      <w:proofErr w:type="spellStart"/>
      <w:r w:rsidRPr="008C7C27">
        <w:rPr>
          <w:rFonts w:ascii="Times New Roman" w:hAnsi="Times New Roman" w:cs="Times New Roman"/>
          <w:i/>
          <w:sz w:val="24"/>
          <w:szCs w:val="24"/>
        </w:rPr>
        <w:t>litigiosa</w:t>
      </w:r>
      <w:proofErr w:type="spellEnd"/>
      <w:r w:rsidRPr="008C7C27">
        <w:rPr>
          <w:rFonts w:ascii="Times New Roman" w:hAnsi="Times New Roman" w:cs="Times New Roman"/>
          <w:i/>
          <w:sz w:val="24"/>
          <w:szCs w:val="24"/>
        </w:rPr>
        <w:t xml:space="preserve"> </w:t>
      </w:r>
      <w:r w:rsidRPr="008C7C27">
        <w:rPr>
          <w:rFonts w:ascii="Times New Roman" w:hAnsi="Times New Roman" w:cs="Times New Roman"/>
          <w:sz w:val="24"/>
          <w:szCs w:val="24"/>
        </w:rPr>
        <w:t xml:space="preserve">between the litigating party and a third party is valid </w:t>
      </w:r>
      <w:r w:rsidRPr="008C7C27">
        <w:rPr>
          <w:rFonts w:ascii="Times New Roman" w:hAnsi="Times New Roman" w:cs="Times New Roman"/>
          <w:i/>
          <w:sz w:val="24"/>
          <w:szCs w:val="24"/>
        </w:rPr>
        <w:t xml:space="preserve">inter </w:t>
      </w:r>
      <w:proofErr w:type="spellStart"/>
      <w:r w:rsidRPr="008C7C27">
        <w:rPr>
          <w:rFonts w:ascii="Times New Roman" w:hAnsi="Times New Roman" w:cs="Times New Roman"/>
          <w:i/>
          <w:sz w:val="24"/>
          <w:szCs w:val="24"/>
        </w:rPr>
        <w:t>partes</w:t>
      </w:r>
      <w:proofErr w:type="spellEnd"/>
      <w:r w:rsidRPr="008C7C27">
        <w:rPr>
          <w:rFonts w:ascii="Times New Roman" w:hAnsi="Times New Roman" w:cs="Times New Roman"/>
          <w:sz w:val="24"/>
          <w:szCs w:val="24"/>
        </w:rPr>
        <w:t>. They go further to say that the purchaser is bound by the judgment in the action and the successful party can recover it from the new possessor by execution and without fresh proceedings”.</w:t>
      </w:r>
    </w:p>
    <w:p w:rsidR="00AD5C1D" w:rsidRPr="008C7C27" w:rsidRDefault="00AD5C1D" w:rsidP="00F01721">
      <w:pPr>
        <w:spacing w:after="0" w:line="360" w:lineRule="auto"/>
        <w:jc w:val="both"/>
        <w:rPr>
          <w:rFonts w:ascii="Times New Roman" w:hAnsi="Times New Roman" w:cs="Times New Roman"/>
          <w:sz w:val="24"/>
          <w:szCs w:val="24"/>
        </w:rPr>
      </w:pPr>
    </w:p>
    <w:p w:rsidR="00AD5C1D" w:rsidRPr="008C7C27" w:rsidRDefault="00AD5C1D"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lastRenderedPageBreak/>
        <w:t xml:space="preserve">The respondents find themselves in the position of the purchaser referred to in the above quotation. The sale between them and the first and second respondents is valid </w:t>
      </w:r>
      <w:r w:rsidRPr="008C7C27">
        <w:rPr>
          <w:rFonts w:ascii="Times New Roman" w:hAnsi="Times New Roman" w:cs="Times New Roman"/>
          <w:i/>
          <w:sz w:val="24"/>
          <w:szCs w:val="24"/>
        </w:rPr>
        <w:t xml:space="preserve">inter </w:t>
      </w:r>
      <w:proofErr w:type="spellStart"/>
      <w:r w:rsidRPr="008C7C27">
        <w:rPr>
          <w:rFonts w:ascii="Times New Roman" w:hAnsi="Times New Roman" w:cs="Times New Roman"/>
          <w:i/>
          <w:sz w:val="24"/>
          <w:szCs w:val="24"/>
        </w:rPr>
        <w:t>partes</w:t>
      </w:r>
      <w:proofErr w:type="spellEnd"/>
      <w:r w:rsidRPr="008C7C27">
        <w:rPr>
          <w:rFonts w:ascii="Times New Roman" w:hAnsi="Times New Roman" w:cs="Times New Roman"/>
          <w:sz w:val="24"/>
          <w:szCs w:val="24"/>
        </w:rPr>
        <w:t xml:space="preserve"> only. The applicant can recover the property from them.</w:t>
      </w:r>
    </w:p>
    <w:p w:rsidR="005E4A1B" w:rsidRPr="008C7C27" w:rsidRDefault="005E4A1B"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The other point taken by the applicants is that the </w:t>
      </w:r>
      <w:r w:rsidR="00103214" w:rsidRPr="008C7C27">
        <w:rPr>
          <w:rFonts w:ascii="Times New Roman" w:hAnsi="Times New Roman" w:cs="Times New Roman"/>
          <w:sz w:val="24"/>
          <w:szCs w:val="24"/>
        </w:rPr>
        <w:t>respondents</w:t>
      </w:r>
      <w:r w:rsidRPr="008C7C27">
        <w:rPr>
          <w:rFonts w:ascii="Times New Roman" w:hAnsi="Times New Roman" w:cs="Times New Roman"/>
          <w:sz w:val="24"/>
          <w:szCs w:val="24"/>
        </w:rPr>
        <w:t xml:space="preserve"> were aware or ought to have known the applicants’ interest in the property.</w:t>
      </w:r>
    </w:p>
    <w:p w:rsidR="00DE2A35" w:rsidRPr="008C7C27" w:rsidRDefault="00DE2A35"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The applicants contend that the respondents must have been aware by diligent enquiry, through their conveyance, of the caveat which was clearly endorsed over the property by the fourth respondent. John did not file an answering affidavit but his Heads of Argument makes reference to caveat number 189/08 having been noted on the title deed. The other applicants did not mention the caveat by number but state, in their answering papers, that a caveat was endorsed on the title deed. They also contend that the proper procedure would have been for the respondents to acquire shares in the first respondent until the completion of the project where sectional title will be issued to each owner. Had they made a diligent enquiry with the first respondent’s transfer secretaries Messrs </w:t>
      </w:r>
      <w:proofErr w:type="spellStart"/>
      <w:r w:rsidRPr="008C7C27">
        <w:rPr>
          <w:rFonts w:ascii="Times New Roman" w:hAnsi="Times New Roman" w:cs="Times New Roman"/>
          <w:sz w:val="24"/>
          <w:szCs w:val="24"/>
        </w:rPr>
        <w:t>Enerst</w:t>
      </w:r>
      <w:proofErr w:type="spellEnd"/>
      <w:r w:rsidRPr="008C7C27">
        <w:rPr>
          <w:rFonts w:ascii="Times New Roman" w:hAnsi="Times New Roman" w:cs="Times New Roman"/>
          <w:sz w:val="24"/>
          <w:szCs w:val="24"/>
        </w:rPr>
        <w:t xml:space="preserve"> and Young, they would have noted the applicants’ interest.</w:t>
      </w:r>
    </w:p>
    <w:p w:rsidR="00DE2A35" w:rsidRPr="008C7C27" w:rsidRDefault="00DE2A35"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The respondents’ position is that they were not aware of the disputes between the applicants and the first and second respondents. If they had been made aware, they would not have parted with their money with full knowledge of such disputes.</w:t>
      </w:r>
    </w:p>
    <w:p w:rsidR="00DE2A35" w:rsidRPr="008C7C27" w:rsidRDefault="00DE2A35"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As I have already alluded to earlier on in the judgment, it is not clear whether the caveat was endorsed on the title deed. The fourth applicant mentions the caveat number in its heads of argument. The other applicants do not and none of them filed a copy for the benefit of the court. I cannot therefore </w:t>
      </w:r>
      <w:proofErr w:type="gramStart"/>
      <w:r w:rsidR="00CC74B5" w:rsidRPr="008C7C27">
        <w:rPr>
          <w:rFonts w:ascii="Times New Roman" w:hAnsi="Times New Roman" w:cs="Times New Roman"/>
          <w:sz w:val="24"/>
          <w:szCs w:val="24"/>
        </w:rPr>
        <w:t>made</w:t>
      </w:r>
      <w:proofErr w:type="gramEnd"/>
      <w:r w:rsidR="00CC74B5" w:rsidRPr="008C7C27">
        <w:rPr>
          <w:rFonts w:ascii="Times New Roman" w:hAnsi="Times New Roman" w:cs="Times New Roman"/>
          <w:sz w:val="24"/>
          <w:szCs w:val="24"/>
        </w:rPr>
        <w:t xml:space="preserve"> a finding </w:t>
      </w:r>
      <w:r w:rsidRPr="008C7C27">
        <w:rPr>
          <w:rFonts w:ascii="Times New Roman" w:hAnsi="Times New Roman" w:cs="Times New Roman"/>
          <w:sz w:val="24"/>
          <w:szCs w:val="24"/>
        </w:rPr>
        <w:t>that the respondents were aware that there was a caveat when it is not clear from the papers.</w:t>
      </w:r>
    </w:p>
    <w:p w:rsidR="00E3114D" w:rsidRPr="008C7C27" w:rsidRDefault="00DE2A35"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It is common cause that the trans</w:t>
      </w:r>
      <w:r w:rsidR="00E3114D" w:rsidRPr="008C7C27">
        <w:rPr>
          <w:rFonts w:ascii="Times New Roman" w:hAnsi="Times New Roman" w:cs="Times New Roman"/>
          <w:sz w:val="24"/>
          <w:szCs w:val="24"/>
        </w:rPr>
        <w:t>fers to the respondents were not done in terms of the proper procedure. The respondents did not acquire shares in the first respondent.</w:t>
      </w:r>
    </w:p>
    <w:p w:rsidR="00DE2A35" w:rsidRPr="008C7C27" w:rsidRDefault="00E3114D"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 Again, in my view, this does not establish that the respondents ought to have been aware of the applicants’ interest in the property.</w:t>
      </w:r>
    </w:p>
    <w:p w:rsidR="00E3114D" w:rsidRPr="008C7C27" w:rsidRDefault="00E3114D"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In my view, the present case does not turn on whether the respondents were or ought to have been aware of the applicants’ interest or not. As I have already alluded to, it turns on the failure of the Deeds office to </w:t>
      </w:r>
      <w:proofErr w:type="gramStart"/>
      <w:r w:rsidRPr="008C7C27">
        <w:rPr>
          <w:rFonts w:ascii="Times New Roman" w:hAnsi="Times New Roman" w:cs="Times New Roman"/>
          <w:sz w:val="24"/>
          <w:szCs w:val="24"/>
        </w:rPr>
        <w:t>registered</w:t>
      </w:r>
      <w:proofErr w:type="gramEnd"/>
      <w:r w:rsidRPr="008C7C27">
        <w:rPr>
          <w:rFonts w:ascii="Times New Roman" w:hAnsi="Times New Roman" w:cs="Times New Roman"/>
          <w:sz w:val="24"/>
          <w:szCs w:val="24"/>
        </w:rPr>
        <w:t xml:space="preserve"> the caveat and if they did, transferring the property when the title deeds is endorsed with a caveat.</w:t>
      </w:r>
    </w:p>
    <w:p w:rsidR="005F762F" w:rsidRPr="008C7C27" w:rsidRDefault="00AD5C1D"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The other point taken by the applicant was that the transfer to the respondents is invalid as there was no valid cause. The properties could only be acquired by acquisition of </w:t>
      </w:r>
      <w:r w:rsidRPr="008C7C27">
        <w:rPr>
          <w:rFonts w:ascii="Times New Roman" w:hAnsi="Times New Roman" w:cs="Times New Roman"/>
          <w:sz w:val="24"/>
          <w:szCs w:val="24"/>
        </w:rPr>
        <w:lastRenderedPageBreak/>
        <w:t xml:space="preserve">shares they being properties held under sectional title. None of the respondents hold the relevant </w:t>
      </w:r>
      <w:r w:rsidR="005F762F" w:rsidRPr="008C7C27">
        <w:rPr>
          <w:rFonts w:ascii="Times New Roman" w:hAnsi="Times New Roman" w:cs="Times New Roman"/>
          <w:sz w:val="24"/>
          <w:szCs w:val="24"/>
        </w:rPr>
        <w:t>class B shares. This point has not been contested by the respondents in their heads of argument.</w:t>
      </w:r>
    </w:p>
    <w:p w:rsidR="005F762F" w:rsidRPr="008C7C27" w:rsidRDefault="005F762F"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In view of the above the application must succeed.</w:t>
      </w:r>
    </w:p>
    <w:p w:rsidR="005F762F" w:rsidRPr="008C7C27" w:rsidRDefault="005F762F" w:rsidP="00F01721">
      <w:pPr>
        <w:spacing w:after="0" w:line="36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In the result I swill make the following order:</w:t>
      </w:r>
    </w:p>
    <w:p w:rsidR="005F762F" w:rsidRPr="008C7C27" w:rsidRDefault="005F762F" w:rsidP="00F01721">
      <w:pPr>
        <w:spacing w:after="0" w:line="360" w:lineRule="auto"/>
        <w:jc w:val="both"/>
        <w:rPr>
          <w:rFonts w:ascii="Times New Roman" w:hAnsi="Times New Roman" w:cs="Times New Roman"/>
          <w:sz w:val="24"/>
          <w:szCs w:val="24"/>
        </w:rPr>
      </w:pPr>
    </w:p>
    <w:p w:rsidR="005F762F" w:rsidRPr="008C7C27" w:rsidRDefault="005F762F" w:rsidP="00F01721">
      <w:pPr>
        <w:pStyle w:val="ListParagraph"/>
        <w:numPr>
          <w:ilvl w:val="0"/>
          <w:numId w:val="1"/>
        </w:numPr>
        <w:spacing w:after="0" w:line="360" w:lineRule="auto"/>
        <w:jc w:val="both"/>
        <w:rPr>
          <w:rFonts w:ascii="Times New Roman" w:hAnsi="Times New Roman" w:cs="Times New Roman"/>
          <w:sz w:val="24"/>
          <w:szCs w:val="24"/>
        </w:rPr>
      </w:pPr>
      <w:r w:rsidRPr="008C7C27">
        <w:rPr>
          <w:rFonts w:ascii="Times New Roman" w:hAnsi="Times New Roman" w:cs="Times New Roman"/>
          <w:sz w:val="24"/>
          <w:szCs w:val="24"/>
        </w:rPr>
        <w:t xml:space="preserve">The transfer of unit/share 9 of certain piece of land called the Remainder of Lot 3 </w:t>
      </w:r>
      <w:proofErr w:type="spellStart"/>
      <w:r w:rsidRPr="008C7C27">
        <w:rPr>
          <w:rFonts w:ascii="Times New Roman" w:hAnsi="Times New Roman" w:cs="Times New Roman"/>
          <w:sz w:val="24"/>
          <w:szCs w:val="24"/>
        </w:rPr>
        <w:t>Lewisam</w:t>
      </w:r>
      <w:proofErr w:type="spellEnd"/>
      <w:r w:rsidRPr="008C7C27">
        <w:rPr>
          <w:rFonts w:ascii="Times New Roman" w:hAnsi="Times New Roman" w:cs="Times New Roman"/>
          <w:sz w:val="24"/>
          <w:szCs w:val="24"/>
        </w:rPr>
        <w:t xml:space="preserve"> of Lot E of </w:t>
      </w:r>
      <w:proofErr w:type="spellStart"/>
      <w:r w:rsidRPr="008C7C27">
        <w:rPr>
          <w:rFonts w:ascii="Times New Roman" w:hAnsi="Times New Roman" w:cs="Times New Roman"/>
          <w:sz w:val="24"/>
          <w:szCs w:val="24"/>
        </w:rPr>
        <w:t>Colne</w:t>
      </w:r>
      <w:proofErr w:type="spellEnd"/>
      <w:r w:rsidRPr="008C7C27">
        <w:rPr>
          <w:rFonts w:ascii="Times New Roman" w:hAnsi="Times New Roman" w:cs="Times New Roman"/>
          <w:sz w:val="24"/>
          <w:szCs w:val="24"/>
        </w:rPr>
        <w:t xml:space="preserve"> Valley of </w:t>
      </w:r>
      <w:proofErr w:type="spellStart"/>
      <w:r w:rsidRPr="008C7C27">
        <w:rPr>
          <w:rFonts w:ascii="Times New Roman" w:hAnsi="Times New Roman" w:cs="Times New Roman"/>
          <w:sz w:val="24"/>
          <w:szCs w:val="24"/>
        </w:rPr>
        <w:t>Reitfontein</w:t>
      </w:r>
      <w:proofErr w:type="spellEnd"/>
      <w:r w:rsidRPr="008C7C27">
        <w:rPr>
          <w:rFonts w:ascii="Times New Roman" w:hAnsi="Times New Roman" w:cs="Times New Roman"/>
          <w:sz w:val="24"/>
          <w:szCs w:val="24"/>
        </w:rPr>
        <w:t xml:space="preserve"> to </w:t>
      </w:r>
      <w:proofErr w:type="spellStart"/>
      <w:r w:rsidRPr="008C7C27">
        <w:rPr>
          <w:rFonts w:ascii="Times New Roman" w:hAnsi="Times New Roman" w:cs="Times New Roman"/>
          <w:sz w:val="24"/>
          <w:szCs w:val="24"/>
        </w:rPr>
        <w:t>Pervaz</w:t>
      </w:r>
      <w:proofErr w:type="spellEnd"/>
      <w:r w:rsidRPr="008C7C27">
        <w:rPr>
          <w:rFonts w:ascii="Times New Roman" w:hAnsi="Times New Roman" w:cs="Times New Roman"/>
          <w:sz w:val="24"/>
          <w:szCs w:val="24"/>
        </w:rPr>
        <w:t xml:space="preserve"> Khan under Deed of Transfer number 8952/08 be and is hereby set aside.</w:t>
      </w:r>
    </w:p>
    <w:p w:rsidR="005F762F" w:rsidRPr="008C7C27" w:rsidRDefault="005F762F" w:rsidP="00F01721">
      <w:pPr>
        <w:pStyle w:val="ListParagraph"/>
        <w:numPr>
          <w:ilvl w:val="0"/>
          <w:numId w:val="1"/>
        </w:numPr>
        <w:spacing w:after="0" w:line="360" w:lineRule="auto"/>
        <w:jc w:val="both"/>
        <w:rPr>
          <w:rFonts w:ascii="Times New Roman" w:hAnsi="Times New Roman" w:cs="Times New Roman"/>
          <w:sz w:val="24"/>
          <w:szCs w:val="24"/>
        </w:rPr>
      </w:pPr>
      <w:r w:rsidRPr="008C7C27">
        <w:rPr>
          <w:rFonts w:ascii="Times New Roman" w:hAnsi="Times New Roman" w:cs="Times New Roman"/>
          <w:sz w:val="24"/>
          <w:szCs w:val="24"/>
        </w:rPr>
        <w:t xml:space="preserve">The first respondent be and is hereby ordered to transfer to the first applicant shares in </w:t>
      </w:r>
      <w:proofErr w:type="spellStart"/>
      <w:r w:rsidR="00E3114D" w:rsidRPr="008C7C27">
        <w:rPr>
          <w:rFonts w:ascii="Times New Roman" w:hAnsi="Times New Roman" w:cs="Times New Roman"/>
          <w:sz w:val="24"/>
          <w:szCs w:val="24"/>
        </w:rPr>
        <w:t>Cheni</w:t>
      </w:r>
      <w:proofErr w:type="spellEnd"/>
      <w:r w:rsidR="00E3114D" w:rsidRPr="008C7C27">
        <w:rPr>
          <w:rFonts w:ascii="Times New Roman" w:hAnsi="Times New Roman" w:cs="Times New Roman"/>
          <w:sz w:val="24"/>
          <w:szCs w:val="24"/>
        </w:rPr>
        <w:t xml:space="preserve"> Investments (Pvt) Ltd which will </w:t>
      </w:r>
      <w:r w:rsidR="00E75F39" w:rsidRPr="008C7C27">
        <w:rPr>
          <w:rFonts w:ascii="Times New Roman" w:hAnsi="Times New Roman" w:cs="Times New Roman"/>
          <w:sz w:val="24"/>
          <w:szCs w:val="24"/>
        </w:rPr>
        <w:t>confer on her ownership and the right to possession of unit 9.</w:t>
      </w:r>
    </w:p>
    <w:p w:rsidR="005F762F" w:rsidRPr="008C7C27" w:rsidRDefault="005F762F" w:rsidP="00F01721">
      <w:pPr>
        <w:pStyle w:val="ListParagraph"/>
        <w:numPr>
          <w:ilvl w:val="0"/>
          <w:numId w:val="1"/>
        </w:numPr>
        <w:spacing w:after="0" w:line="360" w:lineRule="auto"/>
        <w:jc w:val="both"/>
        <w:rPr>
          <w:rFonts w:ascii="Times New Roman" w:hAnsi="Times New Roman" w:cs="Times New Roman"/>
          <w:sz w:val="24"/>
          <w:szCs w:val="24"/>
        </w:rPr>
      </w:pPr>
      <w:r w:rsidRPr="008C7C27">
        <w:rPr>
          <w:rFonts w:ascii="Times New Roman" w:hAnsi="Times New Roman" w:cs="Times New Roman"/>
          <w:sz w:val="24"/>
          <w:szCs w:val="24"/>
        </w:rPr>
        <w:t xml:space="preserve">The transfer of </w:t>
      </w:r>
      <w:proofErr w:type="spellStart"/>
      <w:r w:rsidRPr="008C7C27">
        <w:rPr>
          <w:rFonts w:ascii="Times New Roman" w:hAnsi="Times New Roman" w:cs="Times New Roman"/>
          <w:sz w:val="24"/>
          <w:szCs w:val="24"/>
        </w:rPr>
        <w:t>unitshare</w:t>
      </w:r>
      <w:proofErr w:type="spellEnd"/>
      <w:r w:rsidRPr="008C7C27">
        <w:rPr>
          <w:rFonts w:ascii="Times New Roman" w:hAnsi="Times New Roman" w:cs="Times New Roman"/>
          <w:sz w:val="24"/>
          <w:szCs w:val="24"/>
        </w:rPr>
        <w:t xml:space="preserve"> number 5 of certain piece of land called the remainder of Lot 3 </w:t>
      </w:r>
      <w:proofErr w:type="spellStart"/>
      <w:r w:rsidRPr="008C7C27">
        <w:rPr>
          <w:rFonts w:ascii="Times New Roman" w:hAnsi="Times New Roman" w:cs="Times New Roman"/>
          <w:sz w:val="24"/>
          <w:szCs w:val="24"/>
        </w:rPr>
        <w:t>Lewisam</w:t>
      </w:r>
      <w:proofErr w:type="spellEnd"/>
      <w:r w:rsidRPr="008C7C27">
        <w:rPr>
          <w:rFonts w:ascii="Times New Roman" w:hAnsi="Times New Roman" w:cs="Times New Roman"/>
          <w:sz w:val="24"/>
          <w:szCs w:val="24"/>
        </w:rPr>
        <w:t xml:space="preserve"> of Lot E of </w:t>
      </w:r>
      <w:proofErr w:type="spellStart"/>
      <w:r w:rsidRPr="008C7C27">
        <w:rPr>
          <w:rFonts w:ascii="Times New Roman" w:hAnsi="Times New Roman" w:cs="Times New Roman"/>
          <w:sz w:val="24"/>
          <w:szCs w:val="24"/>
        </w:rPr>
        <w:t>Colne</w:t>
      </w:r>
      <w:proofErr w:type="spellEnd"/>
      <w:r w:rsidRPr="008C7C27">
        <w:rPr>
          <w:rFonts w:ascii="Times New Roman" w:hAnsi="Times New Roman" w:cs="Times New Roman"/>
          <w:sz w:val="24"/>
          <w:szCs w:val="24"/>
        </w:rPr>
        <w:t xml:space="preserve"> Valley of </w:t>
      </w:r>
      <w:proofErr w:type="spellStart"/>
      <w:r w:rsidRPr="008C7C27">
        <w:rPr>
          <w:rFonts w:ascii="Times New Roman" w:hAnsi="Times New Roman" w:cs="Times New Roman"/>
          <w:sz w:val="24"/>
          <w:szCs w:val="24"/>
        </w:rPr>
        <w:t>Reitfontein</w:t>
      </w:r>
      <w:proofErr w:type="spellEnd"/>
      <w:r w:rsidRPr="008C7C27">
        <w:rPr>
          <w:rFonts w:ascii="Times New Roman" w:hAnsi="Times New Roman" w:cs="Times New Roman"/>
          <w:sz w:val="24"/>
          <w:szCs w:val="24"/>
        </w:rPr>
        <w:t xml:space="preserve"> to Brighton </w:t>
      </w:r>
      <w:proofErr w:type="spellStart"/>
      <w:r w:rsidRPr="008C7C27">
        <w:rPr>
          <w:rFonts w:ascii="Times New Roman" w:hAnsi="Times New Roman" w:cs="Times New Roman"/>
          <w:sz w:val="24"/>
          <w:szCs w:val="24"/>
        </w:rPr>
        <w:t>Matikiti</w:t>
      </w:r>
      <w:proofErr w:type="spellEnd"/>
      <w:r w:rsidRPr="008C7C27">
        <w:rPr>
          <w:rFonts w:ascii="Times New Roman" w:hAnsi="Times New Roman" w:cs="Times New Roman"/>
          <w:sz w:val="24"/>
          <w:szCs w:val="24"/>
        </w:rPr>
        <w:t xml:space="preserve"> be and is hereby set aside.</w:t>
      </w:r>
    </w:p>
    <w:p w:rsidR="005F762F" w:rsidRPr="008C7C27" w:rsidRDefault="005F762F" w:rsidP="00F01721">
      <w:pPr>
        <w:pStyle w:val="ListParagraph"/>
        <w:numPr>
          <w:ilvl w:val="0"/>
          <w:numId w:val="1"/>
        </w:numPr>
        <w:spacing w:after="0" w:line="360" w:lineRule="auto"/>
        <w:jc w:val="both"/>
        <w:rPr>
          <w:rFonts w:ascii="Times New Roman" w:hAnsi="Times New Roman" w:cs="Times New Roman"/>
          <w:sz w:val="24"/>
          <w:szCs w:val="24"/>
        </w:rPr>
      </w:pPr>
      <w:r w:rsidRPr="008C7C27">
        <w:rPr>
          <w:rFonts w:ascii="Times New Roman" w:hAnsi="Times New Roman" w:cs="Times New Roman"/>
          <w:sz w:val="24"/>
          <w:szCs w:val="24"/>
        </w:rPr>
        <w:t xml:space="preserve">The transfer of units/shares 4 and 12 in </w:t>
      </w:r>
      <w:r w:rsidR="00242CC1" w:rsidRPr="008C7C27">
        <w:rPr>
          <w:rFonts w:ascii="Times New Roman" w:hAnsi="Times New Roman" w:cs="Times New Roman"/>
          <w:sz w:val="24"/>
          <w:szCs w:val="24"/>
        </w:rPr>
        <w:t xml:space="preserve">certain piece of land called the Remainder of Lot 3  of </w:t>
      </w:r>
      <w:proofErr w:type="spellStart"/>
      <w:r w:rsidR="00242CC1" w:rsidRPr="008C7C27">
        <w:rPr>
          <w:rFonts w:ascii="Times New Roman" w:hAnsi="Times New Roman" w:cs="Times New Roman"/>
          <w:sz w:val="24"/>
          <w:szCs w:val="24"/>
        </w:rPr>
        <w:t>Lewisam</w:t>
      </w:r>
      <w:proofErr w:type="spellEnd"/>
      <w:r w:rsidR="00242CC1" w:rsidRPr="008C7C27">
        <w:rPr>
          <w:rFonts w:ascii="Times New Roman" w:hAnsi="Times New Roman" w:cs="Times New Roman"/>
          <w:sz w:val="24"/>
          <w:szCs w:val="24"/>
        </w:rPr>
        <w:t xml:space="preserve"> of Lot E of </w:t>
      </w:r>
      <w:proofErr w:type="spellStart"/>
      <w:r w:rsidR="00242CC1" w:rsidRPr="008C7C27">
        <w:rPr>
          <w:rFonts w:ascii="Times New Roman" w:hAnsi="Times New Roman" w:cs="Times New Roman"/>
          <w:sz w:val="24"/>
          <w:szCs w:val="24"/>
        </w:rPr>
        <w:t>Colne</w:t>
      </w:r>
      <w:proofErr w:type="spellEnd"/>
      <w:r w:rsidR="00242CC1" w:rsidRPr="008C7C27">
        <w:rPr>
          <w:rFonts w:ascii="Times New Roman" w:hAnsi="Times New Roman" w:cs="Times New Roman"/>
          <w:sz w:val="24"/>
          <w:szCs w:val="24"/>
        </w:rPr>
        <w:t xml:space="preserve"> Valley of </w:t>
      </w:r>
      <w:proofErr w:type="spellStart"/>
      <w:r w:rsidR="00242CC1" w:rsidRPr="008C7C27">
        <w:rPr>
          <w:rFonts w:ascii="Times New Roman" w:hAnsi="Times New Roman" w:cs="Times New Roman"/>
          <w:sz w:val="24"/>
          <w:szCs w:val="24"/>
        </w:rPr>
        <w:t>Reitfontein</w:t>
      </w:r>
      <w:proofErr w:type="spellEnd"/>
      <w:r w:rsidR="00242CC1" w:rsidRPr="008C7C27">
        <w:rPr>
          <w:rFonts w:ascii="Times New Roman" w:hAnsi="Times New Roman" w:cs="Times New Roman"/>
          <w:sz w:val="24"/>
          <w:szCs w:val="24"/>
        </w:rPr>
        <w:t xml:space="preserve"> to Ian </w:t>
      </w:r>
      <w:proofErr w:type="spellStart"/>
      <w:r w:rsidR="00242CC1" w:rsidRPr="008C7C27">
        <w:rPr>
          <w:rFonts w:ascii="Times New Roman" w:hAnsi="Times New Roman" w:cs="Times New Roman"/>
          <w:sz w:val="24"/>
          <w:szCs w:val="24"/>
        </w:rPr>
        <w:t>Khumjalo</w:t>
      </w:r>
      <w:proofErr w:type="spellEnd"/>
      <w:r w:rsidR="00242CC1" w:rsidRPr="008C7C27">
        <w:rPr>
          <w:rFonts w:ascii="Times New Roman" w:hAnsi="Times New Roman" w:cs="Times New Roman"/>
          <w:sz w:val="24"/>
          <w:szCs w:val="24"/>
        </w:rPr>
        <w:t xml:space="preserve"> be and is hereby set aside.</w:t>
      </w:r>
    </w:p>
    <w:p w:rsidR="00242CC1" w:rsidRPr="008C7C27" w:rsidRDefault="00242CC1" w:rsidP="00F01721">
      <w:pPr>
        <w:pStyle w:val="ListParagraph"/>
        <w:numPr>
          <w:ilvl w:val="0"/>
          <w:numId w:val="1"/>
        </w:numPr>
        <w:spacing w:after="0" w:line="360" w:lineRule="auto"/>
        <w:jc w:val="both"/>
        <w:rPr>
          <w:rFonts w:ascii="Times New Roman" w:hAnsi="Times New Roman" w:cs="Times New Roman"/>
          <w:sz w:val="24"/>
          <w:szCs w:val="24"/>
        </w:rPr>
      </w:pPr>
      <w:r w:rsidRPr="008C7C27">
        <w:rPr>
          <w:rFonts w:ascii="Times New Roman" w:hAnsi="Times New Roman" w:cs="Times New Roman"/>
          <w:sz w:val="24"/>
          <w:szCs w:val="24"/>
        </w:rPr>
        <w:t>The first respondent be and is hereby</w:t>
      </w:r>
      <w:r w:rsidR="00893550" w:rsidRPr="008C7C27">
        <w:rPr>
          <w:rFonts w:ascii="Times New Roman" w:hAnsi="Times New Roman" w:cs="Times New Roman"/>
          <w:sz w:val="24"/>
          <w:szCs w:val="24"/>
        </w:rPr>
        <w:t xml:space="preserve"> ordered to transfer:</w:t>
      </w:r>
    </w:p>
    <w:p w:rsidR="00893550" w:rsidRPr="008C7C27" w:rsidRDefault="00893550" w:rsidP="00F01721">
      <w:pPr>
        <w:pStyle w:val="ListParagraph"/>
        <w:numPr>
          <w:ilvl w:val="0"/>
          <w:numId w:val="2"/>
        </w:numPr>
        <w:spacing w:after="0" w:line="360" w:lineRule="auto"/>
        <w:jc w:val="both"/>
        <w:rPr>
          <w:rFonts w:ascii="Times New Roman" w:hAnsi="Times New Roman" w:cs="Times New Roman"/>
          <w:sz w:val="24"/>
          <w:szCs w:val="24"/>
        </w:rPr>
      </w:pPr>
      <w:r w:rsidRPr="008C7C27">
        <w:rPr>
          <w:rFonts w:ascii="Times New Roman" w:hAnsi="Times New Roman" w:cs="Times New Roman"/>
          <w:sz w:val="24"/>
          <w:szCs w:val="24"/>
        </w:rPr>
        <w:t xml:space="preserve"> </w:t>
      </w:r>
      <w:proofErr w:type="gramStart"/>
      <w:r w:rsidRPr="008C7C27">
        <w:rPr>
          <w:rFonts w:ascii="Times New Roman" w:hAnsi="Times New Roman" w:cs="Times New Roman"/>
          <w:sz w:val="24"/>
          <w:szCs w:val="24"/>
        </w:rPr>
        <w:t>Share</w:t>
      </w:r>
      <w:r w:rsidR="00E75F39" w:rsidRPr="008C7C27">
        <w:rPr>
          <w:rFonts w:ascii="Times New Roman" w:hAnsi="Times New Roman" w:cs="Times New Roman"/>
          <w:sz w:val="24"/>
          <w:szCs w:val="24"/>
        </w:rPr>
        <w:t>s</w:t>
      </w:r>
      <w:r w:rsidRPr="008C7C27">
        <w:rPr>
          <w:rFonts w:ascii="Times New Roman" w:hAnsi="Times New Roman" w:cs="Times New Roman"/>
          <w:sz w:val="24"/>
          <w:szCs w:val="24"/>
        </w:rPr>
        <w:t xml:space="preserve"> </w:t>
      </w:r>
      <w:r w:rsidR="00E75F39" w:rsidRPr="008C7C27">
        <w:rPr>
          <w:rFonts w:ascii="Times New Roman" w:hAnsi="Times New Roman" w:cs="Times New Roman"/>
          <w:sz w:val="24"/>
          <w:szCs w:val="24"/>
        </w:rPr>
        <w:t xml:space="preserve"> in</w:t>
      </w:r>
      <w:proofErr w:type="gramEnd"/>
      <w:r w:rsidR="00E75F39" w:rsidRPr="008C7C27">
        <w:rPr>
          <w:rFonts w:ascii="Times New Roman" w:hAnsi="Times New Roman" w:cs="Times New Roman"/>
          <w:sz w:val="24"/>
          <w:szCs w:val="24"/>
        </w:rPr>
        <w:t xml:space="preserve"> </w:t>
      </w:r>
      <w:proofErr w:type="spellStart"/>
      <w:r w:rsidR="00E75F39" w:rsidRPr="008C7C27">
        <w:rPr>
          <w:rFonts w:ascii="Times New Roman" w:hAnsi="Times New Roman" w:cs="Times New Roman"/>
          <w:sz w:val="24"/>
          <w:szCs w:val="24"/>
        </w:rPr>
        <w:t>Cheni</w:t>
      </w:r>
      <w:proofErr w:type="spellEnd"/>
      <w:r w:rsidR="00E75F39" w:rsidRPr="008C7C27">
        <w:rPr>
          <w:rFonts w:ascii="Times New Roman" w:hAnsi="Times New Roman" w:cs="Times New Roman"/>
          <w:sz w:val="24"/>
          <w:szCs w:val="24"/>
        </w:rPr>
        <w:t xml:space="preserve"> Investments (Pvt) Ltd which will confer ownership of unit 5</w:t>
      </w:r>
      <w:r w:rsidRPr="008C7C27">
        <w:rPr>
          <w:rFonts w:ascii="Times New Roman" w:hAnsi="Times New Roman" w:cs="Times New Roman"/>
          <w:sz w:val="24"/>
          <w:szCs w:val="24"/>
        </w:rPr>
        <w:t xml:space="preserve"> to Allan Tilling Russell or his nominees.</w:t>
      </w:r>
    </w:p>
    <w:p w:rsidR="00893550" w:rsidRPr="008C7C27" w:rsidRDefault="00893550" w:rsidP="00F01721">
      <w:pPr>
        <w:pStyle w:val="ListParagraph"/>
        <w:numPr>
          <w:ilvl w:val="0"/>
          <w:numId w:val="2"/>
        </w:numPr>
        <w:spacing w:after="0" w:line="360" w:lineRule="auto"/>
        <w:jc w:val="both"/>
        <w:rPr>
          <w:rFonts w:ascii="Times New Roman" w:hAnsi="Times New Roman" w:cs="Times New Roman"/>
          <w:sz w:val="24"/>
          <w:szCs w:val="24"/>
        </w:rPr>
      </w:pPr>
      <w:r w:rsidRPr="008C7C27">
        <w:rPr>
          <w:rFonts w:ascii="Times New Roman" w:hAnsi="Times New Roman" w:cs="Times New Roman"/>
          <w:sz w:val="24"/>
          <w:szCs w:val="24"/>
        </w:rPr>
        <w:t xml:space="preserve">Shares </w:t>
      </w:r>
      <w:r w:rsidR="00E75F39" w:rsidRPr="008C7C27">
        <w:rPr>
          <w:rFonts w:ascii="Times New Roman" w:hAnsi="Times New Roman" w:cs="Times New Roman"/>
          <w:sz w:val="24"/>
          <w:szCs w:val="24"/>
        </w:rPr>
        <w:t xml:space="preserve">in </w:t>
      </w:r>
      <w:proofErr w:type="spellStart"/>
      <w:r w:rsidR="00E75F39" w:rsidRPr="008C7C27">
        <w:rPr>
          <w:rFonts w:ascii="Times New Roman" w:hAnsi="Times New Roman" w:cs="Times New Roman"/>
          <w:sz w:val="24"/>
          <w:szCs w:val="24"/>
        </w:rPr>
        <w:t>Cheni</w:t>
      </w:r>
      <w:proofErr w:type="spellEnd"/>
      <w:r w:rsidR="00E75F39" w:rsidRPr="008C7C27">
        <w:rPr>
          <w:rFonts w:ascii="Times New Roman" w:hAnsi="Times New Roman" w:cs="Times New Roman"/>
          <w:sz w:val="24"/>
          <w:szCs w:val="24"/>
        </w:rPr>
        <w:t xml:space="preserve"> Investments (Pvt) Ltd which will confer ownership of units 4 and 12 to</w:t>
      </w:r>
      <w:r w:rsidRPr="008C7C27">
        <w:rPr>
          <w:rFonts w:ascii="Times New Roman" w:hAnsi="Times New Roman" w:cs="Times New Roman"/>
          <w:sz w:val="24"/>
          <w:szCs w:val="24"/>
        </w:rPr>
        <w:t xml:space="preserve"> </w:t>
      </w:r>
      <w:proofErr w:type="spellStart"/>
      <w:r w:rsidRPr="008C7C27">
        <w:rPr>
          <w:rFonts w:ascii="Times New Roman" w:hAnsi="Times New Roman" w:cs="Times New Roman"/>
          <w:sz w:val="24"/>
          <w:szCs w:val="24"/>
        </w:rPr>
        <w:t>Fairclot</w:t>
      </w:r>
      <w:proofErr w:type="spellEnd"/>
      <w:r w:rsidRPr="008C7C27">
        <w:rPr>
          <w:rFonts w:ascii="Times New Roman" w:hAnsi="Times New Roman" w:cs="Times New Roman"/>
          <w:sz w:val="24"/>
          <w:szCs w:val="24"/>
        </w:rPr>
        <w:t xml:space="preserve"> Investments (Pvt) Ltd or its nominees.</w:t>
      </w:r>
    </w:p>
    <w:p w:rsidR="00893550" w:rsidRPr="008C7C27" w:rsidRDefault="00893550" w:rsidP="00F01721">
      <w:pPr>
        <w:pStyle w:val="ListParagraph"/>
        <w:numPr>
          <w:ilvl w:val="0"/>
          <w:numId w:val="1"/>
        </w:numPr>
        <w:spacing w:after="0" w:line="360" w:lineRule="auto"/>
        <w:jc w:val="both"/>
        <w:rPr>
          <w:rFonts w:ascii="Times New Roman" w:hAnsi="Times New Roman" w:cs="Times New Roman"/>
          <w:sz w:val="24"/>
          <w:szCs w:val="24"/>
        </w:rPr>
      </w:pPr>
      <w:r w:rsidRPr="008C7C27">
        <w:rPr>
          <w:rFonts w:ascii="Times New Roman" w:hAnsi="Times New Roman" w:cs="Times New Roman"/>
          <w:sz w:val="24"/>
          <w:szCs w:val="24"/>
        </w:rPr>
        <w:t xml:space="preserve">The transfer of Unit/Share 3 of certain piece of land called the remainder of Lot 3 </w:t>
      </w:r>
      <w:proofErr w:type="spellStart"/>
      <w:r w:rsidRPr="008C7C27">
        <w:rPr>
          <w:rFonts w:ascii="Times New Roman" w:hAnsi="Times New Roman" w:cs="Times New Roman"/>
          <w:sz w:val="24"/>
          <w:szCs w:val="24"/>
        </w:rPr>
        <w:t>Lewisam</w:t>
      </w:r>
      <w:proofErr w:type="spellEnd"/>
      <w:r w:rsidRPr="008C7C27">
        <w:rPr>
          <w:rFonts w:ascii="Times New Roman" w:hAnsi="Times New Roman" w:cs="Times New Roman"/>
          <w:sz w:val="24"/>
          <w:szCs w:val="24"/>
        </w:rPr>
        <w:t xml:space="preserve"> of Lot E of </w:t>
      </w:r>
      <w:proofErr w:type="spellStart"/>
      <w:r w:rsidRPr="008C7C27">
        <w:rPr>
          <w:rFonts w:ascii="Times New Roman" w:hAnsi="Times New Roman" w:cs="Times New Roman"/>
          <w:sz w:val="24"/>
          <w:szCs w:val="24"/>
        </w:rPr>
        <w:t>Colne</w:t>
      </w:r>
      <w:proofErr w:type="spellEnd"/>
      <w:r w:rsidRPr="008C7C27">
        <w:rPr>
          <w:rFonts w:ascii="Times New Roman" w:hAnsi="Times New Roman" w:cs="Times New Roman"/>
          <w:sz w:val="24"/>
          <w:szCs w:val="24"/>
        </w:rPr>
        <w:t xml:space="preserve"> Valley of </w:t>
      </w:r>
      <w:proofErr w:type="spellStart"/>
      <w:r w:rsidRPr="008C7C27">
        <w:rPr>
          <w:rFonts w:ascii="Times New Roman" w:hAnsi="Times New Roman" w:cs="Times New Roman"/>
          <w:sz w:val="24"/>
          <w:szCs w:val="24"/>
        </w:rPr>
        <w:t>Reitfontein</w:t>
      </w:r>
      <w:proofErr w:type="spellEnd"/>
      <w:r w:rsidRPr="008C7C27">
        <w:rPr>
          <w:rFonts w:ascii="Times New Roman" w:hAnsi="Times New Roman" w:cs="Times New Roman"/>
          <w:sz w:val="24"/>
          <w:szCs w:val="24"/>
        </w:rPr>
        <w:t xml:space="preserve"> to </w:t>
      </w:r>
      <w:proofErr w:type="spellStart"/>
      <w:r w:rsidRPr="008C7C27">
        <w:rPr>
          <w:rFonts w:ascii="Times New Roman" w:hAnsi="Times New Roman" w:cs="Times New Roman"/>
          <w:sz w:val="24"/>
          <w:szCs w:val="24"/>
        </w:rPr>
        <w:t>Pervaz</w:t>
      </w:r>
      <w:proofErr w:type="spellEnd"/>
      <w:r w:rsidRPr="008C7C27">
        <w:rPr>
          <w:rFonts w:ascii="Times New Roman" w:hAnsi="Times New Roman" w:cs="Times New Roman"/>
          <w:sz w:val="24"/>
          <w:szCs w:val="24"/>
        </w:rPr>
        <w:t xml:space="preserve"> Khan under Deed of Transfer No. 8950/08 be and is hereby set aside.</w:t>
      </w:r>
    </w:p>
    <w:p w:rsidR="00893550" w:rsidRPr="008C7C27" w:rsidRDefault="00893550" w:rsidP="00F01721">
      <w:pPr>
        <w:pStyle w:val="ListParagraph"/>
        <w:numPr>
          <w:ilvl w:val="0"/>
          <w:numId w:val="1"/>
        </w:numPr>
        <w:spacing w:after="0" w:line="360" w:lineRule="auto"/>
        <w:jc w:val="both"/>
        <w:rPr>
          <w:rFonts w:ascii="Times New Roman" w:hAnsi="Times New Roman" w:cs="Times New Roman"/>
          <w:sz w:val="24"/>
          <w:szCs w:val="24"/>
        </w:rPr>
      </w:pPr>
      <w:r w:rsidRPr="008C7C27">
        <w:rPr>
          <w:rFonts w:ascii="Times New Roman" w:hAnsi="Times New Roman" w:cs="Times New Roman"/>
          <w:sz w:val="24"/>
          <w:szCs w:val="24"/>
        </w:rPr>
        <w:t xml:space="preserve">The first respondent be and is hereby ordered to transfer to the fourth applicant shares in </w:t>
      </w:r>
      <w:proofErr w:type="spellStart"/>
      <w:r w:rsidR="00E75F39" w:rsidRPr="008C7C27">
        <w:rPr>
          <w:rFonts w:ascii="Times New Roman" w:hAnsi="Times New Roman" w:cs="Times New Roman"/>
          <w:sz w:val="24"/>
          <w:szCs w:val="24"/>
        </w:rPr>
        <w:t>Cheni</w:t>
      </w:r>
      <w:proofErr w:type="spellEnd"/>
      <w:r w:rsidR="00E75F39" w:rsidRPr="008C7C27">
        <w:rPr>
          <w:rFonts w:ascii="Times New Roman" w:hAnsi="Times New Roman" w:cs="Times New Roman"/>
          <w:sz w:val="24"/>
          <w:szCs w:val="24"/>
        </w:rPr>
        <w:t xml:space="preserve"> Investments (Pvt) Ltd which will confer ownership of unit 3 to fourth applicant.</w:t>
      </w:r>
    </w:p>
    <w:p w:rsidR="007D6696" w:rsidRPr="008C7C27" w:rsidRDefault="007D6696" w:rsidP="00F01721">
      <w:pPr>
        <w:pStyle w:val="ListParagraph"/>
        <w:numPr>
          <w:ilvl w:val="0"/>
          <w:numId w:val="1"/>
        </w:numPr>
        <w:spacing w:after="0" w:line="360" w:lineRule="auto"/>
        <w:jc w:val="both"/>
        <w:rPr>
          <w:rFonts w:ascii="Times New Roman" w:hAnsi="Times New Roman" w:cs="Times New Roman"/>
          <w:sz w:val="24"/>
          <w:szCs w:val="24"/>
        </w:rPr>
      </w:pPr>
      <w:r w:rsidRPr="008C7C27">
        <w:rPr>
          <w:rFonts w:ascii="Times New Roman" w:hAnsi="Times New Roman" w:cs="Times New Roman"/>
          <w:sz w:val="24"/>
          <w:szCs w:val="24"/>
        </w:rPr>
        <w:t xml:space="preserve">In the event of the first respondent failing to effect transfer in terms of </w:t>
      </w:r>
      <w:proofErr w:type="spellStart"/>
      <w:r w:rsidRPr="008C7C27">
        <w:rPr>
          <w:rFonts w:ascii="Times New Roman" w:hAnsi="Times New Roman" w:cs="Times New Roman"/>
          <w:sz w:val="24"/>
          <w:szCs w:val="24"/>
        </w:rPr>
        <w:t>para</w:t>
      </w:r>
      <w:proofErr w:type="spellEnd"/>
      <w:r w:rsidRPr="008C7C27">
        <w:rPr>
          <w:rFonts w:ascii="Times New Roman" w:hAnsi="Times New Roman" w:cs="Times New Roman"/>
          <w:sz w:val="24"/>
          <w:szCs w:val="24"/>
        </w:rPr>
        <w:t xml:space="preserve"> 2, 4 and 5, the Deputy Sheriff be and is hereby authorised to sign the necessary papers to effect transfer.</w:t>
      </w:r>
    </w:p>
    <w:p w:rsidR="007D6696" w:rsidRPr="008C7C27" w:rsidRDefault="007D6696" w:rsidP="00F01721">
      <w:pPr>
        <w:pStyle w:val="ListParagraph"/>
        <w:numPr>
          <w:ilvl w:val="0"/>
          <w:numId w:val="1"/>
        </w:numPr>
        <w:spacing w:after="0" w:line="360" w:lineRule="auto"/>
        <w:jc w:val="both"/>
        <w:rPr>
          <w:rFonts w:ascii="Times New Roman" w:hAnsi="Times New Roman" w:cs="Times New Roman"/>
          <w:sz w:val="24"/>
          <w:szCs w:val="24"/>
        </w:rPr>
      </w:pPr>
      <w:r w:rsidRPr="008C7C27">
        <w:rPr>
          <w:rFonts w:ascii="Times New Roman" w:hAnsi="Times New Roman" w:cs="Times New Roman"/>
          <w:sz w:val="24"/>
          <w:szCs w:val="24"/>
        </w:rPr>
        <w:lastRenderedPageBreak/>
        <w:t>The first, second, third, fourth and fifth respondents, are hereby ordered to pay costs of suit.</w:t>
      </w:r>
    </w:p>
    <w:p w:rsidR="007D6696" w:rsidRPr="008C7C27" w:rsidRDefault="007D6696" w:rsidP="00F01721">
      <w:pPr>
        <w:spacing w:after="0" w:line="360" w:lineRule="auto"/>
        <w:jc w:val="both"/>
        <w:rPr>
          <w:rFonts w:ascii="Times New Roman" w:hAnsi="Times New Roman" w:cs="Times New Roman"/>
          <w:sz w:val="24"/>
          <w:szCs w:val="24"/>
        </w:rPr>
      </w:pPr>
    </w:p>
    <w:p w:rsidR="007D6696" w:rsidRPr="008C7C27" w:rsidRDefault="007D6696" w:rsidP="00F01721">
      <w:pPr>
        <w:spacing w:after="0" w:line="360" w:lineRule="auto"/>
        <w:jc w:val="both"/>
        <w:rPr>
          <w:rFonts w:ascii="Times New Roman" w:hAnsi="Times New Roman" w:cs="Times New Roman"/>
          <w:sz w:val="24"/>
          <w:szCs w:val="24"/>
        </w:rPr>
      </w:pPr>
    </w:p>
    <w:p w:rsidR="007D6696" w:rsidRPr="008C7C27" w:rsidRDefault="007D6696" w:rsidP="00F01721">
      <w:pPr>
        <w:spacing w:after="0" w:line="360" w:lineRule="auto"/>
        <w:jc w:val="both"/>
        <w:rPr>
          <w:rFonts w:ascii="Times New Roman" w:hAnsi="Times New Roman" w:cs="Times New Roman"/>
          <w:sz w:val="24"/>
          <w:szCs w:val="24"/>
        </w:rPr>
      </w:pPr>
    </w:p>
    <w:p w:rsidR="007D6696" w:rsidRPr="008C7C27" w:rsidRDefault="007D6696" w:rsidP="00F01721">
      <w:pPr>
        <w:spacing w:after="0" w:line="360" w:lineRule="auto"/>
        <w:jc w:val="both"/>
        <w:rPr>
          <w:rFonts w:ascii="Times New Roman" w:hAnsi="Times New Roman" w:cs="Times New Roman"/>
          <w:sz w:val="24"/>
          <w:szCs w:val="24"/>
        </w:rPr>
      </w:pPr>
    </w:p>
    <w:p w:rsidR="007D6696" w:rsidRPr="008C7C27" w:rsidRDefault="007D6696" w:rsidP="00F01721">
      <w:pPr>
        <w:spacing w:after="0" w:line="240" w:lineRule="auto"/>
        <w:jc w:val="both"/>
        <w:rPr>
          <w:rFonts w:ascii="Times New Roman" w:hAnsi="Times New Roman" w:cs="Times New Roman"/>
          <w:sz w:val="24"/>
          <w:szCs w:val="24"/>
        </w:rPr>
      </w:pPr>
      <w:proofErr w:type="spellStart"/>
      <w:r w:rsidRPr="008C7C27">
        <w:rPr>
          <w:rFonts w:ascii="Times New Roman" w:hAnsi="Times New Roman" w:cs="Times New Roman"/>
          <w:i/>
          <w:sz w:val="24"/>
          <w:szCs w:val="24"/>
        </w:rPr>
        <w:t>Mutumbwa</w:t>
      </w:r>
      <w:proofErr w:type="spellEnd"/>
      <w:r w:rsidRPr="008C7C27">
        <w:rPr>
          <w:rFonts w:ascii="Times New Roman" w:hAnsi="Times New Roman" w:cs="Times New Roman"/>
          <w:i/>
          <w:sz w:val="24"/>
          <w:szCs w:val="24"/>
        </w:rPr>
        <w:t xml:space="preserve"> Mugabe &amp; Partners</w:t>
      </w:r>
      <w:r w:rsidRPr="008C7C27">
        <w:rPr>
          <w:rFonts w:ascii="Times New Roman" w:hAnsi="Times New Roman" w:cs="Times New Roman"/>
          <w:sz w:val="24"/>
          <w:szCs w:val="24"/>
        </w:rPr>
        <w:t>, applicant’s legal practitioners</w:t>
      </w:r>
    </w:p>
    <w:p w:rsidR="007D6696" w:rsidRPr="008C7C27" w:rsidRDefault="007D6696" w:rsidP="00F01721">
      <w:pPr>
        <w:spacing w:after="0" w:line="240" w:lineRule="auto"/>
        <w:jc w:val="both"/>
        <w:rPr>
          <w:rFonts w:ascii="Times New Roman" w:hAnsi="Times New Roman" w:cs="Times New Roman"/>
          <w:sz w:val="24"/>
          <w:szCs w:val="24"/>
        </w:rPr>
      </w:pPr>
      <w:proofErr w:type="spellStart"/>
      <w:r w:rsidRPr="008C7C27">
        <w:rPr>
          <w:rFonts w:ascii="Times New Roman" w:hAnsi="Times New Roman" w:cs="Times New Roman"/>
          <w:i/>
          <w:sz w:val="24"/>
          <w:szCs w:val="24"/>
        </w:rPr>
        <w:t>Matipano</w:t>
      </w:r>
      <w:proofErr w:type="spellEnd"/>
      <w:r w:rsidRPr="008C7C27">
        <w:rPr>
          <w:rFonts w:ascii="Times New Roman" w:hAnsi="Times New Roman" w:cs="Times New Roman"/>
          <w:i/>
          <w:sz w:val="24"/>
          <w:szCs w:val="24"/>
        </w:rPr>
        <w:t xml:space="preserve"> &amp; Associates</w:t>
      </w:r>
      <w:r w:rsidRPr="008C7C27">
        <w:rPr>
          <w:rFonts w:ascii="Times New Roman" w:hAnsi="Times New Roman" w:cs="Times New Roman"/>
          <w:sz w:val="24"/>
          <w:szCs w:val="24"/>
        </w:rPr>
        <w:t>, 1</w:t>
      </w:r>
      <w:r w:rsidRPr="008C7C27">
        <w:rPr>
          <w:rFonts w:ascii="Times New Roman" w:hAnsi="Times New Roman" w:cs="Times New Roman"/>
          <w:sz w:val="24"/>
          <w:szCs w:val="24"/>
          <w:vertAlign w:val="superscript"/>
        </w:rPr>
        <w:t>st</w:t>
      </w:r>
      <w:r w:rsidRPr="008C7C27">
        <w:rPr>
          <w:rFonts w:ascii="Times New Roman" w:hAnsi="Times New Roman" w:cs="Times New Roman"/>
          <w:sz w:val="24"/>
          <w:szCs w:val="24"/>
        </w:rPr>
        <w:t xml:space="preserve"> &amp; 2</w:t>
      </w:r>
      <w:r w:rsidRPr="008C7C27">
        <w:rPr>
          <w:rFonts w:ascii="Times New Roman" w:hAnsi="Times New Roman" w:cs="Times New Roman"/>
          <w:sz w:val="24"/>
          <w:szCs w:val="24"/>
          <w:vertAlign w:val="superscript"/>
        </w:rPr>
        <w:t>nd</w:t>
      </w:r>
      <w:r w:rsidRPr="008C7C27">
        <w:rPr>
          <w:rFonts w:ascii="Times New Roman" w:hAnsi="Times New Roman" w:cs="Times New Roman"/>
          <w:sz w:val="24"/>
          <w:szCs w:val="24"/>
        </w:rPr>
        <w:t xml:space="preserve"> respondents’ legal practitioners</w:t>
      </w:r>
    </w:p>
    <w:p w:rsidR="007D6696" w:rsidRPr="008C7C27" w:rsidRDefault="007D6696" w:rsidP="00F01721">
      <w:pPr>
        <w:spacing w:after="0" w:line="240" w:lineRule="auto"/>
        <w:jc w:val="both"/>
        <w:rPr>
          <w:rFonts w:ascii="Times New Roman" w:hAnsi="Times New Roman" w:cs="Times New Roman"/>
          <w:sz w:val="24"/>
          <w:szCs w:val="24"/>
        </w:rPr>
      </w:pPr>
      <w:proofErr w:type="spellStart"/>
      <w:r w:rsidRPr="008C7C27">
        <w:rPr>
          <w:rFonts w:ascii="Times New Roman" w:hAnsi="Times New Roman" w:cs="Times New Roman"/>
          <w:i/>
          <w:sz w:val="24"/>
          <w:szCs w:val="24"/>
        </w:rPr>
        <w:t>Chiganga</w:t>
      </w:r>
      <w:proofErr w:type="spellEnd"/>
      <w:r w:rsidRPr="008C7C27">
        <w:rPr>
          <w:rFonts w:ascii="Times New Roman" w:hAnsi="Times New Roman" w:cs="Times New Roman"/>
          <w:i/>
          <w:sz w:val="24"/>
          <w:szCs w:val="24"/>
        </w:rPr>
        <w:t xml:space="preserve"> &amp; Company</w:t>
      </w:r>
      <w:r w:rsidRPr="008C7C27">
        <w:rPr>
          <w:rFonts w:ascii="Times New Roman" w:hAnsi="Times New Roman" w:cs="Times New Roman"/>
          <w:sz w:val="24"/>
          <w:szCs w:val="24"/>
        </w:rPr>
        <w:t>, 3</w:t>
      </w:r>
      <w:r w:rsidRPr="008C7C27">
        <w:rPr>
          <w:rFonts w:ascii="Times New Roman" w:hAnsi="Times New Roman" w:cs="Times New Roman"/>
          <w:sz w:val="24"/>
          <w:szCs w:val="24"/>
          <w:vertAlign w:val="superscript"/>
        </w:rPr>
        <w:t>rd</w:t>
      </w:r>
      <w:r w:rsidRPr="008C7C27">
        <w:rPr>
          <w:rFonts w:ascii="Times New Roman" w:hAnsi="Times New Roman" w:cs="Times New Roman"/>
          <w:sz w:val="24"/>
          <w:szCs w:val="24"/>
        </w:rPr>
        <w:t xml:space="preserve"> respondent’s legal practitioners</w:t>
      </w:r>
    </w:p>
    <w:p w:rsidR="00992DF5" w:rsidRPr="008C7C27" w:rsidRDefault="00992DF5" w:rsidP="00F01721">
      <w:pPr>
        <w:spacing w:after="0" w:line="240" w:lineRule="auto"/>
        <w:jc w:val="both"/>
        <w:rPr>
          <w:rFonts w:ascii="Times New Roman" w:hAnsi="Times New Roman" w:cs="Times New Roman"/>
          <w:sz w:val="24"/>
          <w:szCs w:val="24"/>
        </w:rPr>
      </w:pPr>
    </w:p>
    <w:p w:rsidR="00AD100B" w:rsidRPr="008C7C27" w:rsidRDefault="00CA6776" w:rsidP="00F01721">
      <w:pPr>
        <w:spacing w:after="0" w:line="240" w:lineRule="auto"/>
        <w:ind w:firstLine="720"/>
        <w:jc w:val="both"/>
        <w:rPr>
          <w:rFonts w:ascii="Times New Roman" w:hAnsi="Times New Roman" w:cs="Times New Roman"/>
          <w:sz w:val="24"/>
          <w:szCs w:val="24"/>
        </w:rPr>
      </w:pPr>
      <w:r w:rsidRPr="008C7C27">
        <w:rPr>
          <w:rFonts w:ascii="Times New Roman" w:hAnsi="Times New Roman" w:cs="Times New Roman"/>
          <w:sz w:val="24"/>
          <w:szCs w:val="24"/>
        </w:rPr>
        <w:t xml:space="preserve"> </w:t>
      </w:r>
      <w:r w:rsidR="002F7DC9" w:rsidRPr="008C7C27">
        <w:rPr>
          <w:rFonts w:ascii="Times New Roman" w:hAnsi="Times New Roman" w:cs="Times New Roman"/>
          <w:sz w:val="24"/>
          <w:szCs w:val="24"/>
        </w:rPr>
        <w:t xml:space="preserve"> </w:t>
      </w:r>
      <w:r w:rsidR="00F55850" w:rsidRPr="008C7C27">
        <w:rPr>
          <w:rFonts w:ascii="Times New Roman" w:hAnsi="Times New Roman" w:cs="Times New Roman"/>
          <w:sz w:val="24"/>
          <w:szCs w:val="24"/>
        </w:rPr>
        <w:t xml:space="preserve">  </w:t>
      </w:r>
    </w:p>
    <w:p w:rsidR="00AD100B" w:rsidRPr="008C7C27" w:rsidRDefault="00AD100B" w:rsidP="00F01721">
      <w:pPr>
        <w:spacing w:after="0" w:line="240" w:lineRule="auto"/>
        <w:jc w:val="both"/>
        <w:rPr>
          <w:rFonts w:ascii="Times New Roman" w:hAnsi="Times New Roman" w:cs="Times New Roman"/>
          <w:sz w:val="24"/>
          <w:szCs w:val="24"/>
        </w:rPr>
      </w:pPr>
    </w:p>
    <w:sectPr w:rsidR="00AD100B" w:rsidRPr="008C7C2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43E" w:rsidRDefault="00EC243E" w:rsidP="00680B5F">
      <w:pPr>
        <w:spacing w:after="0" w:line="240" w:lineRule="auto"/>
      </w:pPr>
      <w:r>
        <w:separator/>
      </w:r>
    </w:p>
  </w:endnote>
  <w:endnote w:type="continuationSeparator" w:id="0">
    <w:p w:rsidR="00EC243E" w:rsidRDefault="00EC243E" w:rsidP="0068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43E" w:rsidRDefault="00EC243E" w:rsidP="00680B5F">
      <w:pPr>
        <w:spacing w:after="0" w:line="240" w:lineRule="auto"/>
      </w:pPr>
      <w:r>
        <w:separator/>
      </w:r>
    </w:p>
  </w:footnote>
  <w:footnote w:type="continuationSeparator" w:id="0">
    <w:p w:rsidR="00EC243E" w:rsidRDefault="00EC243E" w:rsidP="00680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750036"/>
      <w:docPartObj>
        <w:docPartGallery w:val="Page Numbers (Top of Page)"/>
        <w:docPartUnique/>
      </w:docPartObj>
    </w:sdtPr>
    <w:sdtEndPr>
      <w:rPr>
        <w:noProof/>
      </w:rPr>
    </w:sdtEndPr>
    <w:sdtContent>
      <w:p w:rsidR="00680B5F" w:rsidRDefault="00680B5F">
        <w:pPr>
          <w:pStyle w:val="Header"/>
          <w:jc w:val="right"/>
          <w:rPr>
            <w:noProof/>
          </w:rPr>
        </w:pPr>
        <w:r>
          <w:fldChar w:fldCharType="begin"/>
        </w:r>
        <w:r>
          <w:instrText xml:space="preserve"> PAGE   \* MERGEFORMAT </w:instrText>
        </w:r>
        <w:r>
          <w:fldChar w:fldCharType="separate"/>
        </w:r>
        <w:r w:rsidR="00C35CFA">
          <w:rPr>
            <w:noProof/>
          </w:rPr>
          <w:t>1</w:t>
        </w:r>
        <w:r>
          <w:rPr>
            <w:noProof/>
          </w:rPr>
          <w:fldChar w:fldCharType="end"/>
        </w:r>
      </w:p>
    </w:sdtContent>
  </w:sdt>
  <w:p w:rsidR="00680B5F" w:rsidRDefault="00680B5F">
    <w:pPr>
      <w:pStyle w:val="Header"/>
      <w:jc w:val="right"/>
    </w:pPr>
    <w:r>
      <w:t>HH 124-11</w:t>
    </w:r>
  </w:p>
  <w:p w:rsidR="00680B5F" w:rsidRDefault="00680B5F">
    <w:pPr>
      <w:pStyle w:val="Header"/>
      <w:jc w:val="right"/>
    </w:pPr>
    <w:r>
      <w:t>HC 3855/09</w:t>
    </w:r>
  </w:p>
  <w:p w:rsidR="00680B5F" w:rsidRDefault="00680B5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229A7"/>
    <w:multiLevelType w:val="hybridMultilevel"/>
    <w:tmpl w:val="15942AF4"/>
    <w:lvl w:ilvl="0" w:tplc="2FC0356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67D7AA2"/>
    <w:multiLevelType w:val="hybridMultilevel"/>
    <w:tmpl w:val="D9AADD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00B"/>
    <w:rsid w:val="000430AC"/>
    <w:rsid w:val="00065AEF"/>
    <w:rsid w:val="00103214"/>
    <w:rsid w:val="00157811"/>
    <w:rsid w:val="001C6110"/>
    <w:rsid w:val="00242CC1"/>
    <w:rsid w:val="002F7DC9"/>
    <w:rsid w:val="004862D2"/>
    <w:rsid w:val="004C5355"/>
    <w:rsid w:val="005E41E6"/>
    <w:rsid w:val="005E4A1B"/>
    <w:rsid w:val="005F762F"/>
    <w:rsid w:val="005F7F62"/>
    <w:rsid w:val="00625331"/>
    <w:rsid w:val="00680B5F"/>
    <w:rsid w:val="00716856"/>
    <w:rsid w:val="007D07EA"/>
    <w:rsid w:val="007D6696"/>
    <w:rsid w:val="00893550"/>
    <w:rsid w:val="008C7C27"/>
    <w:rsid w:val="00926807"/>
    <w:rsid w:val="00992DF5"/>
    <w:rsid w:val="00AD100B"/>
    <w:rsid w:val="00AD5C1D"/>
    <w:rsid w:val="00B812DE"/>
    <w:rsid w:val="00C35CFA"/>
    <w:rsid w:val="00C373A6"/>
    <w:rsid w:val="00C4021E"/>
    <w:rsid w:val="00CA6776"/>
    <w:rsid w:val="00CC74B5"/>
    <w:rsid w:val="00CD08DF"/>
    <w:rsid w:val="00D32ED7"/>
    <w:rsid w:val="00D53838"/>
    <w:rsid w:val="00DE2A35"/>
    <w:rsid w:val="00E209D7"/>
    <w:rsid w:val="00E3114D"/>
    <w:rsid w:val="00E404CD"/>
    <w:rsid w:val="00E75F39"/>
    <w:rsid w:val="00EC243E"/>
    <w:rsid w:val="00F01721"/>
    <w:rsid w:val="00F55850"/>
    <w:rsid w:val="00FE35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62F"/>
    <w:pPr>
      <w:ind w:left="720"/>
      <w:contextualSpacing/>
    </w:pPr>
  </w:style>
  <w:style w:type="paragraph" w:styleId="Header">
    <w:name w:val="header"/>
    <w:basedOn w:val="Normal"/>
    <w:link w:val="HeaderChar"/>
    <w:uiPriority w:val="99"/>
    <w:unhideWhenUsed/>
    <w:rsid w:val="00680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B5F"/>
  </w:style>
  <w:style w:type="paragraph" w:styleId="Footer">
    <w:name w:val="footer"/>
    <w:basedOn w:val="Normal"/>
    <w:link w:val="FooterChar"/>
    <w:uiPriority w:val="99"/>
    <w:unhideWhenUsed/>
    <w:rsid w:val="00680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B5F"/>
  </w:style>
  <w:style w:type="paragraph" w:styleId="BalloonText">
    <w:name w:val="Balloon Text"/>
    <w:basedOn w:val="Normal"/>
    <w:link w:val="BalloonTextChar"/>
    <w:uiPriority w:val="99"/>
    <w:semiHidden/>
    <w:unhideWhenUsed/>
    <w:rsid w:val="008C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C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62F"/>
    <w:pPr>
      <w:ind w:left="720"/>
      <w:contextualSpacing/>
    </w:pPr>
  </w:style>
  <w:style w:type="paragraph" w:styleId="Header">
    <w:name w:val="header"/>
    <w:basedOn w:val="Normal"/>
    <w:link w:val="HeaderChar"/>
    <w:uiPriority w:val="99"/>
    <w:unhideWhenUsed/>
    <w:rsid w:val="00680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B5F"/>
  </w:style>
  <w:style w:type="paragraph" w:styleId="Footer">
    <w:name w:val="footer"/>
    <w:basedOn w:val="Normal"/>
    <w:link w:val="FooterChar"/>
    <w:uiPriority w:val="99"/>
    <w:unhideWhenUsed/>
    <w:rsid w:val="00680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B5F"/>
  </w:style>
  <w:style w:type="paragraph" w:styleId="BalloonText">
    <w:name w:val="Balloon Text"/>
    <w:basedOn w:val="Normal"/>
    <w:link w:val="BalloonTextChar"/>
    <w:uiPriority w:val="99"/>
    <w:semiHidden/>
    <w:unhideWhenUsed/>
    <w:rsid w:val="008C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2011-06-24T11:18:00Z</cp:lastPrinted>
  <dcterms:created xsi:type="dcterms:W3CDTF">2011-06-30T14:08:00Z</dcterms:created>
  <dcterms:modified xsi:type="dcterms:W3CDTF">2011-06-30T14:08:00Z</dcterms:modified>
</cp:coreProperties>
</file>