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29" w:rsidRDefault="000D67E7" w:rsidP="000D67E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THE LABOUR COURT OF ZIMBABWE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JUDGMENT NO LC/H/</w:t>
      </w:r>
      <w:r w:rsidR="00FB4370">
        <w:rPr>
          <w:b/>
          <w:sz w:val="24"/>
          <w:szCs w:val="24"/>
        </w:rPr>
        <w:t>47</w:t>
      </w:r>
      <w:bookmarkStart w:id="0" w:name="_GoBack"/>
      <w:bookmarkEnd w:id="0"/>
      <w:r>
        <w:rPr>
          <w:b/>
          <w:sz w:val="24"/>
          <w:szCs w:val="24"/>
        </w:rPr>
        <w:t>/16</w:t>
      </w:r>
    </w:p>
    <w:p w:rsidR="000D67E7" w:rsidRDefault="000D67E7" w:rsidP="000D67E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HELD AT HARARE 20</w:t>
      </w:r>
      <w:r w:rsidRPr="000D67E7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2016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CASE NO LC/H/812/15</w:t>
      </w:r>
    </w:p>
    <w:p w:rsidR="000D67E7" w:rsidRDefault="000D67E7" w:rsidP="000D67E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&amp;</w:t>
      </w:r>
      <w:r w:rsidR="00884379">
        <w:rPr>
          <w:b/>
          <w:sz w:val="24"/>
          <w:szCs w:val="24"/>
        </w:rPr>
        <w:t xml:space="preserve"> 5</w:t>
      </w:r>
      <w:r w:rsidR="00884379" w:rsidRPr="00884379">
        <w:rPr>
          <w:b/>
          <w:sz w:val="24"/>
          <w:szCs w:val="24"/>
          <w:vertAlign w:val="superscript"/>
        </w:rPr>
        <w:t>TH</w:t>
      </w:r>
      <w:r w:rsidR="00884379">
        <w:rPr>
          <w:b/>
          <w:sz w:val="24"/>
          <w:szCs w:val="24"/>
        </w:rPr>
        <w:t xml:space="preserve"> FEBRUARY 2016</w:t>
      </w:r>
    </w:p>
    <w:p w:rsidR="000D67E7" w:rsidRDefault="000D67E7" w:rsidP="000D67E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DOVES HOLDINGS (PVT) LTD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84379">
        <w:rPr>
          <w:b/>
          <w:sz w:val="24"/>
          <w:szCs w:val="24"/>
        </w:rPr>
        <w:tab/>
      </w:r>
      <w:r>
        <w:rPr>
          <w:b/>
          <w:sz w:val="24"/>
          <w:szCs w:val="24"/>
        </w:rPr>
        <w:t>Appellant</w:t>
      </w:r>
    </w:p>
    <w:p w:rsidR="000D67E7" w:rsidRDefault="000D67E7" w:rsidP="000D67E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CALISTO KEREKE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84379">
        <w:rPr>
          <w:b/>
          <w:sz w:val="24"/>
          <w:szCs w:val="24"/>
        </w:rPr>
        <w:tab/>
      </w:r>
      <w:r>
        <w:rPr>
          <w:b/>
          <w:sz w:val="24"/>
          <w:szCs w:val="24"/>
        </w:rPr>
        <w:t>Respondent</w:t>
      </w:r>
    </w:p>
    <w:p w:rsidR="00884379" w:rsidRDefault="00884379" w:rsidP="000D67E7">
      <w:pPr>
        <w:spacing w:line="360" w:lineRule="auto"/>
        <w:jc w:val="both"/>
        <w:rPr>
          <w:b/>
          <w:sz w:val="24"/>
          <w:szCs w:val="24"/>
        </w:rPr>
      </w:pPr>
    </w:p>
    <w:p w:rsidR="000D67E7" w:rsidRDefault="000D67E7" w:rsidP="000D67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Before The Honourable G Musariri, Judge</w:t>
      </w:r>
    </w:p>
    <w:p w:rsidR="000D67E7" w:rsidRDefault="000D67E7" w:rsidP="000D67E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 Appellant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Mr B Vito, Company Secretary</w:t>
      </w:r>
    </w:p>
    <w:p w:rsidR="000D67E7" w:rsidRDefault="000D67E7" w:rsidP="000D67E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 Respondent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Ms U </w:t>
      </w:r>
      <w:proofErr w:type="spellStart"/>
      <w:r>
        <w:rPr>
          <w:b/>
          <w:sz w:val="24"/>
          <w:szCs w:val="24"/>
        </w:rPr>
        <w:t>Goremusandu</w:t>
      </w:r>
      <w:proofErr w:type="spellEnd"/>
      <w:r>
        <w:rPr>
          <w:b/>
          <w:sz w:val="24"/>
          <w:szCs w:val="24"/>
        </w:rPr>
        <w:t>, Unionist</w:t>
      </w:r>
    </w:p>
    <w:p w:rsidR="000D67E7" w:rsidRDefault="000D67E7" w:rsidP="000D67E7">
      <w:pPr>
        <w:spacing w:line="360" w:lineRule="auto"/>
        <w:jc w:val="both"/>
        <w:rPr>
          <w:b/>
          <w:sz w:val="24"/>
          <w:szCs w:val="24"/>
        </w:rPr>
      </w:pPr>
    </w:p>
    <w:p w:rsidR="000D67E7" w:rsidRDefault="000D67E7" w:rsidP="000D67E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MUSARIRI, J:</w:t>
      </w:r>
    </w:p>
    <w:p w:rsidR="000D67E7" w:rsidRPr="000D67E7" w:rsidRDefault="000D67E7" w:rsidP="000D67E7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On 4 August 2015 at Harare, Arbitrator B </w:t>
      </w:r>
      <w:proofErr w:type="spellStart"/>
      <w:r>
        <w:rPr>
          <w:sz w:val="24"/>
          <w:szCs w:val="24"/>
        </w:rPr>
        <w:t>Mudiwa</w:t>
      </w:r>
      <w:proofErr w:type="spellEnd"/>
      <w:r>
        <w:rPr>
          <w:sz w:val="24"/>
          <w:szCs w:val="24"/>
        </w:rPr>
        <w:t xml:space="preserve"> issued on arbitration award.</w:t>
      </w:r>
      <w:proofErr w:type="gramEnd"/>
      <w:r>
        <w:rPr>
          <w:sz w:val="24"/>
          <w:szCs w:val="24"/>
        </w:rPr>
        <w:t xml:space="preserve">  He ordered appellant to reinstate respondent or pay him damages in lieu of reinstatement.  Appellant then appealed to this Court against the award.  Respondent opposed the appeal.</w:t>
      </w:r>
    </w:p>
    <w:p w:rsidR="000D67E7" w:rsidRDefault="000D67E7" w:rsidP="000D67E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0D67E7">
        <w:rPr>
          <w:sz w:val="24"/>
          <w:szCs w:val="24"/>
        </w:rPr>
        <w:t>The grounds of appeal complained that</w:t>
      </w:r>
      <w:r>
        <w:rPr>
          <w:b/>
          <w:sz w:val="24"/>
          <w:szCs w:val="24"/>
        </w:rPr>
        <w:t>,</w:t>
      </w:r>
    </w:p>
    <w:p w:rsidR="000D67E7" w:rsidRPr="00D95870" w:rsidRDefault="000D67E7" w:rsidP="00884379">
      <w:pPr>
        <w:spacing w:after="0" w:line="360" w:lineRule="auto"/>
        <w:ind w:left="1440" w:hanging="720"/>
        <w:jc w:val="both"/>
      </w:pPr>
      <w:r>
        <w:rPr>
          <w:sz w:val="24"/>
          <w:szCs w:val="24"/>
        </w:rPr>
        <w:t>“1.</w:t>
      </w:r>
      <w:r>
        <w:rPr>
          <w:sz w:val="24"/>
          <w:szCs w:val="24"/>
        </w:rPr>
        <w:tab/>
      </w:r>
      <w:r w:rsidRPr="00D95870">
        <w:t>The Honourable Arbitrator grossly misdirected himself on the facts and evidence in circumstances amounting to a misdirection of law including but not limited to the following</w:t>
      </w:r>
    </w:p>
    <w:p w:rsidR="000D67E7" w:rsidRPr="00D95870" w:rsidRDefault="000D67E7" w:rsidP="003D7674">
      <w:pPr>
        <w:pStyle w:val="ListParagraph"/>
        <w:numPr>
          <w:ilvl w:val="0"/>
          <w:numId w:val="1"/>
        </w:numPr>
        <w:spacing w:after="0" w:line="360" w:lineRule="auto"/>
        <w:jc w:val="both"/>
      </w:pPr>
      <w:r w:rsidRPr="00D95870">
        <w:t xml:space="preserve">That </w:t>
      </w:r>
      <w:r w:rsidR="00014B4B" w:rsidRPr="00D95870">
        <w:t>the appellant assigned the respondent drivers to drive him about;</w:t>
      </w:r>
    </w:p>
    <w:p w:rsidR="00014B4B" w:rsidRPr="00D95870" w:rsidRDefault="00014B4B" w:rsidP="000D67E7">
      <w:pPr>
        <w:pStyle w:val="ListParagraph"/>
        <w:numPr>
          <w:ilvl w:val="0"/>
          <w:numId w:val="1"/>
        </w:numPr>
        <w:spacing w:after="0" w:line="360" w:lineRule="auto"/>
        <w:jc w:val="both"/>
      </w:pPr>
      <w:r w:rsidRPr="00D95870">
        <w:t xml:space="preserve">That respondent took no action for the period ranging from December 2012 to January 2015 when </w:t>
      </w:r>
      <w:proofErr w:type="spellStart"/>
      <w:r w:rsidRPr="00D95870">
        <w:t>infact</w:t>
      </w:r>
      <w:proofErr w:type="spellEnd"/>
      <w:r w:rsidRPr="00D95870">
        <w:t xml:space="preserve"> the offence only came to light when a driver’s licence verification exercise was carried out in 2014 wherein the respondent misrepresented that his driver’s licence was at his rural home.</w:t>
      </w:r>
    </w:p>
    <w:p w:rsidR="00014B4B" w:rsidRPr="00D95870" w:rsidRDefault="00014B4B" w:rsidP="000D67E7">
      <w:pPr>
        <w:pStyle w:val="ListParagraph"/>
        <w:numPr>
          <w:ilvl w:val="0"/>
          <w:numId w:val="1"/>
        </w:numPr>
        <w:spacing w:after="0" w:line="360" w:lineRule="auto"/>
        <w:jc w:val="both"/>
      </w:pPr>
      <w:r w:rsidRPr="00D95870">
        <w:t>That the respondent erred in allocating a vehicle to an unlicensed driver.</w:t>
      </w:r>
    </w:p>
    <w:p w:rsidR="00014B4B" w:rsidRPr="00D95870" w:rsidRDefault="00014B4B" w:rsidP="00884379">
      <w:pPr>
        <w:spacing w:after="0" w:line="360" w:lineRule="auto"/>
        <w:ind w:left="1440" w:hanging="720"/>
        <w:jc w:val="both"/>
      </w:pPr>
      <w:r w:rsidRPr="00D95870">
        <w:t>2.</w:t>
      </w:r>
      <w:r w:rsidRPr="00D95870">
        <w:tab/>
        <w:t>The Honourable Arbitrator erred at law in</w:t>
      </w:r>
      <w:r w:rsidR="00884379">
        <w:t xml:space="preserve"> fin</w:t>
      </w:r>
      <w:r w:rsidRPr="00D95870">
        <w:t>ding that the failure to provide particulars of the specific days when the offence was committed</w:t>
      </w:r>
      <w:r w:rsidR="00D95870" w:rsidRPr="00D95870">
        <w:t xml:space="preserve"> absolved the </w:t>
      </w:r>
      <w:r w:rsidR="00D95870" w:rsidRPr="00D95870">
        <w:lastRenderedPageBreak/>
        <w:t>respondent from liability and dismissal without such evidence constituted an unfair dismissal;</w:t>
      </w:r>
    </w:p>
    <w:p w:rsidR="00D95870" w:rsidRPr="00D95870" w:rsidRDefault="00D95870" w:rsidP="00884379">
      <w:pPr>
        <w:spacing w:after="0" w:line="360" w:lineRule="auto"/>
        <w:ind w:left="1440" w:hanging="720"/>
        <w:jc w:val="both"/>
      </w:pPr>
      <w:r w:rsidRPr="00D95870">
        <w:t>3.</w:t>
      </w:r>
      <w:r w:rsidRPr="00D95870">
        <w:tab/>
        <w:t>The Honourable Arbitrator erred at law in finding that the totality of the evidence presented by appellant at the respondent’s discipli</w:t>
      </w:r>
      <w:r w:rsidR="00884379">
        <w:t>nary hearing did not constitute</w:t>
      </w:r>
      <w:r w:rsidRPr="00D95870">
        <w:t xml:space="preserve"> sufficient evidence to prove the offence charged, in other words, the appellant failed to discharge the evidential burden of proof required.</w:t>
      </w:r>
    </w:p>
    <w:p w:rsidR="00D95870" w:rsidRDefault="00D95870" w:rsidP="00884379">
      <w:pPr>
        <w:spacing w:after="0" w:line="360" w:lineRule="auto"/>
        <w:ind w:left="1440" w:hanging="720"/>
        <w:jc w:val="both"/>
      </w:pPr>
      <w:r w:rsidRPr="00D95870">
        <w:t>4.</w:t>
      </w:r>
      <w:r w:rsidRPr="00D95870">
        <w:tab/>
        <w:t>The Honourable Arbitrator erred at law in finding that the offence charged had not been proven in the circumstances.”</w:t>
      </w:r>
    </w:p>
    <w:p w:rsidR="00884379" w:rsidRPr="00D95870" w:rsidRDefault="00884379" w:rsidP="00884379">
      <w:pPr>
        <w:spacing w:after="0" w:line="360" w:lineRule="auto"/>
        <w:ind w:left="1440" w:hanging="720"/>
        <w:jc w:val="both"/>
      </w:pPr>
    </w:p>
    <w:p w:rsidR="00D95870" w:rsidRDefault="00D95870" w:rsidP="00D9587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In a </w:t>
      </w:r>
      <w:proofErr w:type="spellStart"/>
      <w:r w:rsidR="00884379">
        <w:rPr>
          <w:sz w:val="24"/>
          <w:szCs w:val="24"/>
        </w:rPr>
        <w:t>nutshell</w:t>
      </w:r>
      <w:proofErr w:type="gramStart"/>
      <w:r w:rsidR="00884379">
        <w:rPr>
          <w:sz w:val="24"/>
          <w:szCs w:val="24"/>
        </w:rPr>
        <w:t>,</w:t>
      </w:r>
      <w:r>
        <w:rPr>
          <w:sz w:val="24"/>
          <w:szCs w:val="24"/>
        </w:rPr>
        <w:t>l</w:t>
      </w:r>
      <w:proofErr w:type="spellEnd"/>
      <w:proofErr w:type="gramEnd"/>
      <w:r>
        <w:rPr>
          <w:sz w:val="24"/>
          <w:szCs w:val="24"/>
        </w:rPr>
        <w:t xml:space="preserve"> appellant’s case was that the arbitrator grossly misdirect himself in assessing the evidence by failing to </w:t>
      </w:r>
      <w:r w:rsidR="00884379">
        <w:rPr>
          <w:sz w:val="24"/>
          <w:szCs w:val="24"/>
        </w:rPr>
        <w:t>find that respondent dro</w:t>
      </w:r>
      <w:r>
        <w:rPr>
          <w:sz w:val="24"/>
          <w:szCs w:val="24"/>
        </w:rPr>
        <w:t>ve a company car without having a driver’s licence.  Upon perusal of the evidence, particularly the minutes of the disciplinary hearing, I am inclined to agree with appellant.  Here is why.</w:t>
      </w:r>
    </w:p>
    <w:p w:rsidR="003D7674" w:rsidRDefault="003D7674" w:rsidP="00D95870">
      <w:pPr>
        <w:spacing w:after="0" w:line="360" w:lineRule="auto"/>
        <w:jc w:val="both"/>
        <w:rPr>
          <w:sz w:val="24"/>
          <w:szCs w:val="24"/>
        </w:rPr>
      </w:pPr>
    </w:p>
    <w:p w:rsidR="00D95870" w:rsidRDefault="00D95870" w:rsidP="00D9587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Transport Manager, Joseph </w:t>
      </w:r>
      <w:proofErr w:type="spellStart"/>
      <w:r>
        <w:rPr>
          <w:sz w:val="24"/>
          <w:szCs w:val="24"/>
        </w:rPr>
        <w:t>Masango</w:t>
      </w:r>
      <w:proofErr w:type="spellEnd"/>
      <w:r w:rsidR="00884379">
        <w:rPr>
          <w:sz w:val="24"/>
          <w:szCs w:val="24"/>
        </w:rPr>
        <w:t>,</w:t>
      </w:r>
      <w:r>
        <w:rPr>
          <w:sz w:val="24"/>
          <w:szCs w:val="24"/>
        </w:rPr>
        <w:t xml:space="preserve"> was examined to the following effect,</w:t>
      </w:r>
    </w:p>
    <w:p w:rsidR="00D95870" w:rsidRDefault="00D95870" w:rsidP="00D9587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“HO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Was he (respondent) the one driving the vehicle?</w:t>
      </w:r>
    </w:p>
    <w:p w:rsidR="00D95870" w:rsidRDefault="00D95870" w:rsidP="00D95870">
      <w:pPr>
        <w:spacing w:after="0" w:line="360" w:lineRule="auto"/>
        <w:ind w:left="2160" w:hanging="1440"/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Masango</w:t>
      </w:r>
      <w:proofErr w:type="spellEnd"/>
      <w:r>
        <w:rPr>
          <w:sz w:val="24"/>
          <w:szCs w:val="24"/>
        </w:rPr>
        <w:tab/>
        <w:t xml:space="preserve">At first he was driven by Mr </w:t>
      </w:r>
      <w:proofErr w:type="spellStart"/>
      <w:r>
        <w:rPr>
          <w:sz w:val="24"/>
          <w:szCs w:val="24"/>
        </w:rPr>
        <w:t>Phiri</w:t>
      </w:r>
      <w:proofErr w:type="spellEnd"/>
      <w:r>
        <w:rPr>
          <w:sz w:val="24"/>
          <w:szCs w:val="24"/>
        </w:rPr>
        <w:t xml:space="preserve"> then Mr </w:t>
      </w:r>
      <w:proofErr w:type="spellStart"/>
      <w:r>
        <w:rPr>
          <w:sz w:val="24"/>
          <w:szCs w:val="24"/>
        </w:rPr>
        <w:t>Dondo</w:t>
      </w:r>
      <w:proofErr w:type="spellEnd"/>
      <w:r>
        <w:rPr>
          <w:sz w:val="24"/>
          <w:szCs w:val="24"/>
        </w:rPr>
        <w:t xml:space="preserve"> and </w:t>
      </w:r>
      <w:r>
        <w:rPr>
          <w:sz w:val="24"/>
          <w:szCs w:val="24"/>
          <w:u w:val="single"/>
        </w:rPr>
        <w:t xml:space="preserve">later on he was driving it alone,” </w:t>
      </w:r>
    </w:p>
    <w:p w:rsidR="00884379" w:rsidRPr="00884379" w:rsidRDefault="00884379" w:rsidP="0088437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See also,</w:t>
      </w:r>
    </w:p>
    <w:p w:rsidR="00D95870" w:rsidRDefault="00D95870" w:rsidP="00D9587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“Rep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 how long did you see him drive the vehicle?</w:t>
      </w:r>
    </w:p>
    <w:p w:rsidR="00D95870" w:rsidRDefault="00D95870" w:rsidP="00D95870">
      <w:pPr>
        <w:spacing w:after="0" w:line="360" w:lineRule="auto"/>
        <w:ind w:left="2160" w:hanging="14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Masango</w:t>
      </w:r>
      <w:proofErr w:type="spellEnd"/>
      <w:r>
        <w:rPr>
          <w:sz w:val="24"/>
          <w:szCs w:val="24"/>
        </w:rPr>
        <w:tab/>
        <w:t xml:space="preserve">I don’t have the actual period of time but I saw </w:t>
      </w:r>
      <w:r w:rsidRPr="00884379">
        <w:rPr>
          <w:sz w:val="24"/>
          <w:szCs w:val="24"/>
          <w:u w:val="single"/>
        </w:rPr>
        <w:t>him driving the</w:t>
      </w:r>
      <w:r>
        <w:rPr>
          <w:sz w:val="24"/>
          <w:szCs w:val="24"/>
        </w:rPr>
        <w:t xml:space="preserve"> </w:t>
      </w:r>
      <w:r w:rsidR="00884379">
        <w:rPr>
          <w:sz w:val="24"/>
          <w:szCs w:val="24"/>
          <w:u w:val="single"/>
        </w:rPr>
        <w:t>vehicle</w:t>
      </w:r>
      <w:r w:rsidRPr="00884379">
        <w:rPr>
          <w:sz w:val="24"/>
          <w:szCs w:val="24"/>
          <w:u w:val="single"/>
        </w:rPr>
        <w:t xml:space="preserve"> several times</w:t>
      </w:r>
      <w:r>
        <w:rPr>
          <w:sz w:val="24"/>
          <w:szCs w:val="24"/>
        </w:rPr>
        <w:t>.”</w:t>
      </w:r>
    </w:p>
    <w:p w:rsidR="00D95870" w:rsidRDefault="00884379" w:rsidP="00D95870">
      <w:pPr>
        <w:spacing w:after="0" w:line="360" w:lineRule="auto"/>
        <w:ind w:left="2160" w:hanging="1440"/>
        <w:jc w:val="both"/>
        <w:rPr>
          <w:sz w:val="24"/>
          <w:szCs w:val="24"/>
        </w:rPr>
      </w:pPr>
      <w:r>
        <w:rPr>
          <w:sz w:val="24"/>
          <w:szCs w:val="24"/>
        </w:rPr>
        <w:t>That</w:t>
      </w:r>
      <w:r w:rsidR="00D95870">
        <w:rPr>
          <w:sz w:val="24"/>
          <w:szCs w:val="24"/>
        </w:rPr>
        <w:t xml:space="preserve"> was direct evidence of the commission of the offence. When challenged to </w:t>
      </w:r>
    </w:p>
    <w:p w:rsidR="00E07591" w:rsidRDefault="00E07591" w:rsidP="00E07591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produce</w:t>
      </w:r>
      <w:proofErr w:type="gramEnd"/>
      <w:r>
        <w:rPr>
          <w:sz w:val="24"/>
          <w:szCs w:val="24"/>
        </w:rPr>
        <w:t xml:space="preserve"> his driver’s licence respondent claim</w:t>
      </w:r>
      <w:r w:rsidR="00884379">
        <w:rPr>
          <w:sz w:val="24"/>
          <w:szCs w:val="24"/>
        </w:rPr>
        <w:t>ed</w:t>
      </w:r>
      <w:r>
        <w:rPr>
          <w:sz w:val="24"/>
          <w:szCs w:val="24"/>
        </w:rPr>
        <w:t xml:space="preserve"> same was difficult to access at his rural home.  This came through the evidence of Mrs </w:t>
      </w:r>
      <w:proofErr w:type="spellStart"/>
      <w:r>
        <w:rPr>
          <w:sz w:val="24"/>
          <w:szCs w:val="24"/>
        </w:rPr>
        <w:t>Musakanya</w:t>
      </w:r>
      <w:proofErr w:type="spellEnd"/>
      <w:r>
        <w:rPr>
          <w:sz w:val="24"/>
          <w:szCs w:val="24"/>
        </w:rPr>
        <w:t xml:space="preserve"> thus,</w:t>
      </w:r>
    </w:p>
    <w:p w:rsidR="00E07591" w:rsidRDefault="00E07591" w:rsidP="00E07591">
      <w:pPr>
        <w:spacing w:after="0" w:line="240" w:lineRule="auto"/>
        <w:ind w:left="1440"/>
        <w:jc w:val="both"/>
      </w:pPr>
      <w:r>
        <w:t xml:space="preserve">“When I spoke to him (C </w:t>
      </w:r>
      <w:proofErr w:type="spellStart"/>
      <w:r>
        <w:t>Kereke</w:t>
      </w:r>
      <w:proofErr w:type="spellEnd"/>
      <w:r>
        <w:t xml:space="preserve">) he explained to me that he had left the driver’s </w:t>
      </w:r>
      <w:proofErr w:type="gramStart"/>
      <w:r>
        <w:t>licence  at</w:t>
      </w:r>
      <w:proofErr w:type="gramEnd"/>
      <w:r>
        <w:t xml:space="preserve"> home in the rural areas.”</w:t>
      </w:r>
    </w:p>
    <w:p w:rsidR="00E07591" w:rsidRDefault="00E07591" w:rsidP="00E07591">
      <w:pPr>
        <w:spacing w:after="0" w:line="240" w:lineRule="auto"/>
        <w:jc w:val="both"/>
      </w:pPr>
    </w:p>
    <w:p w:rsidR="00E07591" w:rsidRDefault="00E07591" w:rsidP="00E07591">
      <w:pPr>
        <w:spacing w:after="0" w:line="360" w:lineRule="auto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In other words respondent misrepresented that he had the licence when in fact he did not. Why would he do that if he was not driving a company car?  The most likely reason was that he was in fact driving the company car so he had to pretend he had a licence.  </w:t>
      </w:r>
    </w:p>
    <w:p w:rsidR="00884379" w:rsidRDefault="00884379" w:rsidP="00E07591">
      <w:pPr>
        <w:spacing w:after="0" w:line="360" w:lineRule="auto"/>
        <w:jc w:val="both"/>
        <w:rPr>
          <w:sz w:val="24"/>
          <w:szCs w:val="24"/>
        </w:rPr>
      </w:pPr>
    </w:p>
    <w:p w:rsidR="00E07591" w:rsidRDefault="00E07591" w:rsidP="00E0759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 findings by the arbitrator that the empl</w:t>
      </w:r>
      <w:r w:rsidR="003D7674">
        <w:rPr>
          <w:sz w:val="24"/>
          <w:szCs w:val="24"/>
        </w:rPr>
        <w:t>oyer failed to prove its case fl</w:t>
      </w:r>
      <w:r>
        <w:rPr>
          <w:sz w:val="24"/>
          <w:szCs w:val="24"/>
        </w:rPr>
        <w:t>ies in the face of the evidence.  It is in fact a perverse finding which cannot stand scrutiny.  I am persuaded that it was a gross misdirection</w:t>
      </w:r>
      <w:r w:rsidR="0088437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84379">
        <w:rPr>
          <w:sz w:val="24"/>
          <w:szCs w:val="24"/>
        </w:rPr>
        <w:t xml:space="preserve"> Such misdirection </w:t>
      </w:r>
      <w:r>
        <w:rPr>
          <w:sz w:val="24"/>
          <w:szCs w:val="24"/>
        </w:rPr>
        <w:t>amounts to an error on law.  Therefore the resultant award which exonerated respondent cannot be sustained.</w:t>
      </w:r>
    </w:p>
    <w:p w:rsidR="00E07591" w:rsidRDefault="00E07591" w:rsidP="00E07591">
      <w:pPr>
        <w:spacing w:after="0" w:line="360" w:lineRule="auto"/>
        <w:jc w:val="both"/>
        <w:rPr>
          <w:sz w:val="24"/>
          <w:szCs w:val="24"/>
        </w:rPr>
      </w:pPr>
    </w:p>
    <w:p w:rsidR="003D7674" w:rsidRDefault="003D7674" w:rsidP="00E07591">
      <w:pPr>
        <w:spacing w:after="0" w:line="360" w:lineRule="auto"/>
        <w:jc w:val="both"/>
        <w:rPr>
          <w:sz w:val="24"/>
          <w:szCs w:val="24"/>
        </w:rPr>
      </w:pPr>
    </w:p>
    <w:p w:rsidR="00E07591" w:rsidRDefault="00E07591" w:rsidP="00E07591">
      <w:pPr>
        <w:spacing w:after="0" w:line="360" w:lineRule="auto"/>
        <w:jc w:val="both"/>
        <w:rPr>
          <w:sz w:val="24"/>
          <w:szCs w:val="24"/>
        </w:rPr>
      </w:pPr>
    </w:p>
    <w:p w:rsidR="00E07591" w:rsidRDefault="00E07591" w:rsidP="00E07591">
      <w:pPr>
        <w:spacing w:after="0" w:line="360" w:lineRule="auto"/>
        <w:jc w:val="both"/>
        <w:rPr>
          <w:b/>
          <w:sz w:val="24"/>
          <w:szCs w:val="24"/>
        </w:rPr>
      </w:pPr>
      <w:r w:rsidRPr="00E07591">
        <w:rPr>
          <w:b/>
          <w:sz w:val="24"/>
          <w:szCs w:val="24"/>
        </w:rPr>
        <w:t>Wherefore it is ordered that,</w:t>
      </w:r>
    </w:p>
    <w:p w:rsidR="00E07591" w:rsidRDefault="00E07591" w:rsidP="00E07591">
      <w:pPr>
        <w:spacing w:after="0" w:line="360" w:lineRule="auto"/>
        <w:jc w:val="both"/>
        <w:rPr>
          <w:b/>
          <w:sz w:val="24"/>
          <w:szCs w:val="24"/>
        </w:rPr>
      </w:pPr>
    </w:p>
    <w:p w:rsidR="00E07591" w:rsidRDefault="00E07591" w:rsidP="00E0759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 appeal be and is hereby allowed;</w:t>
      </w:r>
    </w:p>
    <w:p w:rsidR="00E07591" w:rsidRDefault="00E07591" w:rsidP="00E07591">
      <w:pPr>
        <w:pStyle w:val="ListParagraph"/>
        <w:spacing w:after="0" w:line="360" w:lineRule="auto"/>
        <w:jc w:val="both"/>
        <w:rPr>
          <w:b/>
          <w:sz w:val="24"/>
          <w:szCs w:val="24"/>
        </w:rPr>
      </w:pPr>
    </w:p>
    <w:p w:rsidR="00884379" w:rsidRDefault="00E07591" w:rsidP="00E0759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arbitration award issued by Arbitrator B </w:t>
      </w:r>
      <w:proofErr w:type="spellStart"/>
      <w:r>
        <w:rPr>
          <w:b/>
          <w:sz w:val="24"/>
          <w:szCs w:val="24"/>
        </w:rPr>
        <w:t>Mudiwa</w:t>
      </w:r>
      <w:proofErr w:type="spellEnd"/>
      <w:r>
        <w:rPr>
          <w:b/>
          <w:sz w:val="24"/>
          <w:szCs w:val="24"/>
        </w:rPr>
        <w:t xml:space="preserve"> dated 4 August 2015</w:t>
      </w:r>
      <w:r w:rsidR="00884379">
        <w:rPr>
          <w:b/>
          <w:sz w:val="24"/>
          <w:szCs w:val="24"/>
        </w:rPr>
        <w:t xml:space="preserve">  </w:t>
      </w:r>
    </w:p>
    <w:p w:rsidR="00884379" w:rsidRPr="00884379" w:rsidRDefault="00884379" w:rsidP="00884379">
      <w:pPr>
        <w:pStyle w:val="ListParagraph"/>
        <w:rPr>
          <w:b/>
          <w:sz w:val="24"/>
          <w:szCs w:val="24"/>
        </w:rPr>
      </w:pPr>
    </w:p>
    <w:p w:rsidR="00E07591" w:rsidRDefault="00E07591" w:rsidP="00884379">
      <w:pPr>
        <w:pStyle w:val="ListParagraph"/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is</w:t>
      </w:r>
      <w:proofErr w:type="gramEnd"/>
      <w:r>
        <w:rPr>
          <w:b/>
          <w:sz w:val="24"/>
          <w:szCs w:val="24"/>
        </w:rPr>
        <w:t xml:space="preserve"> set aside; and</w:t>
      </w:r>
    </w:p>
    <w:p w:rsidR="00E07591" w:rsidRPr="00E07591" w:rsidRDefault="00E07591" w:rsidP="00E07591">
      <w:pPr>
        <w:spacing w:after="0" w:line="360" w:lineRule="auto"/>
        <w:jc w:val="both"/>
        <w:rPr>
          <w:b/>
          <w:sz w:val="24"/>
          <w:szCs w:val="24"/>
        </w:rPr>
      </w:pPr>
    </w:p>
    <w:p w:rsidR="00E07591" w:rsidRDefault="00E07591" w:rsidP="00E0759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 dismissal from employment of respondent by appellant is upheld.</w:t>
      </w:r>
    </w:p>
    <w:p w:rsidR="00E07591" w:rsidRDefault="00E07591" w:rsidP="00E07591">
      <w:pPr>
        <w:spacing w:after="0" w:line="360" w:lineRule="auto"/>
        <w:jc w:val="both"/>
        <w:rPr>
          <w:b/>
          <w:sz w:val="24"/>
          <w:szCs w:val="24"/>
        </w:rPr>
      </w:pPr>
    </w:p>
    <w:p w:rsidR="00E07591" w:rsidRDefault="00E07591" w:rsidP="00E07591">
      <w:pPr>
        <w:spacing w:after="0" w:line="360" w:lineRule="auto"/>
        <w:jc w:val="both"/>
        <w:rPr>
          <w:b/>
          <w:sz w:val="24"/>
          <w:szCs w:val="24"/>
        </w:rPr>
      </w:pPr>
    </w:p>
    <w:p w:rsidR="00E07591" w:rsidRDefault="00E07591" w:rsidP="00E07591">
      <w:pPr>
        <w:spacing w:after="0" w:line="360" w:lineRule="auto"/>
        <w:jc w:val="both"/>
        <w:rPr>
          <w:b/>
          <w:sz w:val="24"/>
          <w:szCs w:val="24"/>
        </w:rPr>
      </w:pPr>
    </w:p>
    <w:p w:rsidR="00E07591" w:rsidRDefault="00E07591" w:rsidP="00E07591">
      <w:pPr>
        <w:spacing w:after="0" w:line="360" w:lineRule="auto"/>
        <w:jc w:val="both"/>
        <w:rPr>
          <w:b/>
          <w:sz w:val="24"/>
          <w:szCs w:val="24"/>
        </w:rPr>
      </w:pPr>
    </w:p>
    <w:p w:rsidR="00E07591" w:rsidRDefault="00E07591" w:rsidP="00E07591">
      <w:pPr>
        <w:spacing w:after="0" w:line="360" w:lineRule="auto"/>
        <w:ind w:left="43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 MUSARIRI</w:t>
      </w:r>
    </w:p>
    <w:p w:rsidR="00E07591" w:rsidRPr="00E07591" w:rsidRDefault="00E07591" w:rsidP="00E07591">
      <w:pPr>
        <w:spacing w:after="0" w:line="360" w:lineRule="auto"/>
        <w:ind w:left="43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 U D G E</w:t>
      </w:r>
    </w:p>
    <w:p w:rsidR="00E07591" w:rsidRPr="00E07591" w:rsidRDefault="00E07591" w:rsidP="00E07591">
      <w:pPr>
        <w:spacing w:after="0" w:line="360" w:lineRule="auto"/>
        <w:jc w:val="both"/>
        <w:rPr>
          <w:sz w:val="24"/>
          <w:szCs w:val="24"/>
        </w:rPr>
      </w:pPr>
    </w:p>
    <w:p w:rsidR="00E07591" w:rsidRPr="00D95870" w:rsidRDefault="00E07591" w:rsidP="00E07591">
      <w:pPr>
        <w:spacing w:after="0" w:line="240" w:lineRule="auto"/>
        <w:jc w:val="both"/>
        <w:rPr>
          <w:sz w:val="24"/>
          <w:szCs w:val="24"/>
        </w:rPr>
      </w:pPr>
    </w:p>
    <w:sectPr w:rsidR="00E07591" w:rsidRPr="00D95870" w:rsidSect="00014B4B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C24" w:rsidRDefault="00BF6C24" w:rsidP="00014B4B">
      <w:pPr>
        <w:spacing w:after="0" w:line="240" w:lineRule="auto"/>
      </w:pPr>
      <w:r>
        <w:separator/>
      </w:r>
    </w:p>
  </w:endnote>
  <w:endnote w:type="continuationSeparator" w:id="0">
    <w:p w:rsidR="00BF6C24" w:rsidRDefault="00BF6C24" w:rsidP="0001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086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4379" w:rsidRDefault="008843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3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4379" w:rsidRDefault="008843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C24" w:rsidRDefault="00BF6C24" w:rsidP="00014B4B">
      <w:pPr>
        <w:spacing w:after="0" w:line="240" w:lineRule="auto"/>
      </w:pPr>
      <w:r>
        <w:separator/>
      </w:r>
    </w:p>
  </w:footnote>
  <w:footnote w:type="continuationSeparator" w:id="0">
    <w:p w:rsidR="00BF6C24" w:rsidRDefault="00BF6C24" w:rsidP="0001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4B" w:rsidRDefault="00FB4370" w:rsidP="00FB4370">
    <w:pPr>
      <w:spacing w:line="360" w:lineRule="auto"/>
      <w:ind w:left="5760"/>
      <w:jc w:val="both"/>
      <w:rPr>
        <w:b/>
        <w:sz w:val="24"/>
        <w:szCs w:val="24"/>
      </w:rPr>
    </w:pPr>
    <w:r>
      <w:rPr>
        <w:b/>
        <w:sz w:val="24"/>
        <w:szCs w:val="24"/>
      </w:rPr>
      <w:t xml:space="preserve">   </w:t>
    </w:r>
    <w:r w:rsidR="00014B4B">
      <w:rPr>
        <w:b/>
        <w:sz w:val="24"/>
        <w:szCs w:val="24"/>
      </w:rPr>
      <w:t>JUDGMENT NO LC/H/</w:t>
    </w:r>
    <w:r>
      <w:rPr>
        <w:b/>
        <w:sz w:val="24"/>
        <w:szCs w:val="24"/>
      </w:rPr>
      <w:t>47</w:t>
    </w:r>
    <w:r w:rsidR="00014B4B">
      <w:rPr>
        <w:b/>
        <w:sz w:val="24"/>
        <w:szCs w:val="24"/>
      </w:rPr>
      <w:t>/16</w:t>
    </w:r>
  </w:p>
  <w:p w:rsidR="00014B4B" w:rsidRDefault="00014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745C5"/>
    <w:multiLevelType w:val="hybridMultilevel"/>
    <w:tmpl w:val="9E3CEF9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1695C"/>
    <w:multiLevelType w:val="hybridMultilevel"/>
    <w:tmpl w:val="110A1E0C"/>
    <w:lvl w:ilvl="0" w:tplc="2E9C6BB8">
      <w:start w:val="1"/>
      <w:numFmt w:val="lowerLetter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30090019" w:tentative="1">
      <w:start w:val="1"/>
      <w:numFmt w:val="lowerLetter"/>
      <w:lvlText w:val="%2."/>
      <w:lvlJc w:val="left"/>
      <w:pPr>
        <w:ind w:left="3240" w:hanging="360"/>
      </w:pPr>
    </w:lvl>
    <w:lvl w:ilvl="2" w:tplc="3009001B" w:tentative="1">
      <w:start w:val="1"/>
      <w:numFmt w:val="lowerRoman"/>
      <w:lvlText w:val="%3."/>
      <w:lvlJc w:val="right"/>
      <w:pPr>
        <w:ind w:left="3960" w:hanging="180"/>
      </w:pPr>
    </w:lvl>
    <w:lvl w:ilvl="3" w:tplc="3009000F" w:tentative="1">
      <w:start w:val="1"/>
      <w:numFmt w:val="decimal"/>
      <w:lvlText w:val="%4."/>
      <w:lvlJc w:val="left"/>
      <w:pPr>
        <w:ind w:left="4680" w:hanging="360"/>
      </w:pPr>
    </w:lvl>
    <w:lvl w:ilvl="4" w:tplc="30090019" w:tentative="1">
      <w:start w:val="1"/>
      <w:numFmt w:val="lowerLetter"/>
      <w:lvlText w:val="%5."/>
      <w:lvlJc w:val="left"/>
      <w:pPr>
        <w:ind w:left="5400" w:hanging="360"/>
      </w:pPr>
    </w:lvl>
    <w:lvl w:ilvl="5" w:tplc="3009001B" w:tentative="1">
      <w:start w:val="1"/>
      <w:numFmt w:val="lowerRoman"/>
      <w:lvlText w:val="%6."/>
      <w:lvlJc w:val="right"/>
      <w:pPr>
        <w:ind w:left="6120" w:hanging="180"/>
      </w:pPr>
    </w:lvl>
    <w:lvl w:ilvl="6" w:tplc="3009000F" w:tentative="1">
      <w:start w:val="1"/>
      <w:numFmt w:val="decimal"/>
      <w:lvlText w:val="%7."/>
      <w:lvlJc w:val="left"/>
      <w:pPr>
        <w:ind w:left="6840" w:hanging="360"/>
      </w:pPr>
    </w:lvl>
    <w:lvl w:ilvl="7" w:tplc="30090019" w:tentative="1">
      <w:start w:val="1"/>
      <w:numFmt w:val="lowerLetter"/>
      <w:lvlText w:val="%8."/>
      <w:lvlJc w:val="left"/>
      <w:pPr>
        <w:ind w:left="7560" w:hanging="360"/>
      </w:pPr>
    </w:lvl>
    <w:lvl w:ilvl="8" w:tplc="30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E7"/>
    <w:rsid w:val="00014B4B"/>
    <w:rsid w:val="000D67E7"/>
    <w:rsid w:val="00193629"/>
    <w:rsid w:val="003D7674"/>
    <w:rsid w:val="004A593B"/>
    <w:rsid w:val="00884379"/>
    <w:rsid w:val="008E054E"/>
    <w:rsid w:val="00BF6C24"/>
    <w:rsid w:val="00D95870"/>
    <w:rsid w:val="00E07591"/>
    <w:rsid w:val="00E915FF"/>
    <w:rsid w:val="00FB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7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B4B"/>
  </w:style>
  <w:style w:type="paragraph" w:styleId="Footer">
    <w:name w:val="footer"/>
    <w:basedOn w:val="Normal"/>
    <w:link w:val="FooterChar"/>
    <w:uiPriority w:val="99"/>
    <w:unhideWhenUsed/>
    <w:rsid w:val="00014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7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B4B"/>
  </w:style>
  <w:style w:type="paragraph" w:styleId="Footer">
    <w:name w:val="footer"/>
    <w:basedOn w:val="Normal"/>
    <w:link w:val="FooterChar"/>
    <w:uiPriority w:val="99"/>
    <w:unhideWhenUsed/>
    <w:rsid w:val="00014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Labour Court</dc:creator>
  <cp:lastModifiedBy>Labour Court</cp:lastModifiedBy>
  <cp:revision>5</cp:revision>
  <dcterms:created xsi:type="dcterms:W3CDTF">2016-01-22T12:49:00Z</dcterms:created>
  <dcterms:modified xsi:type="dcterms:W3CDTF">2016-02-02T12:10:00Z</dcterms:modified>
</cp:coreProperties>
</file>