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F48" w:rsidRPr="00D10188" w:rsidRDefault="00A26F48" w:rsidP="00A26F48">
      <w:pPr>
        <w:pStyle w:val="NoSpacing"/>
        <w:jc w:val="both"/>
        <w:rPr>
          <w:b/>
          <w:szCs w:val="24"/>
        </w:rPr>
      </w:pPr>
      <w:r>
        <w:rPr>
          <w:b/>
          <w:szCs w:val="24"/>
        </w:rPr>
        <w:t xml:space="preserve">DOUGLAS SIBANDA </w:t>
      </w:r>
    </w:p>
    <w:p w:rsidR="00A26F48" w:rsidRPr="00D10188" w:rsidRDefault="00A26F48" w:rsidP="00A26F48">
      <w:pPr>
        <w:pStyle w:val="NoSpacing"/>
        <w:jc w:val="both"/>
        <w:rPr>
          <w:b/>
          <w:szCs w:val="24"/>
        </w:rPr>
      </w:pPr>
    </w:p>
    <w:p w:rsidR="00A26F48" w:rsidRPr="00D10188" w:rsidRDefault="00A26F48" w:rsidP="00A26F48">
      <w:pPr>
        <w:pStyle w:val="NoSpacing"/>
        <w:jc w:val="both"/>
        <w:rPr>
          <w:b/>
          <w:szCs w:val="24"/>
        </w:rPr>
      </w:pPr>
      <w:r w:rsidRPr="00D10188">
        <w:rPr>
          <w:b/>
          <w:szCs w:val="24"/>
        </w:rPr>
        <w:t>Versus</w:t>
      </w:r>
    </w:p>
    <w:p w:rsidR="00A26F48" w:rsidRPr="00D10188" w:rsidRDefault="00A26F48" w:rsidP="00A26F48">
      <w:pPr>
        <w:pStyle w:val="NoSpacing"/>
        <w:jc w:val="both"/>
        <w:rPr>
          <w:b/>
          <w:szCs w:val="24"/>
        </w:rPr>
      </w:pPr>
    </w:p>
    <w:p w:rsidR="00A26F48" w:rsidRPr="00D10188" w:rsidRDefault="00A26F48" w:rsidP="00A26F48">
      <w:pPr>
        <w:pStyle w:val="NoSpacing"/>
        <w:jc w:val="both"/>
        <w:rPr>
          <w:b/>
          <w:szCs w:val="24"/>
        </w:rPr>
      </w:pPr>
      <w:r w:rsidRPr="00D10188">
        <w:rPr>
          <w:b/>
          <w:szCs w:val="24"/>
        </w:rPr>
        <w:t>THE STATE</w:t>
      </w:r>
    </w:p>
    <w:p w:rsidR="00A26F48" w:rsidRPr="00D10188" w:rsidRDefault="00A26F48" w:rsidP="00A26F48">
      <w:pPr>
        <w:pStyle w:val="NoSpacing"/>
        <w:jc w:val="both"/>
        <w:rPr>
          <w:b/>
          <w:szCs w:val="24"/>
        </w:rPr>
      </w:pPr>
    </w:p>
    <w:p w:rsidR="00A26F48" w:rsidRPr="00D10188" w:rsidRDefault="00A26F48" w:rsidP="00A26F48">
      <w:pPr>
        <w:pStyle w:val="NoSpacing"/>
        <w:jc w:val="both"/>
        <w:rPr>
          <w:szCs w:val="24"/>
        </w:rPr>
      </w:pPr>
      <w:r w:rsidRPr="00D10188">
        <w:rPr>
          <w:szCs w:val="24"/>
        </w:rPr>
        <w:t>IN THE HIGH COURT OF ZIMBABWE</w:t>
      </w:r>
    </w:p>
    <w:p w:rsidR="00A26F48" w:rsidRPr="00D10188" w:rsidRDefault="00A26F48" w:rsidP="00A26F48">
      <w:pPr>
        <w:pStyle w:val="NoSpacing"/>
        <w:jc w:val="both"/>
        <w:rPr>
          <w:szCs w:val="24"/>
        </w:rPr>
      </w:pPr>
      <w:r>
        <w:rPr>
          <w:szCs w:val="24"/>
        </w:rPr>
        <w:t xml:space="preserve">DUBE-BANDA </w:t>
      </w:r>
      <w:r w:rsidRPr="00D10188">
        <w:rPr>
          <w:szCs w:val="24"/>
        </w:rPr>
        <w:t>J</w:t>
      </w:r>
    </w:p>
    <w:p w:rsidR="00A26F48" w:rsidRPr="00D10188" w:rsidRDefault="00A26F48" w:rsidP="00A26F48">
      <w:pPr>
        <w:pStyle w:val="NoSpacing"/>
        <w:jc w:val="both"/>
        <w:rPr>
          <w:szCs w:val="24"/>
        </w:rPr>
      </w:pPr>
      <w:r>
        <w:rPr>
          <w:szCs w:val="24"/>
        </w:rPr>
        <w:t>BULAWAY</w:t>
      </w:r>
      <w:r w:rsidR="0000032A">
        <w:rPr>
          <w:szCs w:val="24"/>
        </w:rPr>
        <w:t>O 23 JUNE 2022</w:t>
      </w:r>
    </w:p>
    <w:p w:rsidR="00A26F48" w:rsidRPr="00D10188" w:rsidRDefault="00A26F48" w:rsidP="00A26F48">
      <w:pPr>
        <w:pStyle w:val="NoSpacing"/>
        <w:jc w:val="both"/>
        <w:rPr>
          <w:szCs w:val="24"/>
        </w:rPr>
      </w:pPr>
    </w:p>
    <w:p w:rsidR="00A26F48" w:rsidRPr="00D10188" w:rsidRDefault="0000032A" w:rsidP="00A26F48">
      <w:pPr>
        <w:pStyle w:val="NoSpacing"/>
        <w:jc w:val="both"/>
        <w:rPr>
          <w:b/>
          <w:szCs w:val="24"/>
        </w:rPr>
      </w:pPr>
      <w:r>
        <w:rPr>
          <w:b/>
          <w:szCs w:val="24"/>
        </w:rPr>
        <w:t xml:space="preserve">Application </w:t>
      </w:r>
      <w:r w:rsidR="00AB22A7">
        <w:rPr>
          <w:b/>
          <w:szCs w:val="24"/>
        </w:rPr>
        <w:t xml:space="preserve">for </w:t>
      </w:r>
      <w:proofErr w:type="spellStart"/>
      <w:r w:rsidR="00AB22A7">
        <w:rPr>
          <w:b/>
          <w:szCs w:val="24"/>
        </w:rPr>
        <w:t>condonation</w:t>
      </w:r>
      <w:proofErr w:type="spellEnd"/>
      <w:r w:rsidR="00AB22A7">
        <w:rPr>
          <w:b/>
          <w:szCs w:val="24"/>
        </w:rPr>
        <w:t xml:space="preserve"> </w:t>
      </w:r>
    </w:p>
    <w:p w:rsidR="00A26F48" w:rsidRPr="00D10188" w:rsidRDefault="00A26F48" w:rsidP="00A26F48">
      <w:pPr>
        <w:pStyle w:val="NoSpacing"/>
        <w:jc w:val="both"/>
        <w:rPr>
          <w:szCs w:val="24"/>
        </w:rPr>
      </w:pPr>
      <w:bookmarkStart w:id="0" w:name="_GoBack"/>
      <w:bookmarkEnd w:id="0"/>
    </w:p>
    <w:p w:rsidR="00AE4F08" w:rsidRDefault="00AB22A7" w:rsidP="00AB22A7">
      <w:pPr>
        <w:pStyle w:val="NoSpacing"/>
        <w:jc w:val="both"/>
        <w:rPr>
          <w:b/>
          <w:szCs w:val="24"/>
        </w:rPr>
      </w:pPr>
      <w:r w:rsidRPr="00AB22A7">
        <w:rPr>
          <w:b/>
          <w:szCs w:val="24"/>
        </w:rPr>
        <w:t xml:space="preserve">In Chambers </w:t>
      </w:r>
    </w:p>
    <w:p w:rsidR="00AB22A7" w:rsidRDefault="00AB22A7" w:rsidP="00AB22A7">
      <w:pPr>
        <w:pStyle w:val="NoSpacing"/>
        <w:jc w:val="both"/>
        <w:rPr>
          <w:b/>
          <w:szCs w:val="24"/>
        </w:rPr>
      </w:pPr>
    </w:p>
    <w:p w:rsidR="00AB22A7" w:rsidRPr="00AB22A7" w:rsidRDefault="00AB22A7" w:rsidP="00AB22A7">
      <w:pPr>
        <w:pStyle w:val="NoSpacing"/>
        <w:jc w:val="both"/>
        <w:rPr>
          <w:b/>
          <w:szCs w:val="24"/>
        </w:rPr>
      </w:pPr>
      <w:r>
        <w:rPr>
          <w:b/>
          <w:szCs w:val="24"/>
        </w:rPr>
        <w:t xml:space="preserve">DUBE-BANDA J: </w:t>
      </w:r>
    </w:p>
    <w:p w:rsidR="006B29B4" w:rsidRPr="00344E36" w:rsidRDefault="006B29B4" w:rsidP="00344E36">
      <w:pPr>
        <w:pStyle w:val="ListParagraph"/>
        <w:numPr>
          <w:ilvl w:val="0"/>
          <w:numId w:val="5"/>
        </w:numPr>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344E36">
        <w:rPr>
          <w:rFonts w:ascii="Times New Roman" w:eastAsiaTheme="minorHAnsi" w:hAnsi="Times New Roman" w:cs="Times New Roman"/>
          <w:sz w:val="24"/>
          <w:szCs w:val="24"/>
          <w:lang w:eastAsia="en-US"/>
        </w:rPr>
        <w:t xml:space="preserve">This is a chamber application for </w:t>
      </w:r>
      <w:proofErr w:type="spellStart"/>
      <w:r w:rsidRPr="00344E36">
        <w:rPr>
          <w:rFonts w:ascii="Times New Roman" w:eastAsiaTheme="minorHAnsi" w:hAnsi="Times New Roman" w:cs="Times New Roman"/>
          <w:sz w:val="24"/>
          <w:szCs w:val="24"/>
          <w:lang w:eastAsia="en-US"/>
        </w:rPr>
        <w:t>condonation</w:t>
      </w:r>
      <w:proofErr w:type="spellEnd"/>
      <w:r w:rsidRPr="00344E36">
        <w:rPr>
          <w:rFonts w:ascii="Times New Roman" w:eastAsiaTheme="minorHAnsi" w:hAnsi="Times New Roman" w:cs="Times New Roman"/>
          <w:sz w:val="24"/>
          <w:szCs w:val="24"/>
          <w:lang w:eastAsia="en-US"/>
        </w:rPr>
        <w:t xml:space="preserve"> and extension of </w:t>
      </w:r>
      <w:r w:rsidR="00A247E8" w:rsidRPr="00344E36">
        <w:rPr>
          <w:rFonts w:ascii="Times New Roman" w:eastAsiaTheme="minorHAnsi" w:hAnsi="Times New Roman" w:cs="Times New Roman"/>
          <w:sz w:val="24"/>
          <w:szCs w:val="24"/>
          <w:lang w:eastAsia="en-US"/>
        </w:rPr>
        <w:t>time within which</w:t>
      </w:r>
      <w:r w:rsidRPr="00344E36">
        <w:rPr>
          <w:rFonts w:ascii="Times New Roman" w:eastAsiaTheme="minorHAnsi" w:hAnsi="Times New Roman" w:cs="Times New Roman"/>
          <w:sz w:val="24"/>
          <w:szCs w:val="24"/>
          <w:lang w:eastAsia="en-US"/>
        </w:rPr>
        <w:t xml:space="preserve"> to note an appeal against the decision of the</w:t>
      </w:r>
      <w:r w:rsidR="00A247E8" w:rsidRPr="00344E36">
        <w:rPr>
          <w:rFonts w:ascii="Times New Roman" w:eastAsiaTheme="minorHAnsi" w:hAnsi="Times New Roman" w:cs="Times New Roman"/>
          <w:sz w:val="24"/>
          <w:szCs w:val="24"/>
          <w:lang w:eastAsia="en-US"/>
        </w:rPr>
        <w:t xml:space="preserve"> Magistrates’ Court. </w:t>
      </w:r>
      <w:r w:rsidR="00344E36" w:rsidRPr="00344E36">
        <w:rPr>
          <w:rFonts w:ascii="Times New Roman" w:eastAsiaTheme="minorHAnsi" w:hAnsi="Times New Roman" w:cs="Times New Roman"/>
          <w:sz w:val="24"/>
          <w:szCs w:val="24"/>
          <w:lang w:eastAsia="en-US"/>
        </w:rPr>
        <w:t xml:space="preserve">This application </w:t>
      </w:r>
      <w:r w:rsidR="00344E36" w:rsidRPr="00344E36">
        <w:rPr>
          <w:rFonts w:ascii="Times New Roman" w:hAnsi="Times New Roman" w:cs="Times New Roman"/>
          <w:sz w:val="24"/>
          <w:szCs w:val="24"/>
        </w:rPr>
        <w:t>was placed before me and I</w:t>
      </w:r>
      <w:r w:rsidR="00AE4F08" w:rsidRPr="00344E36">
        <w:rPr>
          <w:rFonts w:ascii="Times New Roman" w:hAnsi="Times New Roman" w:cs="Times New Roman"/>
          <w:sz w:val="24"/>
          <w:szCs w:val="24"/>
        </w:rPr>
        <w:t xml:space="preserve"> dismis</w:t>
      </w:r>
      <w:r w:rsidR="00344E36" w:rsidRPr="00344E36">
        <w:rPr>
          <w:rFonts w:ascii="Times New Roman" w:hAnsi="Times New Roman" w:cs="Times New Roman"/>
          <w:sz w:val="24"/>
          <w:szCs w:val="24"/>
        </w:rPr>
        <w:t>sed it</w:t>
      </w:r>
      <w:r w:rsidR="00407570">
        <w:rPr>
          <w:rFonts w:ascii="Times New Roman" w:hAnsi="Times New Roman" w:cs="Times New Roman"/>
          <w:sz w:val="24"/>
          <w:szCs w:val="24"/>
        </w:rPr>
        <w:t>. The a</w:t>
      </w:r>
      <w:r w:rsidR="00432D82" w:rsidRPr="00344E36">
        <w:rPr>
          <w:rFonts w:ascii="Times New Roman" w:hAnsi="Times New Roman" w:cs="Times New Roman"/>
          <w:sz w:val="24"/>
          <w:szCs w:val="24"/>
        </w:rPr>
        <w:t>pplicant</w:t>
      </w:r>
      <w:r w:rsidR="00D83022" w:rsidRPr="00344E36">
        <w:rPr>
          <w:rFonts w:ascii="Times New Roman" w:hAnsi="Times New Roman" w:cs="Times New Roman"/>
          <w:sz w:val="24"/>
          <w:szCs w:val="24"/>
        </w:rPr>
        <w:t xml:space="preserve"> </w:t>
      </w:r>
      <w:r w:rsidR="00407570">
        <w:rPr>
          <w:rFonts w:ascii="Times New Roman" w:hAnsi="Times New Roman" w:cs="Times New Roman"/>
          <w:sz w:val="24"/>
          <w:szCs w:val="24"/>
        </w:rPr>
        <w:t xml:space="preserve">has written to the registrar requesting written reasons for that decision. These are they. </w:t>
      </w:r>
    </w:p>
    <w:p w:rsidR="006B29B4" w:rsidRDefault="006B29B4" w:rsidP="006B29B4">
      <w:pPr>
        <w:pStyle w:val="ListParagraph"/>
      </w:pPr>
    </w:p>
    <w:p w:rsidR="00EB3D61" w:rsidRPr="00F73F30" w:rsidRDefault="00A476D4" w:rsidP="00FC51B1">
      <w:pPr>
        <w:pStyle w:val="ListParagraph"/>
        <w:numPr>
          <w:ilvl w:val="0"/>
          <w:numId w:val="5"/>
        </w:numPr>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F73F30">
        <w:rPr>
          <w:rFonts w:ascii="Times New Roman" w:hAnsi="Times New Roman" w:cs="Times New Roman"/>
          <w:sz w:val="24"/>
          <w:szCs w:val="24"/>
        </w:rPr>
        <w:t xml:space="preserve">The applicant </w:t>
      </w:r>
      <w:r w:rsidR="009C0358" w:rsidRPr="00F73F30">
        <w:rPr>
          <w:rFonts w:ascii="Times New Roman" w:hAnsi="Times New Roman" w:cs="Times New Roman"/>
          <w:sz w:val="24"/>
          <w:szCs w:val="24"/>
        </w:rPr>
        <w:t xml:space="preserve">appeared before the Magistrates’ Court sitting in </w:t>
      </w:r>
      <w:proofErr w:type="spellStart"/>
      <w:r w:rsidR="009C0358" w:rsidRPr="00F73F30">
        <w:rPr>
          <w:rFonts w:ascii="Times New Roman" w:hAnsi="Times New Roman" w:cs="Times New Roman"/>
          <w:sz w:val="24"/>
          <w:szCs w:val="24"/>
        </w:rPr>
        <w:t>Gokwe</w:t>
      </w:r>
      <w:proofErr w:type="spellEnd"/>
      <w:r w:rsidR="009C0358" w:rsidRPr="00F73F30">
        <w:rPr>
          <w:rFonts w:ascii="Times New Roman" w:hAnsi="Times New Roman" w:cs="Times New Roman"/>
          <w:sz w:val="24"/>
          <w:szCs w:val="24"/>
        </w:rPr>
        <w:t xml:space="preserve">. He was charged with the crime of attempted murder as defined in section 189 as read with section 47 of the Criminal Law (Codification and Reform) Act [Chapter 9:23] “Attempted murder”. </w:t>
      </w:r>
      <w:r w:rsidR="00B05FF7" w:rsidRPr="00F73F30">
        <w:rPr>
          <w:rFonts w:ascii="Times New Roman" w:hAnsi="Times New Roman" w:cs="Times New Roman"/>
          <w:sz w:val="24"/>
          <w:szCs w:val="24"/>
        </w:rPr>
        <w:t>It being alleged that on 1</w:t>
      </w:r>
      <w:r w:rsidR="00B05FF7" w:rsidRPr="00F73F30">
        <w:rPr>
          <w:rFonts w:ascii="Times New Roman" w:hAnsi="Times New Roman" w:cs="Times New Roman"/>
          <w:sz w:val="24"/>
          <w:szCs w:val="24"/>
          <w:vertAlign w:val="superscript"/>
        </w:rPr>
        <w:t>st</w:t>
      </w:r>
      <w:r w:rsidR="00B05FF7" w:rsidRPr="00F73F30">
        <w:rPr>
          <w:rFonts w:ascii="Times New Roman" w:hAnsi="Times New Roman" w:cs="Times New Roman"/>
          <w:sz w:val="24"/>
          <w:szCs w:val="24"/>
        </w:rPr>
        <w:t xml:space="preserve"> October 2020 the applicant attempted to cause the death of the complainant </w:t>
      </w:r>
      <w:r w:rsidR="000603A1" w:rsidRPr="00F73F30">
        <w:rPr>
          <w:rFonts w:ascii="Times New Roman" w:hAnsi="Times New Roman" w:cs="Times New Roman"/>
          <w:sz w:val="24"/>
          <w:szCs w:val="24"/>
        </w:rPr>
        <w:t xml:space="preserve">by stabbing him with a knife on the right eye, struck him with the back of an axe several times </w:t>
      </w:r>
      <w:r w:rsidR="000A5BF2" w:rsidRPr="00F73F30">
        <w:rPr>
          <w:rFonts w:ascii="Times New Roman" w:hAnsi="Times New Roman" w:cs="Times New Roman"/>
          <w:sz w:val="24"/>
          <w:szCs w:val="24"/>
        </w:rPr>
        <w:t>on his legs and back and assaulted him with a knobkerrie all over the bo</w:t>
      </w:r>
      <w:r w:rsidR="006C0620" w:rsidRPr="00F73F30">
        <w:rPr>
          <w:rFonts w:ascii="Times New Roman" w:hAnsi="Times New Roman" w:cs="Times New Roman"/>
          <w:sz w:val="24"/>
          <w:szCs w:val="24"/>
        </w:rPr>
        <w:t>dy</w:t>
      </w:r>
      <w:r w:rsidR="00EE6793" w:rsidRPr="00F73F30">
        <w:rPr>
          <w:rFonts w:ascii="Times New Roman" w:hAnsi="Times New Roman" w:cs="Times New Roman"/>
          <w:sz w:val="24"/>
          <w:szCs w:val="24"/>
        </w:rPr>
        <w:t xml:space="preserve">. </w:t>
      </w:r>
    </w:p>
    <w:p w:rsidR="00F73F30" w:rsidRPr="00F73F30" w:rsidRDefault="00F73F30" w:rsidP="00F73F30">
      <w:pPr>
        <w:autoSpaceDE w:val="0"/>
        <w:autoSpaceDN w:val="0"/>
        <w:adjustRightInd w:val="0"/>
        <w:spacing w:after="0" w:line="360" w:lineRule="auto"/>
        <w:jc w:val="both"/>
        <w:rPr>
          <w:rFonts w:ascii="Times New Roman" w:eastAsiaTheme="minorHAnsi" w:hAnsi="Times New Roman" w:cs="Times New Roman"/>
          <w:sz w:val="24"/>
          <w:szCs w:val="24"/>
          <w:lang w:eastAsia="en-US"/>
        </w:rPr>
      </w:pPr>
    </w:p>
    <w:p w:rsidR="00EB3D61" w:rsidRDefault="00EB3D61" w:rsidP="008C2AF5">
      <w:pPr>
        <w:pStyle w:val="ListParagraph"/>
        <w:numPr>
          <w:ilvl w:val="0"/>
          <w:numId w:val="5"/>
        </w:numPr>
        <w:autoSpaceDE w:val="0"/>
        <w:autoSpaceDN w:val="0"/>
        <w:adjustRightInd w:val="0"/>
        <w:spacing w:after="0" w:line="36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The applicant pleaded not guilty. After a contested trial he was found guilty as charged and sentenced to eight years imprisonment </w:t>
      </w:r>
      <w:r w:rsidR="005434D3">
        <w:rPr>
          <w:rFonts w:ascii="Times New Roman" w:eastAsiaTheme="minorHAnsi" w:hAnsi="Times New Roman" w:cs="Times New Roman"/>
          <w:sz w:val="24"/>
          <w:szCs w:val="24"/>
          <w:lang w:eastAsia="en-US"/>
        </w:rPr>
        <w:t>of wh</w:t>
      </w:r>
      <w:r w:rsidR="005F4007">
        <w:rPr>
          <w:rFonts w:ascii="Times New Roman" w:eastAsiaTheme="minorHAnsi" w:hAnsi="Times New Roman" w:cs="Times New Roman"/>
          <w:sz w:val="24"/>
          <w:szCs w:val="24"/>
          <w:lang w:eastAsia="en-US"/>
        </w:rPr>
        <w:t>ich three years imprisonment were</w:t>
      </w:r>
      <w:r w:rsidR="005434D3">
        <w:rPr>
          <w:rFonts w:ascii="Times New Roman" w:eastAsiaTheme="minorHAnsi" w:hAnsi="Times New Roman" w:cs="Times New Roman"/>
          <w:sz w:val="24"/>
          <w:szCs w:val="24"/>
          <w:lang w:eastAsia="en-US"/>
        </w:rPr>
        <w:t xml:space="preserve"> suspended on the usual conditions. The applicant is aggrieved by both his conviction and sentence and hence this application. </w:t>
      </w:r>
    </w:p>
    <w:p w:rsidR="005434D3" w:rsidRPr="005434D3" w:rsidRDefault="005434D3" w:rsidP="005434D3">
      <w:pPr>
        <w:pStyle w:val="ListParagraph"/>
        <w:rPr>
          <w:rFonts w:ascii="Times New Roman" w:eastAsiaTheme="minorHAnsi" w:hAnsi="Times New Roman" w:cs="Times New Roman"/>
          <w:sz w:val="24"/>
          <w:szCs w:val="24"/>
          <w:lang w:eastAsia="en-US"/>
        </w:rPr>
      </w:pPr>
    </w:p>
    <w:p w:rsidR="002F3A98" w:rsidRPr="006C1D39" w:rsidRDefault="002F3A98" w:rsidP="006C1D39">
      <w:pPr>
        <w:pStyle w:val="ListParagraph"/>
        <w:numPr>
          <w:ilvl w:val="0"/>
          <w:numId w:val="5"/>
        </w:numPr>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6C1D39">
        <w:rPr>
          <w:rFonts w:ascii="Times New Roman" w:hAnsi="Times New Roman" w:cs="Times New Roman"/>
          <w:sz w:val="24"/>
          <w:szCs w:val="24"/>
          <w:shd w:val="clear" w:color="auto" w:fill="FFFFFF"/>
        </w:rPr>
        <w:t>In the event that he is successful in this application, the applicant intends to appeal against t</w:t>
      </w:r>
      <w:r w:rsidR="00B2436D" w:rsidRPr="006C1D39">
        <w:rPr>
          <w:rFonts w:ascii="Times New Roman" w:hAnsi="Times New Roman" w:cs="Times New Roman"/>
          <w:sz w:val="24"/>
          <w:szCs w:val="24"/>
          <w:shd w:val="clear" w:color="auto" w:fill="FFFFFF"/>
        </w:rPr>
        <w:t>he decision of the Magistrates’ Court on the following</w:t>
      </w:r>
      <w:r w:rsidRPr="006C1D39">
        <w:rPr>
          <w:rFonts w:ascii="Times New Roman" w:hAnsi="Times New Roman" w:cs="Times New Roman"/>
          <w:sz w:val="24"/>
          <w:szCs w:val="24"/>
          <w:shd w:val="clear" w:color="auto" w:fill="FFFFFF"/>
        </w:rPr>
        <w:t xml:space="preserve"> grounds:</w:t>
      </w:r>
    </w:p>
    <w:p w:rsidR="00D46E12" w:rsidRDefault="00D46E12" w:rsidP="00D46E12">
      <w:pPr>
        <w:pStyle w:val="ListParagraph"/>
      </w:pPr>
    </w:p>
    <w:p w:rsidR="00BA1AEB" w:rsidRDefault="00BA1AEB" w:rsidP="00142422">
      <w:pPr>
        <w:pStyle w:val="Default"/>
        <w:spacing w:line="360" w:lineRule="auto"/>
        <w:ind w:left="720" w:firstLine="720"/>
        <w:jc w:val="both"/>
        <w:rPr>
          <w:color w:val="auto"/>
        </w:rPr>
      </w:pPr>
    </w:p>
    <w:p w:rsidR="00D46E12" w:rsidRDefault="00D46E12" w:rsidP="00142422">
      <w:pPr>
        <w:pStyle w:val="Default"/>
        <w:spacing w:line="360" w:lineRule="auto"/>
        <w:ind w:left="720" w:firstLine="720"/>
        <w:jc w:val="both"/>
        <w:rPr>
          <w:color w:val="auto"/>
        </w:rPr>
      </w:pPr>
      <w:r>
        <w:rPr>
          <w:color w:val="auto"/>
        </w:rPr>
        <w:t xml:space="preserve">Ad conviction </w:t>
      </w:r>
    </w:p>
    <w:p w:rsidR="00D46E12" w:rsidRDefault="00D46E12" w:rsidP="00D46E12">
      <w:pPr>
        <w:pStyle w:val="Default"/>
        <w:spacing w:line="360" w:lineRule="auto"/>
        <w:ind w:left="720"/>
        <w:jc w:val="both"/>
        <w:rPr>
          <w:color w:val="auto"/>
        </w:rPr>
      </w:pPr>
    </w:p>
    <w:p w:rsidR="00D46E12" w:rsidRDefault="00D46E12" w:rsidP="00D46E12">
      <w:pPr>
        <w:pStyle w:val="Default"/>
        <w:numPr>
          <w:ilvl w:val="0"/>
          <w:numId w:val="2"/>
        </w:numPr>
        <w:spacing w:line="360" w:lineRule="auto"/>
        <w:jc w:val="both"/>
        <w:rPr>
          <w:color w:val="auto"/>
        </w:rPr>
      </w:pPr>
      <w:r>
        <w:rPr>
          <w:color w:val="auto"/>
        </w:rPr>
        <w:t xml:space="preserve">The court a quo erred and misdirected itself at both fact and law, in convicting the appellant when there was clear evidence of the possibility </w:t>
      </w:r>
      <w:r w:rsidR="00B6436C">
        <w:rPr>
          <w:color w:val="auto"/>
        </w:rPr>
        <w:t>of the appellant not having committed the offence h</w:t>
      </w:r>
      <w:r w:rsidR="00D90157">
        <w:rPr>
          <w:color w:val="auto"/>
        </w:rPr>
        <w:t xml:space="preserve">aving regard to what the complainant had said in his report statement to the Police. </w:t>
      </w:r>
    </w:p>
    <w:p w:rsidR="00D90157" w:rsidRDefault="00D90157" w:rsidP="00D46E12">
      <w:pPr>
        <w:pStyle w:val="Default"/>
        <w:numPr>
          <w:ilvl w:val="0"/>
          <w:numId w:val="2"/>
        </w:numPr>
        <w:spacing w:line="360" w:lineRule="auto"/>
        <w:jc w:val="both"/>
        <w:rPr>
          <w:color w:val="auto"/>
        </w:rPr>
      </w:pPr>
      <w:r>
        <w:rPr>
          <w:color w:val="auto"/>
        </w:rPr>
        <w:t>In the alternative, the court a quo erred and misd</w:t>
      </w:r>
      <w:r w:rsidR="00013929">
        <w:rPr>
          <w:color w:val="auto"/>
        </w:rPr>
        <w:t>irected itself in not giving due</w:t>
      </w:r>
      <w:r>
        <w:rPr>
          <w:color w:val="auto"/>
        </w:rPr>
        <w:t xml:space="preserve"> weight to the fact that complainant had implicated other people other than </w:t>
      </w:r>
      <w:r w:rsidR="00013929">
        <w:rPr>
          <w:color w:val="auto"/>
        </w:rPr>
        <w:t>appellant, as the assailants and in the process erro</w:t>
      </w:r>
      <w:r w:rsidR="0074679B">
        <w:rPr>
          <w:color w:val="auto"/>
        </w:rPr>
        <w:t>neously convicted the appellant</w:t>
      </w:r>
      <w:r w:rsidR="00500C5C">
        <w:rPr>
          <w:color w:val="auto"/>
        </w:rPr>
        <w:t xml:space="preserve"> on the basis of a false or possibly false implication. </w:t>
      </w:r>
    </w:p>
    <w:p w:rsidR="00500C5C" w:rsidRDefault="00500C5C" w:rsidP="00D46E12">
      <w:pPr>
        <w:pStyle w:val="Default"/>
        <w:numPr>
          <w:ilvl w:val="0"/>
          <w:numId w:val="2"/>
        </w:numPr>
        <w:spacing w:line="360" w:lineRule="auto"/>
        <w:jc w:val="both"/>
        <w:rPr>
          <w:color w:val="auto"/>
        </w:rPr>
      </w:pPr>
      <w:r>
        <w:rPr>
          <w:color w:val="auto"/>
        </w:rPr>
        <w:t xml:space="preserve">Further and in the alternative, the court a quo erred and misdirected </w:t>
      </w:r>
      <w:r w:rsidR="00812626">
        <w:rPr>
          <w:color w:val="auto"/>
        </w:rPr>
        <w:t xml:space="preserve">itself in convicting the appellant of the offence of attempted murder, when medical evidence did not support such a verdict and also when such evidence was at variance with the evidence of state witnesses </w:t>
      </w:r>
      <w:r w:rsidR="004559B1">
        <w:rPr>
          <w:color w:val="auto"/>
        </w:rPr>
        <w:t xml:space="preserve">on the injuries sustained by the complainant. </w:t>
      </w:r>
    </w:p>
    <w:p w:rsidR="004559B1" w:rsidRDefault="004559B1" w:rsidP="00D46E12">
      <w:pPr>
        <w:pStyle w:val="Default"/>
        <w:numPr>
          <w:ilvl w:val="0"/>
          <w:numId w:val="2"/>
        </w:numPr>
        <w:spacing w:line="360" w:lineRule="auto"/>
        <w:jc w:val="both"/>
        <w:rPr>
          <w:color w:val="auto"/>
        </w:rPr>
      </w:pPr>
      <w:r>
        <w:rPr>
          <w:color w:val="auto"/>
        </w:rPr>
        <w:t xml:space="preserve">Further and / or in the alternative </w:t>
      </w:r>
      <w:r w:rsidR="00451050">
        <w:rPr>
          <w:color w:val="auto"/>
        </w:rPr>
        <w:t xml:space="preserve">the court a quo </w:t>
      </w:r>
      <w:r w:rsidR="000B18F5">
        <w:rPr>
          <w:color w:val="auto"/>
        </w:rPr>
        <w:t xml:space="preserve">erred and misdirected itself in convicting appellant when there was a reasonable possibility of his defence and alibi being true, even more so in light of the contradictory and suspect evidence of the two state witnesses called by the state. </w:t>
      </w:r>
    </w:p>
    <w:p w:rsidR="000B18F5" w:rsidRDefault="000B18F5" w:rsidP="00142422">
      <w:pPr>
        <w:pStyle w:val="Default"/>
        <w:spacing w:line="360" w:lineRule="auto"/>
        <w:ind w:left="1440"/>
        <w:jc w:val="both"/>
        <w:rPr>
          <w:color w:val="auto"/>
        </w:rPr>
      </w:pPr>
    </w:p>
    <w:p w:rsidR="00142422" w:rsidRDefault="00142422" w:rsidP="00142422">
      <w:pPr>
        <w:pStyle w:val="Default"/>
        <w:spacing w:line="360" w:lineRule="auto"/>
        <w:ind w:left="1440"/>
        <w:jc w:val="both"/>
        <w:rPr>
          <w:color w:val="auto"/>
        </w:rPr>
      </w:pPr>
      <w:r>
        <w:rPr>
          <w:color w:val="auto"/>
        </w:rPr>
        <w:t xml:space="preserve">Ad sentence </w:t>
      </w:r>
    </w:p>
    <w:p w:rsidR="00142422" w:rsidRDefault="00142422" w:rsidP="00142422">
      <w:pPr>
        <w:pStyle w:val="Default"/>
        <w:spacing w:line="360" w:lineRule="auto"/>
        <w:ind w:left="1440"/>
        <w:jc w:val="both"/>
        <w:rPr>
          <w:color w:val="auto"/>
        </w:rPr>
      </w:pPr>
    </w:p>
    <w:p w:rsidR="00142422" w:rsidRDefault="00142422" w:rsidP="00142422">
      <w:pPr>
        <w:pStyle w:val="Default"/>
        <w:numPr>
          <w:ilvl w:val="0"/>
          <w:numId w:val="2"/>
        </w:numPr>
        <w:spacing w:line="360" w:lineRule="auto"/>
        <w:jc w:val="both"/>
        <w:rPr>
          <w:color w:val="auto"/>
        </w:rPr>
      </w:pPr>
      <w:r>
        <w:rPr>
          <w:color w:val="auto"/>
        </w:rPr>
        <w:t xml:space="preserve">The sentence of eight years with three suspended on the usual terms and conditions of good behaviour was so severe as to induce a great sense of shock, more so in view of the fact that the complainant and his wife grossly and clearly exaggerated the injuries that the complainant </w:t>
      </w:r>
      <w:r w:rsidR="00093B6F">
        <w:rPr>
          <w:color w:val="auto"/>
        </w:rPr>
        <w:t xml:space="preserve">had sustained from the alleged assault. </w:t>
      </w:r>
    </w:p>
    <w:p w:rsidR="00E747FA" w:rsidRDefault="00093B6F" w:rsidP="00E747FA">
      <w:pPr>
        <w:pStyle w:val="Default"/>
        <w:numPr>
          <w:ilvl w:val="0"/>
          <w:numId w:val="2"/>
        </w:numPr>
        <w:spacing w:line="360" w:lineRule="auto"/>
        <w:jc w:val="both"/>
        <w:rPr>
          <w:color w:val="auto"/>
        </w:rPr>
      </w:pPr>
      <w:r>
        <w:rPr>
          <w:color w:val="auto"/>
        </w:rPr>
        <w:t xml:space="preserve">Wherefore in the event that the conviction is upheld or that the charge is reduced to a lesser one this Honourable Court is hereby humbly urged to reduce the sentence to community service or a lesser term of imprisonment. </w:t>
      </w:r>
    </w:p>
    <w:p w:rsidR="00E747FA" w:rsidRPr="00E747FA" w:rsidRDefault="00E747FA" w:rsidP="00E747FA">
      <w:pPr>
        <w:pStyle w:val="Default"/>
        <w:spacing w:line="360" w:lineRule="auto"/>
        <w:ind w:left="1440"/>
        <w:jc w:val="both"/>
        <w:rPr>
          <w:color w:val="auto"/>
        </w:rPr>
      </w:pPr>
    </w:p>
    <w:p w:rsidR="009E5A7A" w:rsidRPr="00B23741" w:rsidRDefault="00792EC1" w:rsidP="0005780A">
      <w:pPr>
        <w:pStyle w:val="ListParagraph"/>
        <w:numPr>
          <w:ilvl w:val="0"/>
          <w:numId w:val="5"/>
        </w:numPr>
        <w:shd w:val="clear" w:color="auto" w:fill="FFFFFF"/>
        <w:spacing w:after="100" w:afterAutospacing="1" w:line="360" w:lineRule="auto"/>
        <w:jc w:val="both"/>
        <w:rPr>
          <w:b/>
        </w:rPr>
      </w:pPr>
      <w:r w:rsidRPr="009E5A7A">
        <w:rPr>
          <w:rFonts w:ascii="Times New Roman" w:eastAsia="Times New Roman" w:hAnsi="Times New Roman" w:cs="Times New Roman"/>
          <w:sz w:val="24"/>
          <w:szCs w:val="24"/>
        </w:rPr>
        <w:t xml:space="preserve">In an application for </w:t>
      </w:r>
      <w:proofErr w:type="spellStart"/>
      <w:r w:rsidRPr="009E5A7A">
        <w:rPr>
          <w:rFonts w:ascii="Times New Roman" w:eastAsia="Times New Roman" w:hAnsi="Times New Roman" w:cs="Times New Roman"/>
          <w:sz w:val="24"/>
          <w:szCs w:val="24"/>
        </w:rPr>
        <w:t>condonation</w:t>
      </w:r>
      <w:proofErr w:type="spellEnd"/>
      <w:r w:rsidRPr="009E5A7A">
        <w:rPr>
          <w:rFonts w:ascii="Times New Roman" w:eastAsia="Times New Roman" w:hAnsi="Times New Roman" w:cs="Times New Roman"/>
          <w:sz w:val="24"/>
          <w:szCs w:val="24"/>
        </w:rPr>
        <w:t xml:space="preserve"> the court has a discretion which it must exercise judiciously. </w:t>
      </w:r>
      <w:r w:rsidR="00BC59C5" w:rsidRPr="009E5A7A">
        <w:rPr>
          <w:rFonts w:ascii="Times New Roman" w:eastAsia="Times New Roman" w:hAnsi="Times New Roman" w:cs="Times New Roman"/>
          <w:sz w:val="24"/>
          <w:szCs w:val="24"/>
        </w:rPr>
        <w:t xml:space="preserve">The factors that the court must consider are well known. </w:t>
      </w:r>
      <w:r w:rsidR="0089387D" w:rsidRPr="009E5A7A">
        <w:rPr>
          <w:rFonts w:ascii="Times New Roman" w:eastAsia="Times New Roman" w:hAnsi="Times New Roman" w:cs="Times New Roman"/>
          <w:sz w:val="24"/>
          <w:szCs w:val="24"/>
        </w:rPr>
        <w:t>They,</w:t>
      </w:r>
      <w:r w:rsidR="00BC59C5" w:rsidRPr="009E5A7A">
        <w:rPr>
          <w:rFonts w:ascii="Times New Roman" w:eastAsia="Times New Roman" w:hAnsi="Times New Roman" w:cs="Times New Roman"/>
          <w:sz w:val="24"/>
          <w:szCs w:val="24"/>
        </w:rPr>
        <w:t xml:space="preserve"> amongst </w:t>
      </w:r>
      <w:r w:rsidR="00BC59C5" w:rsidRPr="009E5A7A">
        <w:rPr>
          <w:rFonts w:ascii="Times New Roman" w:eastAsia="Times New Roman" w:hAnsi="Times New Roman" w:cs="Times New Roman"/>
          <w:sz w:val="24"/>
          <w:szCs w:val="24"/>
        </w:rPr>
        <w:lastRenderedPageBreak/>
        <w:t xml:space="preserve">other relevant factors </w:t>
      </w:r>
      <w:r w:rsidR="0089387D" w:rsidRPr="009E5A7A">
        <w:rPr>
          <w:rFonts w:ascii="Times New Roman" w:eastAsia="Times New Roman" w:hAnsi="Times New Roman" w:cs="Times New Roman"/>
          <w:sz w:val="24"/>
          <w:szCs w:val="24"/>
        </w:rPr>
        <w:t>are; the extent of non-compliance with the Rules of the Court; the explanation for non-complianc</w:t>
      </w:r>
      <w:r w:rsidR="00654D54" w:rsidRPr="009E5A7A">
        <w:rPr>
          <w:rFonts w:ascii="Times New Roman" w:eastAsia="Times New Roman" w:hAnsi="Times New Roman" w:cs="Times New Roman"/>
          <w:sz w:val="24"/>
          <w:szCs w:val="24"/>
        </w:rPr>
        <w:t>e with the Rules of the Court; the balance of convenience; and the</w:t>
      </w:r>
      <w:r w:rsidR="0089387D" w:rsidRPr="009E5A7A">
        <w:rPr>
          <w:rFonts w:ascii="Times New Roman" w:eastAsia="Times New Roman" w:hAnsi="Times New Roman" w:cs="Times New Roman"/>
          <w:sz w:val="24"/>
          <w:szCs w:val="24"/>
        </w:rPr>
        <w:t xml:space="preserve"> prospects of success.</w:t>
      </w:r>
      <w:r w:rsidR="00654D54" w:rsidRPr="009E5A7A">
        <w:rPr>
          <w:rFonts w:ascii="Times New Roman" w:eastAsia="Times New Roman" w:hAnsi="Times New Roman" w:cs="Times New Roman"/>
          <w:sz w:val="24"/>
          <w:szCs w:val="24"/>
        </w:rPr>
        <w:t xml:space="preserve"> </w:t>
      </w:r>
      <w:r w:rsidR="0089387D" w:rsidRPr="009E5A7A">
        <w:rPr>
          <w:rFonts w:ascii="Times New Roman" w:eastAsia="Times New Roman" w:hAnsi="Times New Roman" w:cs="Times New Roman"/>
          <w:sz w:val="24"/>
          <w:szCs w:val="24"/>
        </w:rPr>
        <w:t xml:space="preserve"> See</w:t>
      </w:r>
      <w:r w:rsidR="002575AE" w:rsidRPr="009E5A7A">
        <w:rPr>
          <w:rFonts w:ascii="Times New Roman" w:eastAsia="Times New Roman" w:hAnsi="Times New Roman" w:cs="Times New Roman"/>
          <w:sz w:val="24"/>
          <w:szCs w:val="24"/>
        </w:rPr>
        <w:t xml:space="preserve">: </w:t>
      </w:r>
      <w:proofErr w:type="spellStart"/>
      <w:r w:rsidR="002575AE" w:rsidRPr="009E5A7A">
        <w:rPr>
          <w:rFonts w:ascii="Times New Roman" w:eastAsia="Times New Roman" w:hAnsi="Times New Roman" w:cs="Times New Roman"/>
          <w:i/>
          <w:sz w:val="24"/>
          <w:szCs w:val="24"/>
        </w:rPr>
        <w:t>Mhora</w:t>
      </w:r>
      <w:proofErr w:type="spellEnd"/>
      <w:r w:rsidR="002575AE" w:rsidRPr="009E5A7A">
        <w:rPr>
          <w:rFonts w:ascii="Times New Roman" w:eastAsia="Times New Roman" w:hAnsi="Times New Roman" w:cs="Times New Roman"/>
          <w:i/>
          <w:sz w:val="24"/>
          <w:szCs w:val="24"/>
        </w:rPr>
        <w:t xml:space="preserve"> v </w:t>
      </w:r>
      <w:proofErr w:type="spellStart"/>
      <w:r w:rsidR="002575AE" w:rsidRPr="009E5A7A">
        <w:rPr>
          <w:rFonts w:ascii="Times New Roman" w:eastAsia="Times New Roman" w:hAnsi="Times New Roman" w:cs="Times New Roman"/>
          <w:i/>
          <w:sz w:val="24"/>
          <w:szCs w:val="24"/>
        </w:rPr>
        <w:t>Mhora</w:t>
      </w:r>
      <w:proofErr w:type="spellEnd"/>
      <w:r w:rsidR="002575AE" w:rsidRPr="009E5A7A">
        <w:rPr>
          <w:rFonts w:ascii="Times New Roman" w:eastAsia="Times New Roman" w:hAnsi="Times New Roman" w:cs="Times New Roman"/>
          <w:sz w:val="24"/>
          <w:szCs w:val="24"/>
        </w:rPr>
        <w:t xml:space="preserve"> CCZ 5/22. </w:t>
      </w:r>
    </w:p>
    <w:p w:rsidR="00B23741" w:rsidRDefault="00B23741" w:rsidP="00B23741">
      <w:pPr>
        <w:pStyle w:val="ListParagraph"/>
        <w:shd w:val="clear" w:color="auto" w:fill="FFFFFF"/>
        <w:spacing w:after="100" w:afterAutospacing="1" w:line="360" w:lineRule="auto"/>
        <w:jc w:val="both"/>
        <w:rPr>
          <w:rFonts w:ascii="Times New Roman" w:eastAsia="Times New Roman" w:hAnsi="Times New Roman" w:cs="Times New Roman"/>
          <w:sz w:val="24"/>
          <w:szCs w:val="24"/>
        </w:rPr>
      </w:pPr>
    </w:p>
    <w:p w:rsidR="00B23741" w:rsidRPr="0046229D" w:rsidRDefault="00B23741" w:rsidP="00B23741">
      <w:pPr>
        <w:pStyle w:val="ListParagraph"/>
        <w:numPr>
          <w:ilvl w:val="0"/>
          <w:numId w:val="5"/>
        </w:numPr>
        <w:spacing w:after="0" w:line="360" w:lineRule="auto"/>
        <w:jc w:val="both"/>
        <w:rPr>
          <w:rFonts w:ascii="Times New Roman" w:hAnsi="Times New Roman" w:cs="Times New Roman"/>
          <w:sz w:val="24"/>
          <w:szCs w:val="24"/>
        </w:rPr>
      </w:pPr>
      <w:r w:rsidRPr="0046229D">
        <w:rPr>
          <w:rFonts w:ascii="Times New Roman" w:eastAsia="Calibri" w:hAnsi="Times New Roman" w:cs="Times New Roman"/>
          <w:sz w:val="24"/>
          <w:szCs w:val="24"/>
        </w:rPr>
        <w:t xml:space="preserve">In </w:t>
      </w:r>
      <w:proofErr w:type="spellStart"/>
      <w:r w:rsidRPr="0046229D">
        <w:rPr>
          <w:rFonts w:ascii="Times New Roman" w:eastAsia="Calibri" w:hAnsi="Times New Roman" w:cs="Times New Roman"/>
          <w:i/>
          <w:sz w:val="24"/>
          <w:szCs w:val="24"/>
        </w:rPr>
        <w:t>Kodzwa</w:t>
      </w:r>
      <w:proofErr w:type="spellEnd"/>
      <w:r w:rsidRPr="0046229D">
        <w:rPr>
          <w:rFonts w:ascii="Times New Roman" w:eastAsia="Calibri" w:hAnsi="Times New Roman" w:cs="Times New Roman"/>
          <w:i/>
          <w:sz w:val="24"/>
          <w:szCs w:val="24"/>
        </w:rPr>
        <w:t xml:space="preserve"> v Secretary for Health &amp; </w:t>
      </w:r>
      <w:proofErr w:type="spellStart"/>
      <w:r w:rsidRPr="0046229D">
        <w:rPr>
          <w:rFonts w:ascii="Times New Roman" w:eastAsia="Calibri" w:hAnsi="Times New Roman" w:cs="Times New Roman"/>
          <w:i/>
          <w:sz w:val="24"/>
          <w:szCs w:val="24"/>
        </w:rPr>
        <w:t>Anor</w:t>
      </w:r>
      <w:proofErr w:type="spellEnd"/>
      <w:r w:rsidRPr="0046229D">
        <w:rPr>
          <w:rFonts w:ascii="Times New Roman" w:eastAsia="Calibri" w:hAnsi="Times New Roman" w:cs="Times New Roman"/>
          <w:sz w:val="24"/>
          <w:szCs w:val="24"/>
        </w:rPr>
        <w:t xml:space="preserve"> 1999 (1) ZLR 313 (S) at 315 B-E, the court aptly indicated that:  </w:t>
      </w:r>
      <w:r w:rsidRPr="0046229D">
        <w:rPr>
          <w:rFonts w:ascii="Times New Roman" w:eastAsia="Calibri" w:hAnsi="Times New Roman" w:cs="Times New Roman"/>
          <w:sz w:val="24"/>
          <w:szCs w:val="24"/>
        </w:rPr>
        <w:tab/>
      </w:r>
    </w:p>
    <w:p w:rsidR="00B23741" w:rsidRPr="00A41E3C" w:rsidRDefault="00B23741" w:rsidP="00B23741">
      <w:pPr>
        <w:spacing w:line="240" w:lineRule="auto"/>
        <w:ind w:left="1440"/>
        <w:jc w:val="both"/>
        <w:rPr>
          <w:rFonts w:ascii="Times New Roman" w:eastAsia="Calibri" w:hAnsi="Times New Roman" w:cs="Times New Roman"/>
          <w:sz w:val="24"/>
          <w:szCs w:val="24"/>
        </w:rPr>
      </w:pPr>
      <w:r w:rsidRPr="00A41E3C">
        <w:rPr>
          <w:rFonts w:ascii="Times New Roman" w:eastAsia="Calibri" w:hAnsi="Times New Roman" w:cs="Times New Roman"/>
          <w:sz w:val="24"/>
          <w:szCs w:val="24"/>
        </w:rPr>
        <w:t xml:space="preserve">The factors which the court should consider in determining an application for </w:t>
      </w:r>
      <w:proofErr w:type="spellStart"/>
      <w:r w:rsidRPr="00A41E3C">
        <w:rPr>
          <w:rFonts w:ascii="Times New Roman" w:eastAsia="Calibri" w:hAnsi="Times New Roman" w:cs="Times New Roman"/>
          <w:sz w:val="24"/>
          <w:szCs w:val="24"/>
        </w:rPr>
        <w:t>condonation</w:t>
      </w:r>
      <w:proofErr w:type="spellEnd"/>
      <w:r w:rsidRPr="00A41E3C">
        <w:rPr>
          <w:rFonts w:ascii="Times New Roman" w:eastAsia="Calibri" w:hAnsi="Times New Roman" w:cs="Times New Roman"/>
          <w:sz w:val="24"/>
          <w:szCs w:val="24"/>
        </w:rPr>
        <w:t xml:space="preserve"> are </w:t>
      </w:r>
      <w:r>
        <w:rPr>
          <w:rFonts w:ascii="Times New Roman" w:eastAsia="Calibri" w:hAnsi="Times New Roman" w:cs="Times New Roman"/>
          <w:sz w:val="24"/>
          <w:szCs w:val="24"/>
        </w:rPr>
        <w:t xml:space="preserve">clearly set out in </w:t>
      </w:r>
      <w:proofErr w:type="spellStart"/>
      <w:r w:rsidRPr="00BE1203">
        <w:rPr>
          <w:rFonts w:ascii="Times New Roman" w:eastAsia="Calibri" w:hAnsi="Times New Roman" w:cs="Times New Roman"/>
          <w:i/>
          <w:sz w:val="24"/>
          <w:szCs w:val="24"/>
        </w:rPr>
        <w:t>Herbstein</w:t>
      </w:r>
      <w:proofErr w:type="spellEnd"/>
      <w:r w:rsidRPr="00BE1203">
        <w:rPr>
          <w:rFonts w:ascii="Times New Roman" w:eastAsia="Calibri" w:hAnsi="Times New Roman" w:cs="Times New Roman"/>
          <w:i/>
          <w:sz w:val="24"/>
          <w:szCs w:val="24"/>
        </w:rPr>
        <w:t xml:space="preserve"> &amp; van </w:t>
      </w:r>
      <w:proofErr w:type="spellStart"/>
      <w:r w:rsidRPr="00BE1203">
        <w:rPr>
          <w:rFonts w:ascii="Times New Roman" w:eastAsia="Calibri" w:hAnsi="Times New Roman" w:cs="Times New Roman"/>
          <w:i/>
          <w:sz w:val="24"/>
          <w:szCs w:val="24"/>
        </w:rPr>
        <w:t>Winsen's</w:t>
      </w:r>
      <w:proofErr w:type="spellEnd"/>
      <w:r w:rsidRPr="00BE1203">
        <w:rPr>
          <w:rFonts w:ascii="Times New Roman" w:eastAsia="Calibri" w:hAnsi="Times New Roman" w:cs="Times New Roman"/>
          <w:i/>
          <w:sz w:val="24"/>
          <w:szCs w:val="24"/>
        </w:rPr>
        <w:t xml:space="preserve"> The Civil Practice of the Supreme Court of South Africa 4 </w:t>
      </w:r>
      <w:proofErr w:type="spellStart"/>
      <w:proofErr w:type="gramStart"/>
      <w:r w:rsidRPr="00BE1203">
        <w:rPr>
          <w:rFonts w:ascii="Times New Roman" w:eastAsia="Calibri" w:hAnsi="Times New Roman" w:cs="Times New Roman"/>
          <w:i/>
          <w:sz w:val="24"/>
          <w:szCs w:val="24"/>
        </w:rPr>
        <w:t>ed</w:t>
      </w:r>
      <w:proofErr w:type="spellEnd"/>
      <w:proofErr w:type="gramEnd"/>
      <w:r w:rsidRPr="00BE1203">
        <w:rPr>
          <w:rFonts w:ascii="Times New Roman" w:eastAsia="Calibri" w:hAnsi="Times New Roman" w:cs="Times New Roman"/>
          <w:i/>
          <w:sz w:val="24"/>
          <w:szCs w:val="24"/>
        </w:rPr>
        <w:t xml:space="preserve"> by van </w:t>
      </w:r>
      <w:proofErr w:type="spellStart"/>
      <w:r w:rsidRPr="00BE1203">
        <w:rPr>
          <w:rFonts w:ascii="Times New Roman" w:eastAsia="Calibri" w:hAnsi="Times New Roman" w:cs="Times New Roman"/>
          <w:i/>
          <w:sz w:val="24"/>
          <w:szCs w:val="24"/>
        </w:rPr>
        <w:t>Winsen</w:t>
      </w:r>
      <w:proofErr w:type="spellEnd"/>
      <w:r w:rsidRPr="00BE1203">
        <w:rPr>
          <w:rFonts w:ascii="Times New Roman" w:eastAsia="Calibri" w:hAnsi="Times New Roman" w:cs="Times New Roman"/>
          <w:i/>
          <w:sz w:val="24"/>
          <w:szCs w:val="24"/>
        </w:rPr>
        <w:t xml:space="preserve">, </w:t>
      </w:r>
      <w:proofErr w:type="spellStart"/>
      <w:r w:rsidRPr="00BE1203">
        <w:rPr>
          <w:rFonts w:ascii="Times New Roman" w:eastAsia="Calibri" w:hAnsi="Times New Roman" w:cs="Times New Roman"/>
          <w:i/>
          <w:sz w:val="24"/>
          <w:szCs w:val="24"/>
        </w:rPr>
        <w:t>Cilliers</w:t>
      </w:r>
      <w:proofErr w:type="spellEnd"/>
      <w:r w:rsidRPr="00A41E3C">
        <w:rPr>
          <w:rFonts w:ascii="Times New Roman" w:eastAsia="Calibri" w:hAnsi="Times New Roman" w:cs="Times New Roman"/>
          <w:sz w:val="24"/>
          <w:szCs w:val="24"/>
        </w:rPr>
        <w:t xml:space="preserve"> and Loots at </w:t>
      </w:r>
      <w:proofErr w:type="spellStart"/>
      <w:r w:rsidRPr="00A41E3C">
        <w:rPr>
          <w:rFonts w:ascii="Times New Roman" w:eastAsia="Calibri" w:hAnsi="Times New Roman" w:cs="Times New Roman"/>
          <w:sz w:val="24"/>
          <w:szCs w:val="24"/>
        </w:rPr>
        <w:t>pp</w:t>
      </w:r>
      <w:proofErr w:type="spellEnd"/>
      <w:r w:rsidRPr="00A41E3C">
        <w:rPr>
          <w:rFonts w:ascii="Times New Roman" w:eastAsia="Calibri" w:hAnsi="Times New Roman" w:cs="Times New Roman"/>
          <w:sz w:val="24"/>
          <w:szCs w:val="24"/>
        </w:rPr>
        <w:t xml:space="preserve"> 897-898 as follows:</w:t>
      </w:r>
    </w:p>
    <w:p w:rsidR="00B23741" w:rsidRPr="00A41E3C" w:rsidRDefault="00B23741" w:rsidP="00B23741">
      <w:pPr>
        <w:spacing w:line="240" w:lineRule="auto"/>
        <w:ind w:left="1887"/>
        <w:jc w:val="both"/>
        <w:rPr>
          <w:rFonts w:ascii="Times New Roman" w:eastAsia="Calibri" w:hAnsi="Times New Roman" w:cs="Times New Roman"/>
          <w:sz w:val="24"/>
          <w:szCs w:val="24"/>
        </w:rPr>
      </w:pPr>
      <w:proofErr w:type="spellStart"/>
      <w:r w:rsidRPr="00A41E3C">
        <w:rPr>
          <w:rFonts w:ascii="Times New Roman" w:eastAsia="Calibri" w:hAnsi="Times New Roman" w:cs="Times New Roman"/>
          <w:sz w:val="24"/>
          <w:szCs w:val="24"/>
        </w:rPr>
        <w:t>Condonation</w:t>
      </w:r>
      <w:proofErr w:type="spellEnd"/>
      <w:r w:rsidRPr="00A41E3C">
        <w:rPr>
          <w:rFonts w:ascii="Times New Roman" w:eastAsia="Calibri" w:hAnsi="Times New Roman" w:cs="Times New Roman"/>
          <w:sz w:val="24"/>
          <w:szCs w:val="24"/>
        </w:rPr>
        <w:t xml:space="preserve"> of the non-observance of the rules is by no means a mere formality. It is for the applicant to satisfy the court that there is sufficient cause to excuse him from compliance... </w:t>
      </w:r>
    </w:p>
    <w:p w:rsidR="00B23741" w:rsidRPr="00A41E3C" w:rsidRDefault="00B23741" w:rsidP="00B23741">
      <w:pPr>
        <w:spacing w:after="0" w:line="240" w:lineRule="auto"/>
        <w:ind w:left="1887"/>
        <w:jc w:val="both"/>
        <w:rPr>
          <w:rFonts w:ascii="Times New Roman" w:eastAsia="Calibri" w:hAnsi="Times New Roman" w:cs="Times New Roman"/>
          <w:sz w:val="24"/>
          <w:szCs w:val="24"/>
        </w:rPr>
      </w:pPr>
      <w:r w:rsidRPr="00A41E3C">
        <w:rPr>
          <w:rFonts w:ascii="Times New Roman" w:eastAsia="Calibri" w:hAnsi="Times New Roman" w:cs="Times New Roman"/>
          <w:sz w:val="24"/>
          <w:szCs w:val="24"/>
        </w:rPr>
        <w:t xml:space="preserve">The court's power to grant relief should not be exercised arbitrarily and upon the mere asking, but with proper judicial discretion and upon sufficient and satisfactory grounds being shown by the applicant. In the determination whether sufficient cause has been shown, the basic principle is that the court has a discretion, to be exercised judicially upon a consideration of all facts, and in essence, it is a matter of fairness to both sides in which the court will endeavour to reach a conclusion that will be in the best interests of justice. The factors usually weighed by the court in considering applications for </w:t>
      </w:r>
      <w:proofErr w:type="spellStart"/>
      <w:r w:rsidRPr="00A41E3C">
        <w:rPr>
          <w:rFonts w:ascii="Times New Roman" w:eastAsia="Calibri" w:hAnsi="Times New Roman" w:cs="Times New Roman"/>
          <w:sz w:val="24"/>
          <w:szCs w:val="24"/>
        </w:rPr>
        <w:t>condonation</w:t>
      </w:r>
      <w:proofErr w:type="spellEnd"/>
      <w:r w:rsidRPr="00A41E3C">
        <w:rPr>
          <w:rFonts w:ascii="Times New Roman" w:eastAsia="Calibri" w:hAnsi="Times New Roman" w:cs="Times New Roman"/>
          <w:sz w:val="24"/>
          <w:szCs w:val="24"/>
        </w:rPr>
        <w:t xml:space="preserve"> … include the degree of non-compliance, the explanation for it, the importance of the case, the prospects of success, the respondent’s interest in the finality of his judgment, the convenience of the court and the avoidance of unnecessary delay in </w:t>
      </w:r>
      <w:r>
        <w:rPr>
          <w:rFonts w:ascii="Times New Roman" w:eastAsia="Calibri" w:hAnsi="Times New Roman" w:cs="Times New Roman"/>
          <w:sz w:val="24"/>
          <w:szCs w:val="24"/>
        </w:rPr>
        <w:t xml:space="preserve">the administration of justice. </w:t>
      </w:r>
    </w:p>
    <w:p w:rsidR="00E8109E" w:rsidRDefault="00E8109E" w:rsidP="00E8109E">
      <w:pPr>
        <w:shd w:val="clear" w:color="auto" w:fill="FFFFFF"/>
        <w:spacing w:after="100" w:afterAutospacing="1" w:line="360" w:lineRule="auto"/>
        <w:jc w:val="both"/>
        <w:rPr>
          <w:rFonts w:ascii="Times New Roman" w:hAnsi="Times New Roman" w:cs="Times New Roman"/>
          <w:sz w:val="24"/>
          <w:szCs w:val="24"/>
        </w:rPr>
      </w:pPr>
    </w:p>
    <w:p w:rsidR="009E5A7A" w:rsidRPr="005820CC" w:rsidRDefault="00E8109E" w:rsidP="005820CC">
      <w:pPr>
        <w:pStyle w:val="ListParagraph"/>
        <w:numPr>
          <w:ilvl w:val="0"/>
          <w:numId w:val="5"/>
        </w:numPr>
        <w:shd w:val="clear" w:color="auto" w:fill="FFFFFF"/>
        <w:spacing w:after="100" w:afterAutospacing="1" w:line="360" w:lineRule="auto"/>
        <w:jc w:val="both"/>
        <w:rPr>
          <w:rFonts w:ascii="Times New Roman" w:hAnsi="Times New Roman" w:cs="Times New Roman"/>
          <w:b/>
          <w:sz w:val="24"/>
          <w:szCs w:val="24"/>
        </w:rPr>
      </w:pPr>
      <w:r w:rsidRPr="005820CC">
        <w:rPr>
          <w:rFonts w:ascii="Times New Roman" w:hAnsi="Times New Roman" w:cs="Times New Roman"/>
          <w:sz w:val="24"/>
          <w:szCs w:val="24"/>
          <w:shd w:val="clear" w:color="auto" w:fill="FFFFFF"/>
        </w:rPr>
        <w:t xml:space="preserve">It is on the basis of these legal principles that this </w:t>
      </w:r>
      <w:r w:rsidR="005820CC" w:rsidRPr="005820CC">
        <w:rPr>
          <w:rFonts w:ascii="Times New Roman" w:eastAsiaTheme="minorHAnsi" w:hAnsi="Times New Roman" w:cs="Times New Roman"/>
          <w:sz w:val="24"/>
          <w:szCs w:val="24"/>
          <w:lang w:eastAsia="en-US"/>
        </w:rPr>
        <w:t xml:space="preserve">application for </w:t>
      </w:r>
      <w:proofErr w:type="spellStart"/>
      <w:r w:rsidR="005820CC" w:rsidRPr="005820CC">
        <w:rPr>
          <w:rFonts w:ascii="Times New Roman" w:eastAsiaTheme="minorHAnsi" w:hAnsi="Times New Roman" w:cs="Times New Roman"/>
          <w:sz w:val="24"/>
          <w:szCs w:val="24"/>
          <w:lang w:eastAsia="en-US"/>
        </w:rPr>
        <w:t>condonation</w:t>
      </w:r>
      <w:proofErr w:type="spellEnd"/>
      <w:r w:rsidR="005820CC" w:rsidRPr="005820CC">
        <w:rPr>
          <w:rFonts w:ascii="Times New Roman" w:eastAsiaTheme="minorHAnsi" w:hAnsi="Times New Roman" w:cs="Times New Roman"/>
          <w:sz w:val="24"/>
          <w:szCs w:val="24"/>
          <w:lang w:eastAsia="en-US"/>
        </w:rPr>
        <w:t xml:space="preserve"> and extension of time within which to note an appeal</w:t>
      </w:r>
      <w:r w:rsidR="005820CC" w:rsidRPr="005820CC">
        <w:rPr>
          <w:rFonts w:ascii="Times New Roman" w:hAnsi="Times New Roman" w:cs="Times New Roman"/>
          <w:sz w:val="24"/>
          <w:szCs w:val="24"/>
          <w:shd w:val="clear" w:color="auto" w:fill="FFFFFF"/>
        </w:rPr>
        <w:t xml:space="preserve"> </w:t>
      </w:r>
      <w:r w:rsidRPr="005820CC">
        <w:rPr>
          <w:rFonts w:ascii="Times New Roman" w:hAnsi="Times New Roman" w:cs="Times New Roman"/>
          <w:sz w:val="24"/>
          <w:szCs w:val="24"/>
          <w:shd w:val="clear" w:color="auto" w:fill="FFFFFF"/>
        </w:rPr>
        <w:t>must be viewed and considered</w:t>
      </w:r>
      <w:r w:rsidR="005820CC">
        <w:rPr>
          <w:rFonts w:ascii="Times New Roman" w:hAnsi="Times New Roman" w:cs="Times New Roman"/>
          <w:sz w:val="24"/>
          <w:szCs w:val="24"/>
          <w:shd w:val="clear" w:color="auto" w:fill="FFFFFF"/>
        </w:rPr>
        <w:t xml:space="preserve">. </w:t>
      </w:r>
    </w:p>
    <w:p w:rsidR="00C304B7" w:rsidRPr="00E747FA" w:rsidRDefault="00302077" w:rsidP="00E747FA">
      <w:pPr>
        <w:shd w:val="clear" w:color="auto" w:fill="FFFFFF"/>
        <w:spacing w:after="100" w:afterAutospacing="1" w:line="360" w:lineRule="auto"/>
        <w:jc w:val="both"/>
        <w:rPr>
          <w:rFonts w:ascii="Times New Roman" w:hAnsi="Times New Roman" w:cs="Times New Roman"/>
          <w:b/>
          <w:sz w:val="24"/>
          <w:szCs w:val="24"/>
        </w:rPr>
      </w:pPr>
      <w:r w:rsidRPr="009E5A7A">
        <w:rPr>
          <w:rFonts w:ascii="Times New Roman" w:hAnsi="Times New Roman" w:cs="Times New Roman"/>
          <w:b/>
          <w:sz w:val="24"/>
          <w:szCs w:val="24"/>
        </w:rPr>
        <w:t>Extent and explanation for non-compliance with the Rules</w:t>
      </w:r>
    </w:p>
    <w:p w:rsidR="006E5F56" w:rsidRDefault="00247D1E" w:rsidP="00277CBE">
      <w:pPr>
        <w:pStyle w:val="Default"/>
        <w:numPr>
          <w:ilvl w:val="0"/>
          <w:numId w:val="5"/>
        </w:numPr>
        <w:spacing w:line="360" w:lineRule="auto"/>
        <w:jc w:val="both"/>
      </w:pPr>
      <w:r w:rsidRPr="00247D1E">
        <w:t xml:space="preserve">The </w:t>
      </w:r>
      <w:r>
        <w:t xml:space="preserve">applicant was convicted and sentenced on 8 February 2022. </w:t>
      </w:r>
      <w:r w:rsidR="001F6534">
        <w:t xml:space="preserve">His appeal </w:t>
      </w:r>
      <w:r w:rsidR="00D714AA">
        <w:t>should have been noted within 21</w:t>
      </w:r>
      <w:r w:rsidR="001F6534">
        <w:t xml:space="preserve"> days calculated from the date of </w:t>
      </w:r>
      <w:r w:rsidR="00DA7FA9">
        <w:t>conviction and sentence. No appeal was filed. This application was filed on the 11</w:t>
      </w:r>
      <w:r w:rsidR="00DA7FA9" w:rsidRPr="00DA7FA9">
        <w:rPr>
          <w:vertAlign w:val="superscript"/>
        </w:rPr>
        <w:t>th</w:t>
      </w:r>
      <w:r w:rsidR="00DA7FA9">
        <w:t xml:space="preserve"> April 2022. </w:t>
      </w:r>
      <w:r w:rsidR="00FF4B3B" w:rsidRPr="008248FB">
        <w:t xml:space="preserve">The extent of </w:t>
      </w:r>
      <w:r w:rsidR="00B40EFC" w:rsidRPr="008248FB">
        <w:t>the delay in vindica</w:t>
      </w:r>
      <w:r w:rsidR="008313E5">
        <w:t>ting the applicant’s rights is approximately one</w:t>
      </w:r>
      <w:r w:rsidR="00FF4B3B" w:rsidRPr="008248FB">
        <w:t xml:space="preserve"> months</w:t>
      </w:r>
      <w:r w:rsidR="008248FB" w:rsidRPr="008248FB">
        <w:t xml:space="preserve">. </w:t>
      </w:r>
      <w:r w:rsidR="00C81E21">
        <w:t>This is not an inordinate delay.</w:t>
      </w:r>
      <w:r w:rsidR="006E5F56" w:rsidRPr="00277CBE">
        <w:t xml:space="preserve"> </w:t>
      </w:r>
    </w:p>
    <w:p w:rsidR="000D0D76" w:rsidRDefault="000D0D76" w:rsidP="000D0D76">
      <w:pPr>
        <w:pStyle w:val="Default"/>
        <w:spacing w:line="360" w:lineRule="auto"/>
        <w:ind w:left="720"/>
        <w:jc w:val="both"/>
      </w:pPr>
    </w:p>
    <w:p w:rsidR="008E2566" w:rsidRPr="002A5236" w:rsidRDefault="000D0D76" w:rsidP="00915E0C">
      <w:pPr>
        <w:pStyle w:val="Default"/>
        <w:numPr>
          <w:ilvl w:val="0"/>
          <w:numId w:val="5"/>
        </w:numPr>
        <w:spacing w:line="360" w:lineRule="auto"/>
        <w:jc w:val="both"/>
      </w:pPr>
      <w:r w:rsidRPr="00915E0C">
        <w:lastRenderedPageBreak/>
        <w:t xml:space="preserve">The explanation for the delay is provided in the affidavit deposed to by </w:t>
      </w:r>
      <w:r w:rsidR="00CD0B9E">
        <w:t xml:space="preserve">Mr </w:t>
      </w:r>
      <w:r w:rsidR="00CD0B9E" w:rsidRPr="00CD0B9E">
        <w:rPr>
          <w:i/>
        </w:rPr>
        <w:t xml:space="preserve">Prayers </w:t>
      </w:r>
      <w:proofErr w:type="spellStart"/>
      <w:r w:rsidR="00CD0B9E" w:rsidRPr="00CD0B9E">
        <w:rPr>
          <w:i/>
        </w:rPr>
        <w:t>Chitsa</w:t>
      </w:r>
      <w:proofErr w:type="spellEnd"/>
      <w:r w:rsidR="00CD0B9E" w:rsidRPr="00CD0B9E">
        <w:rPr>
          <w:i/>
        </w:rPr>
        <w:t xml:space="preserve"> </w:t>
      </w:r>
      <w:r w:rsidRPr="00915E0C">
        <w:t xml:space="preserve">the applicant’s legal practitioner. </w:t>
      </w:r>
      <w:r w:rsidR="00B72D74">
        <w:t>The affidavit</w:t>
      </w:r>
      <w:r w:rsidR="00CA75F5" w:rsidRPr="00915E0C">
        <w:rPr>
          <w:rFonts w:eastAsia="Calibri"/>
        </w:rPr>
        <w:t xml:space="preserve"> </w:t>
      </w:r>
      <w:r w:rsidR="008E2566" w:rsidRPr="00915E0C">
        <w:rPr>
          <w:rFonts w:eastAsia="Calibri"/>
        </w:rPr>
        <w:t>provide</w:t>
      </w:r>
      <w:r w:rsidR="00915E0C" w:rsidRPr="00915E0C">
        <w:rPr>
          <w:rFonts w:eastAsia="Calibri"/>
        </w:rPr>
        <w:t>s</w:t>
      </w:r>
      <w:r w:rsidR="008E2566" w:rsidRPr="00915E0C">
        <w:rPr>
          <w:rFonts w:eastAsia="Calibri"/>
        </w:rPr>
        <w:t xml:space="preserve"> a full, detailed</w:t>
      </w:r>
      <w:r w:rsidR="00915E0C" w:rsidRPr="00915E0C">
        <w:rPr>
          <w:rFonts w:eastAsia="Calibri"/>
        </w:rPr>
        <w:t xml:space="preserve"> and accurate explanation for the delay. </w:t>
      </w:r>
      <w:r w:rsidR="00B72D74">
        <w:rPr>
          <w:rFonts w:eastAsia="Calibri"/>
        </w:rPr>
        <w:t xml:space="preserve">In its </w:t>
      </w:r>
      <w:r w:rsidR="00E01A56">
        <w:rPr>
          <w:rFonts w:eastAsia="Calibri"/>
        </w:rPr>
        <w:t xml:space="preserve">written </w:t>
      </w:r>
      <w:r w:rsidR="00B72D74">
        <w:rPr>
          <w:rFonts w:eastAsia="Calibri"/>
        </w:rPr>
        <w:t xml:space="preserve">response the respondent contends that the </w:t>
      </w:r>
      <w:r w:rsidR="00E01A56">
        <w:rPr>
          <w:rFonts w:eastAsia="Calibri"/>
        </w:rPr>
        <w:t xml:space="preserve">delay in noting the appeal was not wilful. I agree. </w:t>
      </w:r>
      <w:r w:rsidR="00DD3591">
        <w:rPr>
          <w:rFonts w:eastAsia="Calibri"/>
        </w:rPr>
        <w:t>The explanation proffered for the non-compliance with th</w:t>
      </w:r>
      <w:r w:rsidR="001D26D5">
        <w:rPr>
          <w:rFonts w:eastAsia="Calibri"/>
        </w:rPr>
        <w:t xml:space="preserve">e rules of court is reasonable and satisfactory. </w:t>
      </w:r>
    </w:p>
    <w:p w:rsidR="002A5236" w:rsidRDefault="002A5236" w:rsidP="002A5236">
      <w:pPr>
        <w:pStyle w:val="ListParagraph"/>
      </w:pPr>
    </w:p>
    <w:p w:rsidR="002A5236" w:rsidRPr="00DD3591" w:rsidRDefault="002A5236" w:rsidP="00B91F18">
      <w:pPr>
        <w:pStyle w:val="Default"/>
        <w:numPr>
          <w:ilvl w:val="0"/>
          <w:numId w:val="5"/>
        </w:numPr>
        <w:spacing w:line="360" w:lineRule="auto"/>
        <w:jc w:val="both"/>
      </w:pPr>
      <w:r>
        <w:t xml:space="preserve">A finding that the delay in filing this application was not inordinate and that </w:t>
      </w:r>
      <w:r>
        <w:rPr>
          <w:rFonts w:eastAsia="Calibri"/>
        </w:rPr>
        <w:t xml:space="preserve">the explanation proffered for the non-compliance with the rules of court </w:t>
      </w:r>
      <w:r w:rsidR="00775F5D">
        <w:rPr>
          <w:rFonts w:eastAsia="Calibri"/>
        </w:rPr>
        <w:t xml:space="preserve">is reasonable and satisfactory is not dispositive of this matter. I still have to consider whether the intended appeal has prospects of success. </w:t>
      </w:r>
      <w:r w:rsidR="00AB6431">
        <w:rPr>
          <w:rFonts w:eastAsia="Calibri"/>
        </w:rPr>
        <w:t>This is what a litigant who does not file</w:t>
      </w:r>
      <w:r w:rsidR="00B91F18">
        <w:rPr>
          <w:rFonts w:eastAsia="Calibri"/>
        </w:rPr>
        <w:t xml:space="preserve"> his appeal, for whatever reason</w:t>
      </w:r>
      <w:r w:rsidR="0077385B">
        <w:rPr>
          <w:rFonts w:eastAsia="Calibri"/>
        </w:rPr>
        <w:t>,</w:t>
      </w:r>
      <w:r w:rsidR="00B91F18">
        <w:rPr>
          <w:rFonts w:eastAsia="Calibri"/>
        </w:rPr>
        <w:t xml:space="preserve"> </w:t>
      </w:r>
      <w:r w:rsidR="00AB6431">
        <w:rPr>
          <w:rFonts w:eastAsia="Calibri"/>
        </w:rPr>
        <w:t>within the time allowed by the rules</w:t>
      </w:r>
      <w:r w:rsidR="00B91F18">
        <w:rPr>
          <w:rFonts w:eastAsia="Calibri"/>
        </w:rPr>
        <w:t xml:space="preserve"> </w:t>
      </w:r>
      <w:r w:rsidR="00AB6431">
        <w:rPr>
          <w:rFonts w:eastAsia="Calibri"/>
        </w:rPr>
        <w:t xml:space="preserve">of court has to contend with. </w:t>
      </w:r>
    </w:p>
    <w:p w:rsidR="00DD3591" w:rsidRDefault="00DD3591" w:rsidP="00DD3591">
      <w:pPr>
        <w:pStyle w:val="ListParagraph"/>
      </w:pPr>
    </w:p>
    <w:p w:rsidR="00DD3591" w:rsidRPr="00EA57AA" w:rsidRDefault="00DD3591" w:rsidP="00DD3591">
      <w:pPr>
        <w:pStyle w:val="Default"/>
        <w:spacing w:line="360" w:lineRule="auto"/>
        <w:jc w:val="both"/>
        <w:rPr>
          <w:b/>
        </w:rPr>
      </w:pPr>
      <w:r w:rsidRPr="00EA57AA">
        <w:rPr>
          <w:rFonts w:eastAsia="Calibri"/>
          <w:b/>
          <w:szCs w:val="20"/>
        </w:rPr>
        <w:t xml:space="preserve">Prospects of success </w:t>
      </w:r>
    </w:p>
    <w:p w:rsidR="000B459B" w:rsidRDefault="000B459B" w:rsidP="0056137D">
      <w:pPr>
        <w:pStyle w:val="Default"/>
        <w:spacing w:line="360" w:lineRule="auto"/>
        <w:jc w:val="both"/>
      </w:pPr>
    </w:p>
    <w:p w:rsidR="0056137D" w:rsidRDefault="005C6F59" w:rsidP="000B459B">
      <w:pPr>
        <w:pStyle w:val="Default"/>
        <w:numPr>
          <w:ilvl w:val="0"/>
          <w:numId w:val="5"/>
        </w:numPr>
        <w:spacing w:line="360" w:lineRule="auto"/>
        <w:jc w:val="both"/>
      </w:pPr>
      <w:r w:rsidRPr="00AB21B6">
        <w:t>The test in this regard is simply whether there is a reasonable prospect of success in the envisaged appeal against the convictions and the resultant sentences, rather than whether the appeal against the convictions and resultant sentences ought to succeed</w:t>
      </w:r>
      <w:r w:rsidR="000B459B">
        <w:t>. I now proceed to consider this</w:t>
      </w:r>
      <w:r w:rsidRPr="00AB21B6">
        <w:t xml:space="preserve"> question.</w:t>
      </w:r>
    </w:p>
    <w:p w:rsidR="00A94D8C" w:rsidRDefault="00A94D8C" w:rsidP="00A94D8C">
      <w:pPr>
        <w:pStyle w:val="Default"/>
        <w:spacing w:line="360" w:lineRule="auto"/>
        <w:ind w:left="720"/>
        <w:jc w:val="both"/>
      </w:pPr>
    </w:p>
    <w:p w:rsidR="00A94D8C" w:rsidRDefault="00E91D8B" w:rsidP="00E91D8B">
      <w:pPr>
        <w:pStyle w:val="Default"/>
        <w:numPr>
          <w:ilvl w:val="0"/>
          <w:numId w:val="5"/>
        </w:numPr>
        <w:spacing w:line="360" w:lineRule="auto"/>
        <w:jc w:val="both"/>
      </w:pPr>
      <w:r>
        <w:t>The</w:t>
      </w:r>
      <w:r w:rsidR="00D3393B">
        <w:t>re is no case of mistaken identity in this matter. The</w:t>
      </w:r>
      <w:r>
        <w:t xml:space="preserve"> evidence on record shows that the complainant a</w:t>
      </w:r>
      <w:r w:rsidR="00807687">
        <w:t xml:space="preserve">nd the applicant were known to each other prior to the events of the </w:t>
      </w:r>
      <w:r w:rsidR="00194049">
        <w:t>8</w:t>
      </w:r>
      <w:r w:rsidR="00194049" w:rsidRPr="00194049">
        <w:rPr>
          <w:vertAlign w:val="superscript"/>
        </w:rPr>
        <w:t>th</w:t>
      </w:r>
      <w:r w:rsidR="00127782">
        <w:t xml:space="preserve"> October 2020. </w:t>
      </w:r>
      <w:r w:rsidR="00B66BA5">
        <w:t xml:space="preserve">They had known each other since childhood. </w:t>
      </w:r>
      <w:r w:rsidR="00647CBB">
        <w:t xml:space="preserve">They are in fact related and reside in the same village. </w:t>
      </w:r>
      <w:r w:rsidR="001E5DC9">
        <w:t xml:space="preserve">The assault occurred around 6 pm at sunset when it was still visible. </w:t>
      </w:r>
      <w:r w:rsidR="00E06B45">
        <w:t xml:space="preserve">The complainant testified that the injuries he sustained where caused by the applicant. </w:t>
      </w:r>
      <w:r w:rsidR="00647CBB">
        <w:t xml:space="preserve">The complainant’s wife testified that </w:t>
      </w:r>
      <w:r w:rsidR="00E06B45">
        <w:t xml:space="preserve">she had known the accused for </w:t>
      </w:r>
      <w:r w:rsidR="00CE7C89">
        <w:t>a per</w:t>
      </w:r>
      <w:r w:rsidR="002851D8">
        <w:t xml:space="preserve">iod of twenty years and that she saw him at the scene of crime. </w:t>
      </w:r>
      <w:r w:rsidR="00B13A04">
        <w:t xml:space="preserve">He is their uncle. </w:t>
      </w:r>
      <w:r w:rsidR="002851D8">
        <w:t>When she arrived at the scene the comp</w:t>
      </w:r>
      <w:r w:rsidR="00B13A04">
        <w:t>lainant had already been assaulted and they were continuing to assault him.</w:t>
      </w:r>
      <w:r w:rsidR="006064B2">
        <w:t xml:space="preserve"> The applicant was holding a knife. </w:t>
      </w:r>
      <w:r w:rsidR="00B13A04">
        <w:t xml:space="preserve"> </w:t>
      </w:r>
      <w:r w:rsidR="007A77FD">
        <w:t>At the</w:t>
      </w:r>
      <w:r w:rsidR="00B23B64">
        <w:t xml:space="preserve"> scene she saw a knobkerrie, an</w:t>
      </w:r>
      <w:r w:rsidR="007A77FD">
        <w:t xml:space="preserve"> axe and a knife.  </w:t>
      </w:r>
      <w:r w:rsidR="003D6B84">
        <w:t xml:space="preserve">The applicant in his evidence admitted that he was </w:t>
      </w:r>
      <w:r w:rsidR="00127782">
        <w:t xml:space="preserve">present </w:t>
      </w:r>
      <w:r w:rsidR="003D6B84">
        <w:t xml:space="preserve">at the scene of crime. </w:t>
      </w:r>
    </w:p>
    <w:p w:rsidR="00127782" w:rsidRDefault="00127782" w:rsidP="00127782">
      <w:pPr>
        <w:pStyle w:val="ListParagraph"/>
      </w:pPr>
    </w:p>
    <w:p w:rsidR="003B768F" w:rsidRDefault="002257FC" w:rsidP="00B90D58">
      <w:pPr>
        <w:pStyle w:val="Default"/>
        <w:numPr>
          <w:ilvl w:val="0"/>
          <w:numId w:val="5"/>
        </w:numPr>
        <w:spacing w:line="360" w:lineRule="auto"/>
        <w:jc w:val="both"/>
      </w:pPr>
      <w:r>
        <w:t xml:space="preserve">The complainant testified that the applicant’s name is Polite </w:t>
      </w:r>
      <w:proofErr w:type="spellStart"/>
      <w:r>
        <w:t>Sibanda</w:t>
      </w:r>
      <w:proofErr w:type="spellEnd"/>
      <w:r>
        <w:t xml:space="preserve">. He was actually surprised that in court he was referred to as Douglas </w:t>
      </w:r>
      <w:proofErr w:type="spellStart"/>
      <w:r>
        <w:t>Sibanda</w:t>
      </w:r>
      <w:proofErr w:type="spellEnd"/>
      <w:r>
        <w:t xml:space="preserve">. </w:t>
      </w:r>
      <w:r w:rsidR="002745F8">
        <w:t xml:space="preserve">The complainant’s wife </w:t>
      </w:r>
      <w:r w:rsidR="002745F8">
        <w:lastRenderedPageBreak/>
        <w:t xml:space="preserve">testified that the applicant’s name is Polite </w:t>
      </w:r>
      <w:proofErr w:type="spellStart"/>
      <w:r w:rsidR="002745F8">
        <w:t>Mudha</w:t>
      </w:r>
      <w:proofErr w:type="spellEnd"/>
      <w:r w:rsidR="002745F8">
        <w:t xml:space="preserve"> </w:t>
      </w:r>
      <w:proofErr w:type="spellStart"/>
      <w:r w:rsidR="002745F8">
        <w:t>Sibanda</w:t>
      </w:r>
      <w:proofErr w:type="spellEnd"/>
      <w:r w:rsidR="002745F8">
        <w:t xml:space="preserve">. She does not know the name Douglas. </w:t>
      </w:r>
      <w:r w:rsidR="005E3435">
        <w:t xml:space="preserve">The trial court had no doubt that the applicant, whether his name is Polite </w:t>
      </w:r>
      <w:proofErr w:type="spellStart"/>
      <w:r w:rsidR="005E3435">
        <w:t>Mudha</w:t>
      </w:r>
      <w:proofErr w:type="spellEnd"/>
      <w:r w:rsidR="005E3435">
        <w:t xml:space="preserve"> </w:t>
      </w:r>
      <w:proofErr w:type="spellStart"/>
      <w:r w:rsidR="005E3435">
        <w:t>Sibanda</w:t>
      </w:r>
      <w:proofErr w:type="spellEnd"/>
      <w:r w:rsidR="005E3435">
        <w:t xml:space="preserve"> or Douglas </w:t>
      </w:r>
      <w:proofErr w:type="spellStart"/>
      <w:r w:rsidR="005E3435">
        <w:t>Sibanda</w:t>
      </w:r>
      <w:proofErr w:type="spellEnd"/>
      <w:r w:rsidR="005E3435">
        <w:t xml:space="preserve"> is the person who was at the scene of crime, </w:t>
      </w:r>
      <w:r w:rsidR="00B10430">
        <w:t xml:space="preserve">and the person who with his accomplice caused the injuries sustained by the complainant. </w:t>
      </w:r>
    </w:p>
    <w:p w:rsidR="003B768F" w:rsidRDefault="003B768F" w:rsidP="003B768F">
      <w:pPr>
        <w:pStyle w:val="ListParagraph"/>
      </w:pPr>
    </w:p>
    <w:p w:rsidR="00127782" w:rsidRDefault="003B768F" w:rsidP="00B90D58">
      <w:pPr>
        <w:pStyle w:val="Default"/>
        <w:numPr>
          <w:ilvl w:val="0"/>
          <w:numId w:val="5"/>
        </w:numPr>
        <w:spacing w:line="360" w:lineRule="auto"/>
        <w:jc w:val="both"/>
      </w:pPr>
      <w:r>
        <w:t>On the evidence before it the</w:t>
      </w:r>
      <w:r w:rsidR="005D40D5">
        <w:t xml:space="preserve"> trial court made a factual finding that it was </w:t>
      </w:r>
      <w:r w:rsidR="00E57B81">
        <w:t>the applicant and</w:t>
      </w:r>
      <w:r>
        <w:t xml:space="preserve"> his accomplice who viciously assaulted </w:t>
      </w:r>
      <w:r w:rsidR="00E57B81">
        <w:t xml:space="preserve">the complainant with a knife, axe and knobkerrie. The assault resulted in the complainant sustaining serious injuries. </w:t>
      </w:r>
      <w:r w:rsidR="00363565">
        <w:t xml:space="preserve">The trial court found that the applicant and his accomplice intended to kill the complainant. </w:t>
      </w:r>
      <w:r w:rsidR="006113E8">
        <w:t xml:space="preserve">They used dangerous weapons and deployed severe force in attacking the complainant. They directed the attacks on the vulnerable part of the body, i.e. </w:t>
      </w:r>
      <w:r w:rsidR="001E567A">
        <w:t xml:space="preserve">the head and ribs. The complainant suffered permanent </w:t>
      </w:r>
      <w:r w:rsidR="00224305">
        <w:t xml:space="preserve">and life threatening injuries and was hospitalised for almost three weeks. </w:t>
      </w:r>
    </w:p>
    <w:p w:rsidR="00AB4355" w:rsidRDefault="00AB4355" w:rsidP="00AB4355">
      <w:pPr>
        <w:pStyle w:val="ListParagraph"/>
      </w:pPr>
    </w:p>
    <w:p w:rsidR="0052548E" w:rsidRDefault="00E4572C" w:rsidP="00B90D58">
      <w:pPr>
        <w:pStyle w:val="Default"/>
        <w:numPr>
          <w:ilvl w:val="0"/>
          <w:numId w:val="5"/>
        </w:numPr>
        <w:spacing w:line="360" w:lineRule="auto"/>
        <w:jc w:val="both"/>
      </w:pPr>
      <w:r>
        <w:t xml:space="preserve">The evidence on record shows that at the police station the complainant implicated the applicant and his accomplice who is at large. </w:t>
      </w:r>
      <w:r w:rsidR="0052548E">
        <w:t xml:space="preserve">No other people were implicated other than the applicant and his accomplice. </w:t>
      </w:r>
      <w:r w:rsidR="00E42142">
        <w:t xml:space="preserve">The evidence of the witnesses and the </w:t>
      </w:r>
      <w:r w:rsidR="006E30CE">
        <w:t xml:space="preserve">contents </w:t>
      </w:r>
      <w:r w:rsidR="007B0098">
        <w:t>of the medical report speak to the</w:t>
      </w:r>
      <w:r w:rsidR="006E30CE">
        <w:t xml:space="preserve"> vicious</w:t>
      </w:r>
      <w:r w:rsidR="007B0098">
        <w:t>ness of the attack</w:t>
      </w:r>
      <w:r w:rsidR="006E30CE">
        <w:t xml:space="preserve">. </w:t>
      </w:r>
      <w:r w:rsidR="00343790">
        <w:t xml:space="preserve">There is no doubt about this. </w:t>
      </w:r>
      <w:r w:rsidR="00E756E7">
        <w:t xml:space="preserve">Therefore whosoever inflicted those injuries must have intended to cause the death of the complainant. On the evidence on record </w:t>
      </w:r>
      <w:r w:rsidR="00EE7529">
        <w:t>the trial court found that there was overwhelming evidence that the applicant and his accomplice were th</w:t>
      </w:r>
      <w:r w:rsidR="00C716F5">
        <w:t>e attackers. This finding is unlikely to</w:t>
      </w:r>
      <w:r w:rsidR="00EE7529">
        <w:t xml:space="preserve"> be </w:t>
      </w:r>
      <w:r w:rsidR="00A25CFF">
        <w:t xml:space="preserve">vacated on appeal. </w:t>
      </w:r>
    </w:p>
    <w:p w:rsidR="00C716F5" w:rsidRDefault="00C716F5" w:rsidP="00C716F5">
      <w:pPr>
        <w:pStyle w:val="ListParagraph"/>
      </w:pPr>
    </w:p>
    <w:p w:rsidR="00817929" w:rsidRPr="00817929" w:rsidRDefault="00C716F5" w:rsidP="00817929">
      <w:pPr>
        <w:pStyle w:val="Default"/>
        <w:numPr>
          <w:ilvl w:val="0"/>
          <w:numId w:val="5"/>
        </w:numPr>
        <w:spacing w:line="360" w:lineRule="auto"/>
        <w:jc w:val="both"/>
      </w:pPr>
      <w:r>
        <w:t xml:space="preserve">The trial court found that the </w:t>
      </w:r>
      <w:r w:rsidR="00ED4AB2">
        <w:t>applicant’s def</w:t>
      </w:r>
      <w:r w:rsidR="00D26FFC">
        <w:t>ence was not reasonably possibly</w:t>
      </w:r>
      <w:r w:rsidR="00ED4AB2">
        <w:t xml:space="preserve"> true in the light of the overwhelming evidence against him. I agree. </w:t>
      </w:r>
      <w:r w:rsidR="00AC6749">
        <w:t>The decision to convict the applicant</w:t>
      </w:r>
      <w:r w:rsidR="00AC6749" w:rsidRPr="00AC6749">
        <w:rPr>
          <w:rFonts w:ascii="Arial" w:hAnsi="Arial" w:cs="Arial"/>
        </w:rPr>
        <w:t xml:space="preserve"> </w:t>
      </w:r>
      <w:r w:rsidR="00AC6749" w:rsidRPr="00817929">
        <w:t>account for all the evidence.</w:t>
      </w:r>
    </w:p>
    <w:p w:rsidR="00413172" w:rsidRDefault="00817929" w:rsidP="00817929">
      <w:pPr>
        <w:pStyle w:val="Default"/>
        <w:spacing w:line="360" w:lineRule="auto"/>
        <w:jc w:val="both"/>
      </w:pPr>
      <w:r>
        <w:t xml:space="preserve"> </w:t>
      </w:r>
    </w:p>
    <w:p w:rsidR="00413172" w:rsidRDefault="00413172" w:rsidP="00924FAB">
      <w:pPr>
        <w:pStyle w:val="ListParagraph"/>
        <w:numPr>
          <w:ilvl w:val="0"/>
          <w:numId w:val="5"/>
        </w:numPr>
        <w:spacing w:after="0" w:line="360" w:lineRule="auto"/>
        <w:jc w:val="both"/>
        <w:rPr>
          <w:rFonts w:ascii="Times New Roman" w:hAnsi="Times New Roman" w:cs="Times New Roman"/>
          <w:sz w:val="24"/>
          <w:szCs w:val="24"/>
          <w:shd w:val="clear" w:color="auto" w:fill="FFFFFF"/>
        </w:rPr>
      </w:pPr>
      <w:r w:rsidRPr="00924FAB">
        <w:rPr>
          <w:rFonts w:ascii="Times New Roman" w:hAnsi="Times New Roman" w:cs="Times New Roman"/>
          <w:sz w:val="24"/>
          <w:szCs w:val="24"/>
          <w:shd w:val="clear" w:color="auto" w:fill="FFFFFF"/>
        </w:rPr>
        <w:t>I read the record of proceedings very carefully. In my asse</w:t>
      </w:r>
      <w:r w:rsidR="00D26FFC">
        <w:rPr>
          <w:rFonts w:ascii="Times New Roman" w:hAnsi="Times New Roman" w:cs="Times New Roman"/>
          <w:sz w:val="24"/>
          <w:szCs w:val="24"/>
          <w:shd w:val="clear" w:color="auto" w:fill="FFFFFF"/>
        </w:rPr>
        <w:t>ssment, it is unlikely that the appeal</w:t>
      </w:r>
      <w:r w:rsidR="00924FAB" w:rsidRPr="00924FAB">
        <w:rPr>
          <w:rFonts w:ascii="Times New Roman" w:hAnsi="Times New Roman" w:cs="Times New Roman"/>
          <w:sz w:val="24"/>
          <w:szCs w:val="24"/>
          <w:shd w:val="clear" w:color="auto" w:fill="FFFFFF"/>
        </w:rPr>
        <w:t xml:space="preserve"> court</w:t>
      </w:r>
      <w:r w:rsidRPr="00924FAB">
        <w:rPr>
          <w:rFonts w:ascii="Times New Roman" w:hAnsi="Times New Roman" w:cs="Times New Roman"/>
          <w:sz w:val="24"/>
          <w:szCs w:val="24"/>
          <w:shd w:val="clear" w:color="auto" w:fill="FFFFFF"/>
        </w:rPr>
        <w:t xml:space="preserve"> will arrive at a different conclusion other than that of the trial court. In my view, the applicant has no good prospects of success</w:t>
      </w:r>
      <w:r w:rsidR="0077385B">
        <w:rPr>
          <w:rFonts w:ascii="Times New Roman" w:hAnsi="Times New Roman" w:cs="Times New Roman"/>
          <w:sz w:val="24"/>
          <w:szCs w:val="24"/>
          <w:shd w:val="clear" w:color="auto" w:fill="FFFFFF"/>
        </w:rPr>
        <w:t xml:space="preserve"> on appeal against conviction. </w:t>
      </w:r>
    </w:p>
    <w:p w:rsidR="001756D7" w:rsidRPr="001756D7" w:rsidRDefault="001756D7" w:rsidP="001756D7">
      <w:pPr>
        <w:pStyle w:val="ListParagraph"/>
        <w:rPr>
          <w:rFonts w:ascii="Times New Roman" w:hAnsi="Times New Roman" w:cs="Times New Roman"/>
          <w:sz w:val="24"/>
          <w:szCs w:val="24"/>
          <w:shd w:val="clear" w:color="auto" w:fill="FFFFFF"/>
        </w:rPr>
      </w:pPr>
    </w:p>
    <w:p w:rsidR="00F33CB6" w:rsidRPr="000E3550" w:rsidRDefault="00776133" w:rsidP="006F1CC8">
      <w:pPr>
        <w:pStyle w:val="Default"/>
        <w:numPr>
          <w:ilvl w:val="0"/>
          <w:numId w:val="5"/>
        </w:numPr>
        <w:spacing w:line="360" w:lineRule="auto"/>
        <w:jc w:val="both"/>
        <w:rPr>
          <w:color w:val="auto"/>
        </w:rPr>
      </w:pPr>
      <w:r w:rsidRPr="006F1CC8">
        <w:rPr>
          <w:color w:val="auto"/>
        </w:rPr>
        <w:lastRenderedPageBreak/>
        <w:t>Regardin</w:t>
      </w:r>
      <w:r w:rsidR="004E2BF6" w:rsidRPr="006F1CC8">
        <w:rPr>
          <w:color w:val="auto"/>
        </w:rPr>
        <w:t>g</w:t>
      </w:r>
      <w:r w:rsidR="004E2BF6" w:rsidRPr="006F1CC8">
        <w:t xml:space="preserve"> sentence in the proposed notice of appeal it is stated that the sentence imposed on the applicant is too severe</w:t>
      </w:r>
      <w:r w:rsidR="004F18B5" w:rsidRPr="006F1CC8">
        <w:t xml:space="preserve"> and induces a sense of shock. It is said a s</w:t>
      </w:r>
      <w:r w:rsidR="006F1CC8" w:rsidRPr="006F1CC8">
        <w:t>entence of community service or</w:t>
      </w:r>
      <w:r w:rsidR="006F1CC8" w:rsidRPr="006F1CC8">
        <w:rPr>
          <w:color w:val="auto"/>
        </w:rPr>
        <w:t xml:space="preserve"> a lesser term of imprisonment will meet the justice of the case. </w:t>
      </w:r>
      <w:r w:rsidR="004E2BF6" w:rsidRPr="006F1CC8">
        <w:t>The law is clear that in every appeal against sentence the court hearing the appeal should be guided by the principle that punishment is pre-eminently a matter for the discretion of the trial court. An appeal court should be careful not to erode such discretion: hence the further principle that the sentence should only be altered if the discretion has not been judicially and pr</w:t>
      </w:r>
      <w:r w:rsidR="000E3550">
        <w:t>operly exercised. The test</w:t>
      </w:r>
      <w:r w:rsidR="004E2BF6" w:rsidRPr="006F1CC8">
        <w:t xml:space="preserve"> is whether the sentence is vitiated by irregularity or misdirection or is disturbingly inappropriate. See: </w:t>
      </w:r>
      <w:r w:rsidR="004E2BF6" w:rsidRPr="006F1CC8">
        <w:rPr>
          <w:i/>
          <w:iCs/>
        </w:rPr>
        <w:t xml:space="preserve">S v </w:t>
      </w:r>
      <w:proofErr w:type="spellStart"/>
      <w:r w:rsidR="004E2BF6" w:rsidRPr="006F1CC8">
        <w:rPr>
          <w:i/>
          <w:iCs/>
        </w:rPr>
        <w:t>Rabie</w:t>
      </w:r>
      <w:proofErr w:type="spellEnd"/>
      <w:r w:rsidR="004E2BF6" w:rsidRPr="006F1CC8">
        <w:rPr>
          <w:i/>
          <w:iCs/>
        </w:rPr>
        <w:t xml:space="preserve"> </w:t>
      </w:r>
      <w:r w:rsidR="004E2BF6" w:rsidRPr="006F1CC8">
        <w:t xml:space="preserve">1975(4) SA 855 (AD) at 857 E. </w:t>
      </w:r>
    </w:p>
    <w:p w:rsidR="000E3550" w:rsidRDefault="000E3550" w:rsidP="000E3550">
      <w:pPr>
        <w:pStyle w:val="ListParagraph"/>
      </w:pPr>
    </w:p>
    <w:p w:rsidR="000E3550" w:rsidRPr="006F1CC8" w:rsidRDefault="008A450A" w:rsidP="006F1CC8">
      <w:pPr>
        <w:pStyle w:val="Default"/>
        <w:numPr>
          <w:ilvl w:val="0"/>
          <w:numId w:val="5"/>
        </w:numPr>
        <w:spacing w:line="360" w:lineRule="auto"/>
        <w:jc w:val="both"/>
        <w:rPr>
          <w:color w:val="auto"/>
        </w:rPr>
      </w:pPr>
      <w:r>
        <w:rPr>
          <w:color w:val="auto"/>
        </w:rPr>
        <w:t xml:space="preserve">The trial court took into account the fact that the applicant </w:t>
      </w:r>
      <w:r w:rsidR="00DC2F81">
        <w:rPr>
          <w:color w:val="auto"/>
        </w:rPr>
        <w:t>stabbed the complainant on the right eye and s</w:t>
      </w:r>
      <w:r w:rsidR="006728E9">
        <w:rPr>
          <w:color w:val="auto"/>
        </w:rPr>
        <w:t xml:space="preserve">truck him with an axe and knobkerrie on the head. The complainant sustained a raptured right eyeball, marked </w:t>
      </w:r>
      <w:proofErr w:type="spellStart"/>
      <w:r w:rsidR="006728E9">
        <w:rPr>
          <w:color w:val="auto"/>
        </w:rPr>
        <w:t>hyphena</w:t>
      </w:r>
      <w:proofErr w:type="spellEnd"/>
      <w:r w:rsidR="00A05581">
        <w:rPr>
          <w:color w:val="auto"/>
        </w:rPr>
        <w:t xml:space="preserve"> on the right eye, laceration on the left temporal region, deep laceration 5 x 4 cm on the occipital </w:t>
      </w:r>
      <w:r w:rsidR="00A07585">
        <w:rPr>
          <w:color w:val="auto"/>
        </w:rPr>
        <w:t xml:space="preserve">and blunt trauma on the scalp. </w:t>
      </w:r>
      <w:r w:rsidR="00F73F30">
        <w:rPr>
          <w:color w:val="auto"/>
        </w:rPr>
        <w:t xml:space="preserve">The medical report </w:t>
      </w:r>
      <w:r w:rsidR="00F50546">
        <w:rPr>
          <w:color w:val="auto"/>
        </w:rPr>
        <w:t>and the evidence of the State witnesses speak</w:t>
      </w:r>
      <w:r w:rsidR="00F73F30">
        <w:rPr>
          <w:color w:val="auto"/>
        </w:rPr>
        <w:t xml:space="preserve"> to these injuries. </w:t>
      </w:r>
      <w:r w:rsidR="00593E2C">
        <w:rPr>
          <w:color w:val="auto"/>
        </w:rPr>
        <w:t xml:space="preserve">Dangerous weapons were used on vulnerable parts of the body. </w:t>
      </w:r>
      <w:r w:rsidR="000D44A6">
        <w:rPr>
          <w:color w:val="auto"/>
        </w:rPr>
        <w:t xml:space="preserve">The complainant sustained very serious and </w:t>
      </w:r>
      <w:r w:rsidR="004A4B29">
        <w:rPr>
          <w:color w:val="auto"/>
        </w:rPr>
        <w:t xml:space="preserve">life-threatening injuries. </w:t>
      </w:r>
      <w:r w:rsidR="006728E9">
        <w:rPr>
          <w:color w:val="auto"/>
        </w:rPr>
        <w:t xml:space="preserve"> </w:t>
      </w:r>
      <w:r w:rsidR="00E15C03">
        <w:rPr>
          <w:color w:val="auto"/>
        </w:rPr>
        <w:t xml:space="preserve">This cannot be a case for community service. </w:t>
      </w:r>
      <w:r w:rsidR="00593E2C">
        <w:rPr>
          <w:color w:val="auto"/>
        </w:rPr>
        <w:t xml:space="preserve">There are no prospects of success on appeal against sentence. </w:t>
      </w:r>
    </w:p>
    <w:p w:rsidR="00A94D8C" w:rsidRDefault="00A94D8C" w:rsidP="00426DF9"/>
    <w:p w:rsidR="009E5A7A" w:rsidRPr="009E5A7A" w:rsidRDefault="009E5A7A" w:rsidP="009E5A7A">
      <w:pPr>
        <w:shd w:val="clear" w:color="auto" w:fill="FFFFFF"/>
        <w:spacing w:after="100" w:afterAutospacing="1" w:line="360" w:lineRule="auto"/>
        <w:jc w:val="both"/>
        <w:rPr>
          <w:rFonts w:ascii="Times New Roman" w:eastAsia="Times New Roman" w:hAnsi="Times New Roman" w:cs="Times New Roman"/>
          <w:b/>
          <w:sz w:val="24"/>
          <w:szCs w:val="24"/>
        </w:rPr>
      </w:pPr>
      <w:r w:rsidRPr="009E5A7A">
        <w:rPr>
          <w:rFonts w:ascii="Times New Roman" w:eastAsia="Times New Roman" w:hAnsi="Times New Roman" w:cs="Times New Roman"/>
          <w:b/>
          <w:sz w:val="24"/>
          <w:szCs w:val="24"/>
        </w:rPr>
        <w:t xml:space="preserve">Conclusion </w:t>
      </w:r>
    </w:p>
    <w:p w:rsidR="00C2323D" w:rsidRPr="004C4789" w:rsidRDefault="008D0AA6" w:rsidP="004C4789">
      <w:pPr>
        <w:pStyle w:val="ListParagraph"/>
        <w:numPr>
          <w:ilvl w:val="0"/>
          <w:numId w:val="5"/>
        </w:numPr>
        <w:shd w:val="clear" w:color="auto" w:fill="FFFFFF"/>
        <w:spacing w:after="100" w:after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 accept that in general t</w:t>
      </w:r>
      <w:r w:rsidR="009E5A7A" w:rsidRPr="00033569">
        <w:rPr>
          <w:rFonts w:ascii="Times New Roman" w:eastAsia="Calibri" w:hAnsi="Times New Roman" w:cs="Times New Roman"/>
          <w:sz w:val="24"/>
          <w:szCs w:val="24"/>
        </w:rPr>
        <w:t>hese factors are not individually determinative, but must be</w:t>
      </w:r>
      <w:r w:rsidR="004C5694">
        <w:rPr>
          <w:rFonts w:ascii="Times New Roman" w:eastAsia="Calibri" w:hAnsi="Times New Roman" w:cs="Times New Roman"/>
          <w:sz w:val="24"/>
          <w:szCs w:val="24"/>
        </w:rPr>
        <w:t xml:space="preserve"> weighed, one against the other. However </w:t>
      </w:r>
      <w:r>
        <w:rPr>
          <w:rFonts w:ascii="Times New Roman" w:eastAsia="Calibri" w:hAnsi="Times New Roman" w:cs="Times New Roman"/>
          <w:sz w:val="24"/>
          <w:szCs w:val="24"/>
        </w:rPr>
        <w:t>I take the view that there</w:t>
      </w:r>
      <w:r w:rsidR="004C5694">
        <w:rPr>
          <w:rFonts w:ascii="Times New Roman" w:eastAsia="Calibri" w:hAnsi="Times New Roman" w:cs="Times New Roman"/>
          <w:sz w:val="24"/>
          <w:szCs w:val="24"/>
        </w:rPr>
        <w:t xml:space="preserve"> would be cases where the lack of pr</w:t>
      </w:r>
      <w:r>
        <w:rPr>
          <w:rFonts w:ascii="Times New Roman" w:eastAsia="Calibri" w:hAnsi="Times New Roman" w:cs="Times New Roman"/>
          <w:sz w:val="24"/>
          <w:szCs w:val="24"/>
        </w:rPr>
        <w:t>ospects of success would be decisive.</w:t>
      </w:r>
      <w:r w:rsidR="00C2323D">
        <w:rPr>
          <w:rFonts w:ascii="Times New Roman" w:eastAsia="Calibri" w:hAnsi="Times New Roman" w:cs="Times New Roman"/>
          <w:sz w:val="24"/>
          <w:szCs w:val="24"/>
        </w:rPr>
        <w:t xml:space="preserve"> Like in this case. </w:t>
      </w:r>
      <w:r w:rsidR="00057770" w:rsidRPr="00C2323D">
        <w:rPr>
          <w:rFonts w:ascii="Times New Roman" w:eastAsia="Calibri" w:hAnsi="Times New Roman" w:cs="Times New Roman"/>
          <w:sz w:val="24"/>
          <w:szCs w:val="24"/>
        </w:rPr>
        <w:t xml:space="preserve">In its </w:t>
      </w:r>
      <w:r w:rsidR="00326060" w:rsidRPr="00C2323D">
        <w:rPr>
          <w:rFonts w:ascii="Times New Roman" w:eastAsia="Calibri" w:hAnsi="Times New Roman" w:cs="Times New Roman"/>
          <w:sz w:val="24"/>
          <w:szCs w:val="24"/>
        </w:rPr>
        <w:t xml:space="preserve">written </w:t>
      </w:r>
      <w:r w:rsidR="00057770" w:rsidRPr="00C2323D">
        <w:rPr>
          <w:rFonts w:ascii="Times New Roman" w:eastAsia="Calibri" w:hAnsi="Times New Roman" w:cs="Times New Roman"/>
          <w:sz w:val="24"/>
          <w:szCs w:val="24"/>
        </w:rPr>
        <w:t xml:space="preserve">response the respondent contends that there are no prospects of success on appeal. </w:t>
      </w:r>
      <w:r w:rsidR="00326060" w:rsidRPr="00C2323D">
        <w:rPr>
          <w:rFonts w:ascii="Times New Roman" w:eastAsia="Calibri" w:hAnsi="Times New Roman" w:cs="Times New Roman"/>
          <w:sz w:val="24"/>
          <w:szCs w:val="24"/>
        </w:rPr>
        <w:t xml:space="preserve">The respondent further contended that even though there are no prospects of success on appeal the applicant must be given an opportunity to argue his case. I disagree. </w:t>
      </w:r>
      <w:r w:rsidR="00EC37D5" w:rsidRPr="00C2323D">
        <w:rPr>
          <w:rFonts w:ascii="Times New Roman" w:eastAsia="Calibri" w:hAnsi="Times New Roman" w:cs="Times New Roman"/>
          <w:sz w:val="24"/>
          <w:szCs w:val="24"/>
        </w:rPr>
        <w:t xml:space="preserve">If there are no prospects of success on appeal then there is no case to argue on appeal. </w:t>
      </w:r>
      <w:r w:rsidR="004C4789">
        <w:rPr>
          <w:rFonts w:ascii="Times New Roman" w:eastAsia="Calibri" w:hAnsi="Times New Roman" w:cs="Times New Roman"/>
          <w:sz w:val="24"/>
          <w:szCs w:val="24"/>
        </w:rPr>
        <w:t xml:space="preserve">The absence of prospects of success on appeal is decisive in this matter. </w:t>
      </w:r>
      <w:r w:rsidR="00971918">
        <w:rPr>
          <w:rFonts w:ascii="Times New Roman" w:eastAsia="Calibri" w:hAnsi="Times New Roman" w:cs="Times New Roman"/>
          <w:sz w:val="24"/>
          <w:szCs w:val="24"/>
        </w:rPr>
        <w:t xml:space="preserve">In this case I have confidence that I can shut the doors of the court in the face of the applicant without causing any prejudice to him. </w:t>
      </w:r>
      <w:r w:rsidR="00C2323D" w:rsidRPr="004C4789">
        <w:rPr>
          <w:rFonts w:ascii="Times New Roman" w:hAnsi="Times New Roman" w:cs="Times New Roman"/>
          <w:sz w:val="24"/>
          <w:szCs w:val="24"/>
        </w:rPr>
        <w:t xml:space="preserve">There is no point in clogging the appeal roll with unmeritorious appeals. </w:t>
      </w:r>
    </w:p>
    <w:p w:rsidR="000A6DF0" w:rsidRDefault="000A6DF0" w:rsidP="000A6DF0">
      <w:pPr>
        <w:pStyle w:val="ListParagraph"/>
        <w:shd w:val="clear" w:color="auto" w:fill="FFFFFF"/>
        <w:spacing w:after="100" w:afterAutospacing="1" w:line="360" w:lineRule="auto"/>
        <w:jc w:val="both"/>
        <w:rPr>
          <w:rFonts w:ascii="Times New Roman" w:eastAsia="Calibri" w:hAnsi="Times New Roman" w:cs="Times New Roman"/>
          <w:sz w:val="24"/>
          <w:szCs w:val="24"/>
        </w:rPr>
      </w:pPr>
    </w:p>
    <w:p w:rsidR="00413172" w:rsidRDefault="00413172" w:rsidP="00413172">
      <w:pPr>
        <w:pStyle w:val="ListParagraph"/>
        <w:shd w:val="clear" w:color="auto" w:fill="FFFFFF"/>
        <w:spacing w:after="100" w:afterAutospacing="1" w:line="360" w:lineRule="auto"/>
        <w:jc w:val="both"/>
        <w:rPr>
          <w:rFonts w:ascii="Times New Roman" w:eastAsia="Calibri" w:hAnsi="Times New Roman" w:cs="Times New Roman"/>
          <w:sz w:val="24"/>
          <w:szCs w:val="24"/>
        </w:rPr>
      </w:pPr>
    </w:p>
    <w:p w:rsidR="00413172" w:rsidRPr="00C2323D" w:rsidRDefault="000A07A4" w:rsidP="004C4789">
      <w:pPr>
        <w:pStyle w:val="ListParagraph"/>
        <w:numPr>
          <w:ilvl w:val="0"/>
          <w:numId w:val="5"/>
        </w:numPr>
        <w:shd w:val="clear" w:color="auto" w:fill="FFFFFF"/>
        <w:spacing w:after="100" w:after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It was for these reasons that I dismissed this application. </w:t>
      </w:r>
    </w:p>
    <w:p w:rsidR="00057770" w:rsidRPr="0052702C" w:rsidRDefault="00057770" w:rsidP="00C2323D">
      <w:pPr>
        <w:pStyle w:val="ListParagraph"/>
        <w:shd w:val="clear" w:color="auto" w:fill="FFFFFF"/>
        <w:spacing w:after="100" w:afterAutospacing="1" w:line="360" w:lineRule="auto"/>
        <w:jc w:val="both"/>
        <w:rPr>
          <w:rFonts w:ascii="Times New Roman" w:eastAsia="Times New Roman" w:hAnsi="Times New Roman" w:cs="Times New Roman"/>
          <w:sz w:val="24"/>
          <w:szCs w:val="24"/>
        </w:rPr>
      </w:pPr>
    </w:p>
    <w:p w:rsidR="00AE4F08" w:rsidRDefault="00AE4F08" w:rsidP="00AE4F08">
      <w:pPr>
        <w:pStyle w:val="ListParagraph"/>
        <w:spacing w:after="0" w:line="360" w:lineRule="auto"/>
        <w:jc w:val="both"/>
        <w:rPr>
          <w:rFonts w:ascii="Times New Roman" w:hAnsi="Times New Roman" w:cs="Times New Roman"/>
          <w:sz w:val="24"/>
          <w:szCs w:val="24"/>
        </w:rPr>
      </w:pPr>
    </w:p>
    <w:p w:rsidR="00AE4F08" w:rsidRPr="00C70AE5" w:rsidRDefault="005D57A6" w:rsidP="005D57A6">
      <w:pPr>
        <w:spacing w:after="0"/>
        <w:jc w:val="both"/>
        <w:rPr>
          <w:rFonts w:ascii="Times New Roman" w:hAnsi="Times New Roman" w:cs="Times New Roman"/>
          <w:sz w:val="24"/>
          <w:szCs w:val="24"/>
        </w:rPr>
      </w:pPr>
      <w:proofErr w:type="spellStart"/>
      <w:r w:rsidRPr="00C70AE5">
        <w:rPr>
          <w:rFonts w:ascii="Times New Roman" w:hAnsi="Times New Roman" w:cs="Times New Roman"/>
          <w:i/>
          <w:sz w:val="24"/>
          <w:szCs w:val="24"/>
        </w:rPr>
        <w:t>Chitsa</w:t>
      </w:r>
      <w:proofErr w:type="spellEnd"/>
      <w:r w:rsidRPr="00C70AE5">
        <w:rPr>
          <w:rFonts w:ascii="Times New Roman" w:hAnsi="Times New Roman" w:cs="Times New Roman"/>
          <w:i/>
          <w:sz w:val="24"/>
          <w:szCs w:val="24"/>
        </w:rPr>
        <w:t xml:space="preserve"> &amp; </w:t>
      </w:r>
      <w:proofErr w:type="spellStart"/>
      <w:r w:rsidRPr="00C70AE5">
        <w:rPr>
          <w:rFonts w:ascii="Times New Roman" w:hAnsi="Times New Roman" w:cs="Times New Roman"/>
          <w:i/>
          <w:sz w:val="24"/>
          <w:szCs w:val="24"/>
        </w:rPr>
        <w:t>Masvaya</w:t>
      </w:r>
      <w:proofErr w:type="spellEnd"/>
      <w:r w:rsidRPr="00C70AE5">
        <w:rPr>
          <w:rFonts w:ascii="Times New Roman" w:hAnsi="Times New Roman" w:cs="Times New Roman"/>
          <w:i/>
          <w:sz w:val="24"/>
          <w:szCs w:val="24"/>
        </w:rPr>
        <w:t xml:space="preserve"> Law Chambers</w:t>
      </w:r>
      <w:r w:rsidRPr="00C70AE5">
        <w:rPr>
          <w:rFonts w:ascii="Times New Roman" w:hAnsi="Times New Roman" w:cs="Times New Roman"/>
          <w:sz w:val="24"/>
          <w:szCs w:val="24"/>
        </w:rPr>
        <w:t xml:space="preserve"> applicant’s legal practitioners </w:t>
      </w:r>
    </w:p>
    <w:p w:rsidR="00C70AE5" w:rsidRPr="00C70AE5" w:rsidRDefault="00C70AE5" w:rsidP="005D57A6">
      <w:pPr>
        <w:spacing w:after="0"/>
        <w:jc w:val="both"/>
        <w:rPr>
          <w:rFonts w:ascii="Times New Roman" w:hAnsi="Times New Roman" w:cs="Times New Roman"/>
          <w:sz w:val="24"/>
          <w:szCs w:val="24"/>
        </w:rPr>
      </w:pPr>
      <w:r w:rsidRPr="00C70AE5">
        <w:rPr>
          <w:rFonts w:ascii="Times New Roman" w:hAnsi="Times New Roman" w:cs="Times New Roman"/>
          <w:i/>
          <w:iCs/>
          <w:sz w:val="24"/>
          <w:szCs w:val="24"/>
        </w:rPr>
        <w:t xml:space="preserve">National Prosecuting Authority </w:t>
      </w:r>
      <w:r w:rsidRPr="00C70AE5">
        <w:rPr>
          <w:rFonts w:ascii="Times New Roman" w:hAnsi="Times New Roman" w:cs="Times New Roman"/>
          <w:sz w:val="24"/>
          <w:szCs w:val="24"/>
        </w:rPr>
        <w:t>respondent’s legal practitioners</w:t>
      </w:r>
    </w:p>
    <w:sectPr w:rsidR="00C70AE5" w:rsidRPr="00C70AE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349" w:rsidRDefault="000B7349" w:rsidP="00D70FF9">
      <w:pPr>
        <w:spacing w:after="0" w:line="240" w:lineRule="auto"/>
      </w:pPr>
      <w:r>
        <w:separator/>
      </w:r>
    </w:p>
  </w:endnote>
  <w:endnote w:type="continuationSeparator" w:id="0">
    <w:p w:rsidR="000B7349" w:rsidRDefault="000B7349" w:rsidP="00D70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349" w:rsidRDefault="000B7349" w:rsidP="00D70FF9">
      <w:pPr>
        <w:spacing w:after="0" w:line="240" w:lineRule="auto"/>
      </w:pPr>
      <w:r>
        <w:separator/>
      </w:r>
    </w:p>
  </w:footnote>
  <w:footnote w:type="continuationSeparator" w:id="0">
    <w:p w:rsidR="000B7349" w:rsidRDefault="000B7349" w:rsidP="00D70F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274301"/>
      <w:docPartObj>
        <w:docPartGallery w:val="Page Numbers (Top of Page)"/>
        <w:docPartUnique/>
      </w:docPartObj>
    </w:sdtPr>
    <w:sdtEndPr>
      <w:rPr>
        <w:noProof/>
      </w:rPr>
    </w:sdtEndPr>
    <w:sdtContent>
      <w:p w:rsidR="00EF7F76" w:rsidRDefault="00EF7F76">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rsidR="00EF7F76" w:rsidRDefault="00EF7F76">
        <w:pPr>
          <w:pStyle w:val="Header"/>
          <w:jc w:val="right"/>
          <w:rPr>
            <w:noProof/>
          </w:rPr>
        </w:pPr>
        <w:r>
          <w:rPr>
            <w:noProof/>
          </w:rPr>
          <w:t>HB 224/22</w:t>
        </w:r>
      </w:p>
      <w:p w:rsidR="00EF7F76" w:rsidRDefault="00EF7F76">
        <w:pPr>
          <w:pStyle w:val="Header"/>
          <w:jc w:val="right"/>
        </w:pPr>
        <w:r>
          <w:rPr>
            <w:noProof/>
          </w:rPr>
          <w:t>HCA (COND) 17/22</w:t>
        </w:r>
      </w:p>
    </w:sdtContent>
  </w:sdt>
  <w:p w:rsidR="00EF7F76" w:rsidRDefault="00EF7F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F1DC5"/>
    <w:multiLevelType w:val="hybridMultilevel"/>
    <w:tmpl w:val="F734397E"/>
    <w:lvl w:ilvl="0" w:tplc="6DFCD52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D5458F8"/>
    <w:multiLevelType w:val="hybridMultilevel"/>
    <w:tmpl w:val="C92E805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2581D3E"/>
    <w:multiLevelType w:val="hybridMultilevel"/>
    <w:tmpl w:val="34FE5F26"/>
    <w:lvl w:ilvl="0" w:tplc="C08651C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3BF72D23"/>
    <w:multiLevelType w:val="hybridMultilevel"/>
    <w:tmpl w:val="C92E805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A196B81"/>
    <w:multiLevelType w:val="multilevel"/>
    <w:tmpl w:val="F1D63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F921A7"/>
    <w:multiLevelType w:val="hybridMultilevel"/>
    <w:tmpl w:val="F734397E"/>
    <w:lvl w:ilvl="0" w:tplc="6DFCD52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63087679"/>
    <w:multiLevelType w:val="hybridMultilevel"/>
    <w:tmpl w:val="FEEE91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730E1E3A"/>
    <w:multiLevelType w:val="hybridMultilevel"/>
    <w:tmpl w:val="C92E805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73392667"/>
    <w:multiLevelType w:val="hybridMultilevel"/>
    <w:tmpl w:val="7C483298"/>
    <w:lvl w:ilvl="0" w:tplc="04C090B2">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nsid w:val="78954477"/>
    <w:multiLevelType w:val="hybridMultilevel"/>
    <w:tmpl w:val="F734397E"/>
    <w:lvl w:ilvl="0" w:tplc="6DFCD52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9"/>
  </w:num>
  <w:num w:numId="3">
    <w:abstractNumId w:val="8"/>
  </w:num>
  <w:num w:numId="4">
    <w:abstractNumId w:val="4"/>
  </w:num>
  <w:num w:numId="5">
    <w:abstractNumId w:val="7"/>
  </w:num>
  <w:num w:numId="6">
    <w:abstractNumId w:val="2"/>
  </w:num>
  <w:num w:numId="7">
    <w:abstractNumId w:val="3"/>
  </w:num>
  <w:num w:numId="8">
    <w:abstractNumId w:val="0"/>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F08"/>
    <w:rsid w:val="0000032A"/>
    <w:rsid w:val="00013929"/>
    <w:rsid w:val="00033569"/>
    <w:rsid w:val="00057770"/>
    <w:rsid w:val="000603A1"/>
    <w:rsid w:val="00093B6F"/>
    <w:rsid w:val="000A07A4"/>
    <w:rsid w:val="000A5BF2"/>
    <w:rsid w:val="000A6DF0"/>
    <w:rsid w:val="000B18F5"/>
    <w:rsid w:val="000B459B"/>
    <w:rsid w:val="000B7349"/>
    <w:rsid w:val="000D0D76"/>
    <w:rsid w:val="000D44A6"/>
    <w:rsid w:val="000E3550"/>
    <w:rsid w:val="00127782"/>
    <w:rsid w:val="00142422"/>
    <w:rsid w:val="001756D7"/>
    <w:rsid w:val="00194049"/>
    <w:rsid w:val="001973AA"/>
    <w:rsid w:val="001A0293"/>
    <w:rsid w:val="001D26D5"/>
    <w:rsid w:val="001E567A"/>
    <w:rsid w:val="001E5DC9"/>
    <w:rsid w:val="001F6534"/>
    <w:rsid w:val="00224305"/>
    <w:rsid w:val="002257FC"/>
    <w:rsid w:val="00247D1E"/>
    <w:rsid w:val="002575AE"/>
    <w:rsid w:val="002745F8"/>
    <w:rsid w:val="00275F23"/>
    <w:rsid w:val="00277CBE"/>
    <w:rsid w:val="002851D8"/>
    <w:rsid w:val="002A5236"/>
    <w:rsid w:val="002D24F4"/>
    <w:rsid w:val="002F3A98"/>
    <w:rsid w:val="00302077"/>
    <w:rsid w:val="00326060"/>
    <w:rsid w:val="00343790"/>
    <w:rsid w:val="00344E36"/>
    <w:rsid w:val="00363565"/>
    <w:rsid w:val="003B768F"/>
    <w:rsid w:val="003D6B84"/>
    <w:rsid w:val="00407570"/>
    <w:rsid w:val="00413172"/>
    <w:rsid w:val="00426DF9"/>
    <w:rsid w:val="00432D82"/>
    <w:rsid w:val="0043326A"/>
    <w:rsid w:val="00451050"/>
    <w:rsid w:val="004559B1"/>
    <w:rsid w:val="004A4B29"/>
    <w:rsid w:val="004C4789"/>
    <w:rsid w:val="004C5694"/>
    <w:rsid w:val="004E2BF6"/>
    <w:rsid w:val="004F18B5"/>
    <w:rsid w:val="00500C5C"/>
    <w:rsid w:val="0052548E"/>
    <w:rsid w:val="0052702C"/>
    <w:rsid w:val="005434D3"/>
    <w:rsid w:val="0056137D"/>
    <w:rsid w:val="00565107"/>
    <w:rsid w:val="005820CC"/>
    <w:rsid w:val="00593E2C"/>
    <w:rsid w:val="005C6F59"/>
    <w:rsid w:val="005D40D5"/>
    <w:rsid w:val="005D57A6"/>
    <w:rsid w:val="005E0F69"/>
    <w:rsid w:val="005E3435"/>
    <w:rsid w:val="005F4007"/>
    <w:rsid w:val="006064B2"/>
    <w:rsid w:val="006113E8"/>
    <w:rsid w:val="00611F0E"/>
    <w:rsid w:val="00647CBB"/>
    <w:rsid w:val="00654D54"/>
    <w:rsid w:val="006700A0"/>
    <w:rsid w:val="006728E9"/>
    <w:rsid w:val="0069159C"/>
    <w:rsid w:val="006B29B4"/>
    <w:rsid w:val="006C0620"/>
    <w:rsid w:val="006C1D39"/>
    <w:rsid w:val="006E30CE"/>
    <w:rsid w:val="006E5F56"/>
    <w:rsid w:val="006F1CC8"/>
    <w:rsid w:val="0072439A"/>
    <w:rsid w:val="0074679B"/>
    <w:rsid w:val="0077385B"/>
    <w:rsid w:val="00775F5D"/>
    <w:rsid w:val="00776133"/>
    <w:rsid w:val="007862A9"/>
    <w:rsid w:val="00792EC1"/>
    <w:rsid w:val="007A77FD"/>
    <w:rsid w:val="007B0098"/>
    <w:rsid w:val="00807687"/>
    <w:rsid w:val="00812626"/>
    <w:rsid w:val="00817929"/>
    <w:rsid w:val="008248FB"/>
    <w:rsid w:val="008313E5"/>
    <w:rsid w:val="008930ED"/>
    <w:rsid w:val="0089387D"/>
    <w:rsid w:val="008A450A"/>
    <w:rsid w:val="008C2AF5"/>
    <w:rsid w:val="008D0AA6"/>
    <w:rsid w:val="008D24B7"/>
    <w:rsid w:val="008E2566"/>
    <w:rsid w:val="008E2DBB"/>
    <w:rsid w:val="008E47F2"/>
    <w:rsid w:val="00915E0C"/>
    <w:rsid w:val="00924FAB"/>
    <w:rsid w:val="0093065F"/>
    <w:rsid w:val="009579B1"/>
    <w:rsid w:val="00971918"/>
    <w:rsid w:val="00974D2F"/>
    <w:rsid w:val="00995A39"/>
    <w:rsid w:val="009C0358"/>
    <w:rsid w:val="009C0F61"/>
    <w:rsid w:val="009E5A7A"/>
    <w:rsid w:val="00A05581"/>
    <w:rsid w:val="00A07585"/>
    <w:rsid w:val="00A247E8"/>
    <w:rsid w:val="00A25CFF"/>
    <w:rsid w:val="00A26F48"/>
    <w:rsid w:val="00A476D4"/>
    <w:rsid w:val="00A94D8C"/>
    <w:rsid w:val="00AB22A7"/>
    <w:rsid w:val="00AB4355"/>
    <w:rsid w:val="00AB6431"/>
    <w:rsid w:val="00AC6749"/>
    <w:rsid w:val="00AE4F08"/>
    <w:rsid w:val="00B026F1"/>
    <w:rsid w:val="00B05FF7"/>
    <w:rsid w:val="00B10430"/>
    <w:rsid w:val="00B13A04"/>
    <w:rsid w:val="00B23741"/>
    <w:rsid w:val="00B23B64"/>
    <w:rsid w:val="00B2436D"/>
    <w:rsid w:val="00B40EFC"/>
    <w:rsid w:val="00B42EED"/>
    <w:rsid w:val="00B6436C"/>
    <w:rsid w:val="00B66BA5"/>
    <w:rsid w:val="00B6758A"/>
    <w:rsid w:val="00B72D74"/>
    <w:rsid w:val="00B90D58"/>
    <w:rsid w:val="00B91F18"/>
    <w:rsid w:val="00BA1AEB"/>
    <w:rsid w:val="00BB2FA5"/>
    <w:rsid w:val="00BC59C5"/>
    <w:rsid w:val="00C2323D"/>
    <w:rsid w:val="00C304B7"/>
    <w:rsid w:val="00C70AE5"/>
    <w:rsid w:val="00C716F5"/>
    <w:rsid w:val="00C81E21"/>
    <w:rsid w:val="00CA4C54"/>
    <w:rsid w:val="00CA75F5"/>
    <w:rsid w:val="00CD0B9E"/>
    <w:rsid w:val="00CE7C89"/>
    <w:rsid w:val="00CF5318"/>
    <w:rsid w:val="00D26FFC"/>
    <w:rsid w:val="00D3393B"/>
    <w:rsid w:val="00D40CB8"/>
    <w:rsid w:val="00D46E12"/>
    <w:rsid w:val="00D70FF9"/>
    <w:rsid w:val="00D714AA"/>
    <w:rsid w:val="00D82CAE"/>
    <w:rsid w:val="00D83022"/>
    <w:rsid w:val="00D90157"/>
    <w:rsid w:val="00DA7FA9"/>
    <w:rsid w:val="00DC2F81"/>
    <w:rsid w:val="00DD3591"/>
    <w:rsid w:val="00E01A56"/>
    <w:rsid w:val="00E06B45"/>
    <w:rsid w:val="00E15C03"/>
    <w:rsid w:val="00E42142"/>
    <w:rsid w:val="00E4572C"/>
    <w:rsid w:val="00E57B81"/>
    <w:rsid w:val="00E61CB6"/>
    <w:rsid w:val="00E747FA"/>
    <w:rsid w:val="00E756E7"/>
    <w:rsid w:val="00E8109E"/>
    <w:rsid w:val="00E91D8B"/>
    <w:rsid w:val="00EA57AA"/>
    <w:rsid w:val="00EB111E"/>
    <w:rsid w:val="00EB3D61"/>
    <w:rsid w:val="00EC37D5"/>
    <w:rsid w:val="00ED4AB2"/>
    <w:rsid w:val="00EE6793"/>
    <w:rsid w:val="00EE7529"/>
    <w:rsid w:val="00EF4286"/>
    <w:rsid w:val="00EF7F76"/>
    <w:rsid w:val="00F33CB6"/>
    <w:rsid w:val="00F50546"/>
    <w:rsid w:val="00F73F30"/>
    <w:rsid w:val="00FA4F35"/>
    <w:rsid w:val="00FC4B84"/>
    <w:rsid w:val="00FF4B3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B06284-0539-42B9-9BDD-DB97773E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F08"/>
    <w:pPr>
      <w:spacing w:after="200" w:line="276" w:lineRule="auto"/>
    </w:pPr>
    <w:rPr>
      <w:rFonts w:eastAsiaTheme="minorEastAsia"/>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F08"/>
    <w:pPr>
      <w:ind w:left="720"/>
      <w:contextualSpacing/>
    </w:pPr>
  </w:style>
  <w:style w:type="paragraph" w:customStyle="1" w:styleId="Default">
    <w:name w:val="Default"/>
    <w:rsid w:val="00AE4F0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B111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26F48"/>
    <w:pPr>
      <w:keepLines/>
      <w:spacing w:before="100" w:beforeAutospacing="1" w:after="100" w:afterAutospacing="1" w:line="240" w:lineRule="auto"/>
      <w:contextualSpacing/>
    </w:pPr>
    <w:rPr>
      <w:rFonts w:ascii="Times New Roman" w:hAnsi="Times New Roman"/>
      <w:sz w:val="24"/>
      <w:lang w:val="en-US"/>
    </w:rPr>
  </w:style>
  <w:style w:type="paragraph" w:styleId="FootnoteText">
    <w:name w:val="footnote text"/>
    <w:basedOn w:val="Normal"/>
    <w:link w:val="FootnoteTextChar"/>
    <w:uiPriority w:val="99"/>
    <w:semiHidden/>
    <w:unhideWhenUsed/>
    <w:rsid w:val="00D70FF9"/>
    <w:pPr>
      <w:spacing w:after="0" w:line="240" w:lineRule="auto"/>
    </w:pPr>
    <w:rPr>
      <w:rFonts w:eastAsiaTheme="minorHAnsi"/>
      <w:sz w:val="20"/>
      <w:szCs w:val="20"/>
      <w:lang w:val="en-ZA" w:eastAsia="en-US"/>
    </w:rPr>
  </w:style>
  <w:style w:type="character" w:customStyle="1" w:styleId="FootnoteTextChar">
    <w:name w:val="Footnote Text Char"/>
    <w:basedOn w:val="DefaultParagraphFont"/>
    <w:link w:val="FootnoteText"/>
    <w:uiPriority w:val="99"/>
    <w:semiHidden/>
    <w:rsid w:val="00D70FF9"/>
    <w:rPr>
      <w:sz w:val="20"/>
      <w:szCs w:val="20"/>
      <w:lang w:val="en-ZA"/>
    </w:rPr>
  </w:style>
  <w:style w:type="character" w:styleId="FootnoteReference">
    <w:name w:val="footnote reference"/>
    <w:basedOn w:val="DefaultParagraphFont"/>
    <w:uiPriority w:val="99"/>
    <w:semiHidden/>
    <w:unhideWhenUsed/>
    <w:rsid w:val="00D70FF9"/>
    <w:rPr>
      <w:vertAlign w:val="superscript"/>
    </w:rPr>
  </w:style>
  <w:style w:type="paragraph" w:styleId="Header">
    <w:name w:val="header"/>
    <w:basedOn w:val="Normal"/>
    <w:link w:val="HeaderChar"/>
    <w:uiPriority w:val="99"/>
    <w:unhideWhenUsed/>
    <w:rsid w:val="00EF7F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7F76"/>
    <w:rPr>
      <w:rFonts w:eastAsiaTheme="minorEastAsia"/>
      <w:lang w:eastAsia="en-ZW"/>
    </w:rPr>
  </w:style>
  <w:style w:type="paragraph" w:styleId="Footer">
    <w:name w:val="footer"/>
    <w:basedOn w:val="Normal"/>
    <w:link w:val="FooterChar"/>
    <w:uiPriority w:val="99"/>
    <w:unhideWhenUsed/>
    <w:rsid w:val="00EF7F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7F76"/>
    <w:rPr>
      <w:rFonts w:eastAsiaTheme="minorEastAsia"/>
      <w:lang w:eastAsia="en-ZW"/>
    </w:rPr>
  </w:style>
  <w:style w:type="paragraph" w:styleId="BalloonText">
    <w:name w:val="Balloon Text"/>
    <w:basedOn w:val="Normal"/>
    <w:link w:val="BalloonTextChar"/>
    <w:uiPriority w:val="99"/>
    <w:semiHidden/>
    <w:unhideWhenUsed/>
    <w:rsid w:val="00EF7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F76"/>
    <w:rPr>
      <w:rFonts w:ascii="Segoe UI" w:eastAsiaTheme="minorEastAsia" w:hAnsi="Segoe UI" w:cs="Segoe UI"/>
      <w:sz w:val="18"/>
      <w:szCs w:val="18"/>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98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7</Pages>
  <Words>1889</Words>
  <Characters>10770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50</cp:revision>
  <cp:lastPrinted>2022-08-26T10:43:00Z</cp:lastPrinted>
  <dcterms:created xsi:type="dcterms:W3CDTF">2022-08-16T13:37:00Z</dcterms:created>
  <dcterms:modified xsi:type="dcterms:W3CDTF">2022-08-26T10:51:00Z</dcterms:modified>
</cp:coreProperties>
</file>