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F32" w:rsidRPr="00E471F9" w:rsidRDefault="00F71D7E" w:rsidP="003C4987">
      <w:pPr>
        <w:jc w:val="both"/>
        <w:rPr>
          <w:rFonts w:cs="Times New Roman"/>
        </w:rPr>
      </w:pPr>
      <w:r w:rsidRPr="00E471F9">
        <w:rPr>
          <w:rFonts w:cs="Times New Roman"/>
        </w:rPr>
        <w:t>DOUGLAS MAMVURA</w:t>
      </w:r>
      <w:r w:rsidRPr="00E471F9">
        <w:rPr>
          <w:rFonts w:cs="Times New Roman"/>
        </w:rPr>
        <w:tab/>
      </w:r>
      <w:r w:rsidRPr="00E471F9">
        <w:rPr>
          <w:rFonts w:cs="Times New Roman"/>
        </w:rPr>
        <w:tab/>
      </w:r>
      <w:r w:rsidRPr="00E471F9">
        <w:rPr>
          <w:rFonts w:cs="Times New Roman"/>
        </w:rPr>
        <w:tab/>
      </w:r>
      <w:r w:rsidRPr="00E471F9">
        <w:rPr>
          <w:rFonts w:cs="Times New Roman"/>
        </w:rPr>
        <w:tab/>
      </w:r>
      <w:r w:rsidRPr="00E471F9">
        <w:rPr>
          <w:rFonts w:cs="Times New Roman"/>
        </w:rPr>
        <w:tab/>
      </w:r>
      <w:r w:rsidRPr="00E471F9">
        <w:rPr>
          <w:rFonts w:cs="Times New Roman"/>
        </w:rPr>
        <w:tab/>
      </w:r>
      <w:r w:rsidRPr="00E471F9">
        <w:rPr>
          <w:rFonts w:cs="Times New Roman"/>
        </w:rPr>
        <w:tab/>
      </w:r>
      <w:r w:rsidRPr="00E471F9">
        <w:rPr>
          <w:rFonts w:cs="Times New Roman"/>
        </w:rPr>
        <w:tab/>
      </w:r>
      <w:r w:rsidRPr="00E471F9">
        <w:rPr>
          <w:rFonts w:cs="Times New Roman"/>
        </w:rPr>
        <w:tab/>
      </w:r>
    </w:p>
    <w:p w:rsidR="00B50F32" w:rsidRPr="00E471F9" w:rsidRDefault="003C4987" w:rsidP="003C4987">
      <w:pPr>
        <w:jc w:val="both"/>
        <w:rPr>
          <w:rFonts w:cs="Times New Roman"/>
        </w:rPr>
      </w:pPr>
      <w:r>
        <w:rPr>
          <w:rFonts w:cs="Times New Roman"/>
        </w:rPr>
        <w:t>versus</w:t>
      </w:r>
    </w:p>
    <w:p w:rsidR="00B50F32" w:rsidRPr="00E471F9" w:rsidRDefault="00F71D7E" w:rsidP="003C4987">
      <w:pPr>
        <w:jc w:val="both"/>
        <w:rPr>
          <w:rFonts w:cs="Times New Roman"/>
        </w:rPr>
      </w:pPr>
      <w:r w:rsidRPr="00E471F9">
        <w:rPr>
          <w:rFonts w:cs="Times New Roman"/>
        </w:rPr>
        <w:t>TENDAYI BERNADETTE HLUPO</w:t>
      </w:r>
    </w:p>
    <w:p w:rsidR="00B50F32" w:rsidRPr="00E471F9" w:rsidRDefault="00F71D7E" w:rsidP="003C4987">
      <w:pPr>
        <w:jc w:val="both"/>
        <w:rPr>
          <w:rFonts w:cs="Times New Roman"/>
        </w:rPr>
      </w:pPr>
      <w:r w:rsidRPr="00E471F9">
        <w:rPr>
          <w:rFonts w:cs="Times New Roman"/>
        </w:rPr>
        <w:t>And</w:t>
      </w:r>
    </w:p>
    <w:p w:rsidR="00B50F32" w:rsidRPr="00E471F9" w:rsidRDefault="00F71D7E" w:rsidP="003C4987">
      <w:pPr>
        <w:jc w:val="both"/>
        <w:rPr>
          <w:rFonts w:cs="Times New Roman"/>
        </w:rPr>
      </w:pPr>
      <w:r w:rsidRPr="00E471F9">
        <w:rPr>
          <w:rFonts w:cs="Times New Roman"/>
        </w:rPr>
        <w:t>CREDIT INSURANCE ZIMBABWE</w:t>
      </w:r>
    </w:p>
    <w:p w:rsidR="00B50F32" w:rsidRPr="00E471F9" w:rsidRDefault="00F71D7E" w:rsidP="003C4987">
      <w:pPr>
        <w:jc w:val="both"/>
        <w:rPr>
          <w:rFonts w:cs="Times New Roman"/>
        </w:rPr>
      </w:pPr>
      <w:r w:rsidRPr="00E471F9">
        <w:rPr>
          <w:rFonts w:cs="Times New Roman"/>
        </w:rPr>
        <w:t>LIMITED</w:t>
      </w:r>
    </w:p>
    <w:p w:rsidR="00B50F32" w:rsidRDefault="00B50F32" w:rsidP="003C4987">
      <w:pPr>
        <w:jc w:val="both"/>
        <w:rPr>
          <w:rFonts w:cs="Times New Roman"/>
        </w:rPr>
      </w:pPr>
    </w:p>
    <w:p w:rsidR="003C4987" w:rsidRPr="00E471F9" w:rsidRDefault="003C4987" w:rsidP="003C4987">
      <w:pPr>
        <w:jc w:val="both"/>
        <w:rPr>
          <w:rFonts w:cs="Times New Roman"/>
        </w:rPr>
      </w:pPr>
    </w:p>
    <w:p w:rsidR="00F71D7E" w:rsidRPr="00E471F9" w:rsidRDefault="00F71D7E" w:rsidP="003C4987">
      <w:pPr>
        <w:jc w:val="both"/>
        <w:rPr>
          <w:rFonts w:cs="Times New Roman"/>
        </w:rPr>
      </w:pPr>
      <w:r w:rsidRPr="00E471F9">
        <w:rPr>
          <w:rFonts w:cs="Times New Roman"/>
        </w:rPr>
        <w:t xml:space="preserve">HIGH COURT OF ZIMBABWE </w:t>
      </w:r>
    </w:p>
    <w:p w:rsidR="00B50F32" w:rsidRPr="00E471F9" w:rsidRDefault="00F71D7E" w:rsidP="003C4987">
      <w:pPr>
        <w:jc w:val="both"/>
        <w:rPr>
          <w:rFonts w:cs="Times New Roman"/>
        </w:rPr>
      </w:pPr>
      <w:r w:rsidRPr="00E471F9">
        <w:rPr>
          <w:rFonts w:cs="Times New Roman"/>
        </w:rPr>
        <w:t xml:space="preserve">BACHI MZAWAZI </w:t>
      </w:r>
      <w:r w:rsidR="00822184" w:rsidRPr="00E471F9">
        <w:rPr>
          <w:rFonts w:cs="Times New Roman"/>
        </w:rPr>
        <w:t>J</w:t>
      </w:r>
    </w:p>
    <w:p w:rsidR="00F71D7E" w:rsidRPr="00E471F9" w:rsidRDefault="003E0B0F" w:rsidP="003C4987">
      <w:pPr>
        <w:jc w:val="both"/>
        <w:rPr>
          <w:rFonts w:cs="Times New Roman"/>
        </w:rPr>
      </w:pPr>
      <w:r>
        <w:rPr>
          <w:rFonts w:cs="Times New Roman"/>
        </w:rPr>
        <w:t xml:space="preserve">HARARE 18 January 2023 </w:t>
      </w:r>
      <w:bookmarkStart w:id="0" w:name="_GoBack"/>
      <w:bookmarkEnd w:id="0"/>
      <w:r>
        <w:rPr>
          <w:rFonts w:cs="Times New Roman"/>
        </w:rPr>
        <w:t>&amp;</w:t>
      </w:r>
      <w:r w:rsidR="00F71D7E" w:rsidRPr="00E471F9">
        <w:rPr>
          <w:rFonts w:cs="Times New Roman"/>
        </w:rPr>
        <w:t xml:space="preserve"> 8 February 2023</w:t>
      </w:r>
    </w:p>
    <w:p w:rsidR="00B50F32" w:rsidRDefault="00B50F32" w:rsidP="003C4987">
      <w:pPr>
        <w:jc w:val="both"/>
        <w:rPr>
          <w:rFonts w:cs="Times New Roman"/>
        </w:rPr>
      </w:pPr>
    </w:p>
    <w:p w:rsidR="003C4987" w:rsidRPr="00E471F9" w:rsidRDefault="003C4987" w:rsidP="003C4987">
      <w:pPr>
        <w:jc w:val="both"/>
        <w:rPr>
          <w:rFonts w:cs="Times New Roman"/>
        </w:rPr>
      </w:pPr>
    </w:p>
    <w:p w:rsidR="00B50F32" w:rsidRPr="00E471F9" w:rsidRDefault="00F71D7E" w:rsidP="003C4987">
      <w:pPr>
        <w:jc w:val="both"/>
        <w:rPr>
          <w:rFonts w:cs="Times New Roman"/>
          <w:b/>
        </w:rPr>
      </w:pPr>
      <w:r w:rsidRPr="00E471F9">
        <w:rPr>
          <w:rFonts w:cs="Times New Roman"/>
          <w:b/>
        </w:rPr>
        <w:t>Opposed Application.</w:t>
      </w:r>
    </w:p>
    <w:p w:rsidR="008B73F7" w:rsidRPr="00E471F9" w:rsidRDefault="008B73F7" w:rsidP="003C4987">
      <w:pPr>
        <w:jc w:val="both"/>
        <w:rPr>
          <w:rFonts w:cs="Times New Roman"/>
          <w:b/>
        </w:rPr>
      </w:pPr>
    </w:p>
    <w:p w:rsidR="00853D44" w:rsidRPr="00E471F9" w:rsidRDefault="008B73F7" w:rsidP="003C4987">
      <w:pPr>
        <w:jc w:val="both"/>
        <w:rPr>
          <w:rFonts w:cs="Times New Roman"/>
        </w:rPr>
      </w:pPr>
      <w:r w:rsidRPr="00E471F9">
        <w:rPr>
          <w:rFonts w:cs="Times New Roman"/>
          <w:i/>
        </w:rPr>
        <w:t>I. Mandongwe</w:t>
      </w:r>
      <w:r w:rsidRPr="00E471F9">
        <w:rPr>
          <w:rFonts w:cs="Times New Roman"/>
        </w:rPr>
        <w:t xml:space="preserve"> for the applicant</w:t>
      </w:r>
    </w:p>
    <w:p w:rsidR="008B73F7" w:rsidRPr="00E471F9" w:rsidRDefault="008B73F7" w:rsidP="003C4987">
      <w:pPr>
        <w:jc w:val="both"/>
        <w:rPr>
          <w:rFonts w:cs="Times New Roman"/>
        </w:rPr>
      </w:pPr>
      <w:r w:rsidRPr="00E471F9">
        <w:rPr>
          <w:rFonts w:cs="Times New Roman"/>
          <w:i/>
        </w:rPr>
        <w:t>V. Mukwachari</w:t>
      </w:r>
      <w:r w:rsidRPr="00E471F9">
        <w:rPr>
          <w:rFonts w:cs="Times New Roman"/>
        </w:rPr>
        <w:t xml:space="preserve"> for the first respondent</w:t>
      </w:r>
    </w:p>
    <w:p w:rsidR="008B73F7" w:rsidRPr="00E471F9" w:rsidRDefault="008B73F7" w:rsidP="003C4987">
      <w:pPr>
        <w:jc w:val="both"/>
        <w:rPr>
          <w:rFonts w:cs="Times New Roman"/>
        </w:rPr>
      </w:pPr>
      <w:r w:rsidRPr="00E471F9">
        <w:rPr>
          <w:rFonts w:cs="Times New Roman"/>
          <w:i/>
        </w:rPr>
        <w:t>U. Sake</w:t>
      </w:r>
      <w:r w:rsidRPr="00E471F9">
        <w:rPr>
          <w:rFonts w:cs="Times New Roman"/>
        </w:rPr>
        <w:t xml:space="preserve"> for the second respondent.</w:t>
      </w:r>
    </w:p>
    <w:p w:rsidR="003C4987" w:rsidRPr="00E471F9" w:rsidRDefault="003C4987" w:rsidP="00E471F9">
      <w:pPr>
        <w:spacing w:line="360" w:lineRule="auto"/>
        <w:jc w:val="both"/>
        <w:rPr>
          <w:rFonts w:cs="Times New Roman"/>
        </w:rPr>
      </w:pPr>
    </w:p>
    <w:p w:rsidR="00853D44" w:rsidRPr="00E471F9" w:rsidRDefault="00F71D7E" w:rsidP="00E471F9">
      <w:pPr>
        <w:spacing w:line="360" w:lineRule="auto"/>
        <w:jc w:val="both"/>
        <w:rPr>
          <w:rFonts w:cs="Times New Roman"/>
          <w:b/>
          <w:bCs/>
        </w:rPr>
      </w:pPr>
      <w:r w:rsidRPr="00E471F9">
        <w:rPr>
          <w:rFonts w:cs="Times New Roman"/>
          <w:b/>
          <w:bCs/>
        </w:rPr>
        <w:t>BACHI MZAWAZI</w:t>
      </w:r>
      <w:r w:rsidR="003C4987">
        <w:rPr>
          <w:rFonts w:cs="Times New Roman"/>
          <w:b/>
          <w:bCs/>
        </w:rPr>
        <w:t xml:space="preserve"> </w:t>
      </w:r>
      <w:r w:rsidRPr="00E471F9">
        <w:rPr>
          <w:rFonts w:cs="Times New Roman"/>
          <w:b/>
          <w:bCs/>
        </w:rPr>
        <w:t>J:</w:t>
      </w:r>
      <w:r w:rsidR="00853D44" w:rsidRPr="00E471F9">
        <w:rPr>
          <w:rFonts w:cs="Times New Roman"/>
          <w:b/>
          <w:bCs/>
        </w:rPr>
        <w:t xml:space="preserve"> </w:t>
      </w:r>
    </w:p>
    <w:p w:rsidR="003C4987" w:rsidRDefault="003C4987" w:rsidP="00E471F9">
      <w:pPr>
        <w:spacing w:line="360" w:lineRule="auto"/>
        <w:jc w:val="both"/>
        <w:rPr>
          <w:rFonts w:cs="Times New Roman"/>
          <w:b/>
        </w:rPr>
      </w:pPr>
    </w:p>
    <w:p w:rsidR="00A14E6F" w:rsidRPr="00E471F9" w:rsidRDefault="00A14E6F" w:rsidP="00E471F9">
      <w:pPr>
        <w:spacing w:line="360" w:lineRule="auto"/>
        <w:jc w:val="both"/>
        <w:rPr>
          <w:rFonts w:cs="Times New Roman"/>
          <w:b/>
        </w:rPr>
      </w:pPr>
      <w:r w:rsidRPr="00E471F9">
        <w:rPr>
          <w:rFonts w:cs="Times New Roman"/>
          <w:b/>
        </w:rPr>
        <w:t>Introduction</w:t>
      </w:r>
    </w:p>
    <w:p w:rsidR="00727ED1" w:rsidRPr="00E471F9" w:rsidRDefault="00A951DF" w:rsidP="00E471F9">
      <w:pPr>
        <w:spacing w:line="360" w:lineRule="auto"/>
        <w:ind w:firstLine="709"/>
        <w:jc w:val="both"/>
        <w:rPr>
          <w:rFonts w:cs="Times New Roman"/>
        </w:rPr>
      </w:pPr>
      <w:r w:rsidRPr="00E471F9">
        <w:rPr>
          <w:rFonts w:cs="Times New Roman"/>
        </w:rPr>
        <w:t>In the real world</w:t>
      </w:r>
      <w:r w:rsidR="00171EAE" w:rsidRPr="00E471F9">
        <w:rPr>
          <w:rFonts w:cs="Times New Roman"/>
        </w:rPr>
        <w:t>,</w:t>
      </w:r>
      <w:r w:rsidRPr="00E471F9">
        <w:rPr>
          <w:rFonts w:cs="Times New Roman"/>
        </w:rPr>
        <w:t xml:space="preserve"> to err is human. Even those tasked to uphold justice</w:t>
      </w:r>
      <w:r w:rsidR="00F71D7E" w:rsidRPr="00E471F9">
        <w:rPr>
          <w:rFonts w:cs="Times New Roman"/>
        </w:rPr>
        <w:t>,</w:t>
      </w:r>
      <w:r w:rsidRPr="00E471F9">
        <w:rPr>
          <w:rFonts w:cs="Times New Roman"/>
        </w:rPr>
        <w:t xml:space="preserve"> as humans are not infallible.</w:t>
      </w:r>
      <w:r w:rsidR="00826267" w:rsidRPr="00E471F9">
        <w:rPr>
          <w:rFonts w:cs="Times New Roman"/>
        </w:rPr>
        <w:t xml:space="preserve"> </w:t>
      </w:r>
      <w:r w:rsidR="00F71D7E" w:rsidRPr="00E471F9">
        <w:rPr>
          <w:rFonts w:cs="Times New Roman"/>
        </w:rPr>
        <w:t>R</w:t>
      </w:r>
      <w:r w:rsidRPr="00E471F9">
        <w:rPr>
          <w:rFonts w:cs="Times New Roman"/>
        </w:rPr>
        <w:t xml:space="preserve">ule 29 of the </w:t>
      </w:r>
      <w:r w:rsidR="00826267" w:rsidRPr="00E471F9">
        <w:rPr>
          <w:rFonts w:cs="Times New Roman"/>
        </w:rPr>
        <w:t>H</w:t>
      </w:r>
      <w:r w:rsidRPr="00E471F9">
        <w:rPr>
          <w:rFonts w:cs="Times New Roman"/>
        </w:rPr>
        <w:t xml:space="preserve">igh </w:t>
      </w:r>
      <w:r w:rsidR="00826267" w:rsidRPr="00E471F9">
        <w:rPr>
          <w:rFonts w:cs="Times New Roman"/>
        </w:rPr>
        <w:t>C</w:t>
      </w:r>
      <w:r w:rsidRPr="00E471F9">
        <w:rPr>
          <w:rFonts w:cs="Times New Roman"/>
        </w:rPr>
        <w:t>ourt rules</w:t>
      </w:r>
      <w:r w:rsidR="00826267" w:rsidRPr="00E471F9">
        <w:rPr>
          <w:rFonts w:cs="Times New Roman"/>
        </w:rPr>
        <w:t>,</w:t>
      </w:r>
      <w:r w:rsidRPr="00E471F9">
        <w:rPr>
          <w:rFonts w:cs="Times New Roman"/>
        </w:rPr>
        <w:t xml:space="preserve"> </w:t>
      </w:r>
      <w:r w:rsidR="00826267" w:rsidRPr="00E471F9">
        <w:rPr>
          <w:rFonts w:cs="Times New Roman"/>
        </w:rPr>
        <w:t xml:space="preserve">S.I. 202 of </w:t>
      </w:r>
      <w:r w:rsidRPr="00E471F9">
        <w:rPr>
          <w:rFonts w:cs="Times New Roman"/>
        </w:rPr>
        <w:t>2021</w:t>
      </w:r>
      <w:r w:rsidR="00826267" w:rsidRPr="00E471F9">
        <w:rPr>
          <w:rFonts w:cs="Times New Roman"/>
        </w:rPr>
        <w:t>,</w:t>
      </w:r>
      <w:r w:rsidRPr="00E471F9">
        <w:rPr>
          <w:rFonts w:cs="Times New Roman"/>
        </w:rPr>
        <w:t xml:space="preserve"> was </w:t>
      </w:r>
      <w:r w:rsidR="00F71D7E" w:rsidRPr="00E471F9">
        <w:rPr>
          <w:rFonts w:cs="Times New Roman"/>
        </w:rPr>
        <w:t xml:space="preserve">designed to cater for </w:t>
      </w:r>
      <w:r w:rsidR="00727ED1" w:rsidRPr="00E471F9">
        <w:rPr>
          <w:rFonts w:cs="Times New Roman"/>
        </w:rPr>
        <w:t>such scenarios.</w:t>
      </w:r>
      <w:r w:rsidR="00F71D7E" w:rsidRPr="00E471F9">
        <w:rPr>
          <w:rFonts w:cs="Times New Roman"/>
        </w:rPr>
        <w:t xml:space="preserve"> It </w:t>
      </w:r>
      <w:r w:rsidR="00171EAE" w:rsidRPr="00E471F9">
        <w:rPr>
          <w:rFonts w:cs="Times New Roman"/>
        </w:rPr>
        <w:t>gives</w:t>
      </w:r>
      <w:r w:rsidR="00F71D7E" w:rsidRPr="00E471F9">
        <w:rPr>
          <w:rFonts w:cs="Times New Roman"/>
        </w:rPr>
        <w:t xml:space="preserve"> all the stakeholders in a civil matter </w:t>
      </w:r>
      <w:r w:rsidR="00171EAE" w:rsidRPr="00E471F9">
        <w:rPr>
          <w:rFonts w:cs="Times New Roman"/>
        </w:rPr>
        <w:t xml:space="preserve">an opportunity </w:t>
      </w:r>
      <w:r w:rsidR="00826267" w:rsidRPr="00E471F9">
        <w:rPr>
          <w:rFonts w:cs="Times New Roman"/>
        </w:rPr>
        <w:t xml:space="preserve">to </w:t>
      </w:r>
      <w:r w:rsidR="00795777" w:rsidRPr="00E471F9">
        <w:rPr>
          <w:rFonts w:cs="Times New Roman"/>
        </w:rPr>
        <w:t>amend mistakes</w:t>
      </w:r>
      <w:r w:rsidR="00727ED1" w:rsidRPr="00E471F9">
        <w:rPr>
          <w:rFonts w:cs="Times New Roman"/>
        </w:rPr>
        <w:t xml:space="preserve"> in</w:t>
      </w:r>
      <w:r w:rsidRPr="00E471F9">
        <w:rPr>
          <w:rFonts w:cs="Times New Roman"/>
        </w:rPr>
        <w:t xml:space="preserve"> </w:t>
      </w:r>
      <w:r w:rsidR="00727ED1" w:rsidRPr="00E471F9">
        <w:rPr>
          <w:rFonts w:cs="Times New Roman"/>
        </w:rPr>
        <w:t>deserving</w:t>
      </w:r>
      <w:r w:rsidRPr="00E471F9">
        <w:rPr>
          <w:rFonts w:cs="Times New Roman"/>
        </w:rPr>
        <w:t xml:space="preserve"> </w:t>
      </w:r>
      <w:r w:rsidR="00727ED1" w:rsidRPr="00E471F9">
        <w:rPr>
          <w:rFonts w:cs="Times New Roman"/>
        </w:rPr>
        <w:t>situations</w:t>
      </w:r>
      <w:r w:rsidRPr="00E471F9">
        <w:rPr>
          <w:rFonts w:cs="Times New Roman"/>
        </w:rPr>
        <w:t xml:space="preserve"> in the </w:t>
      </w:r>
      <w:r w:rsidR="00727ED1" w:rsidRPr="00E471F9">
        <w:rPr>
          <w:rFonts w:cs="Times New Roman"/>
        </w:rPr>
        <w:t>interest</w:t>
      </w:r>
      <w:r w:rsidRPr="00E471F9">
        <w:rPr>
          <w:rFonts w:cs="Times New Roman"/>
        </w:rPr>
        <w:t xml:space="preserve"> of justice.</w:t>
      </w:r>
      <w:r w:rsidR="00727ED1" w:rsidRPr="00E471F9">
        <w:rPr>
          <w:rFonts w:cs="Times New Roman"/>
        </w:rPr>
        <w:t xml:space="preserve"> Instances upon which this rule can be invoked are well spelt out under its provisions. </w:t>
      </w:r>
      <w:r w:rsidR="00171EAE" w:rsidRPr="00E471F9">
        <w:rPr>
          <w:rFonts w:cs="Times New Roman"/>
        </w:rPr>
        <w:t xml:space="preserve">In that </w:t>
      </w:r>
      <w:r w:rsidR="00826267" w:rsidRPr="00E471F9">
        <w:rPr>
          <w:rFonts w:cs="Times New Roman"/>
        </w:rPr>
        <w:t>regard, this</w:t>
      </w:r>
      <w:r w:rsidR="00822184" w:rsidRPr="00E471F9">
        <w:rPr>
          <w:rFonts w:cs="Times New Roman"/>
        </w:rPr>
        <w:t xml:space="preserve"> is an opposed application</w:t>
      </w:r>
      <w:r w:rsidR="00727ED1" w:rsidRPr="00E471F9">
        <w:rPr>
          <w:rFonts w:cs="Times New Roman"/>
        </w:rPr>
        <w:t xml:space="preserve"> brought in terms of this rule, rule 29 (1)(a) in particular,</w:t>
      </w:r>
      <w:r w:rsidR="00822184" w:rsidRPr="00E471F9">
        <w:rPr>
          <w:rFonts w:cs="Times New Roman"/>
        </w:rPr>
        <w:t xml:space="preserve"> for the recession of an order of this court in case number HC250/22</w:t>
      </w:r>
      <w:r w:rsidR="00727ED1" w:rsidRPr="00E471F9">
        <w:rPr>
          <w:rFonts w:cs="Times New Roman"/>
        </w:rPr>
        <w:t>.</w:t>
      </w:r>
      <w:r w:rsidR="00822184" w:rsidRPr="00E471F9">
        <w:rPr>
          <w:rFonts w:cs="Times New Roman"/>
        </w:rPr>
        <w:t xml:space="preserve"> </w:t>
      </w:r>
      <w:r w:rsidR="00727ED1" w:rsidRPr="00E471F9">
        <w:rPr>
          <w:rFonts w:cs="Times New Roman"/>
        </w:rPr>
        <w:t xml:space="preserve"> </w:t>
      </w:r>
    </w:p>
    <w:p w:rsidR="00727ED1" w:rsidRPr="00E471F9" w:rsidRDefault="00727ED1" w:rsidP="00E471F9">
      <w:pPr>
        <w:spacing w:line="360" w:lineRule="auto"/>
        <w:jc w:val="both"/>
        <w:rPr>
          <w:rFonts w:cs="Times New Roman"/>
        </w:rPr>
      </w:pPr>
    </w:p>
    <w:p w:rsidR="00B50F32" w:rsidRPr="00E471F9" w:rsidRDefault="00822184" w:rsidP="00E471F9">
      <w:pPr>
        <w:spacing w:line="360" w:lineRule="auto"/>
        <w:jc w:val="both"/>
        <w:rPr>
          <w:rFonts w:cs="Times New Roman"/>
          <w:b/>
        </w:rPr>
      </w:pPr>
      <w:r w:rsidRPr="00E471F9">
        <w:rPr>
          <w:rFonts w:cs="Times New Roman"/>
        </w:rPr>
        <w:t xml:space="preserve"> </w:t>
      </w:r>
      <w:r w:rsidR="00A14E6F" w:rsidRPr="00E471F9">
        <w:rPr>
          <w:rFonts w:cs="Times New Roman"/>
          <w:b/>
        </w:rPr>
        <w:t>Brief Factual Background</w:t>
      </w:r>
      <w:r w:rsidR="00727ED1" w:rsidRPr="00E471F9">
        <w:rPr>
          <w:rFonts w:cs="Times New Roman"/>
          <w:b/>
        </w:rPr>
        <w:t xml:space="preserve"> </w:t>
      </w:r>
    </w:p>
    <w:p w:rsidR="00A14E6F" w:rsidRPr="00E471F9" w:rsidRDefault="00822184" w:rsidP="00E471F9">
      <w:pPr>
        <w:spacing w:line="360" w:lineRule="auto"/>
        <w:ind w:firstLine="709"/>
        <w:jc w:val="both"/>
        <w:rPr>
          <w:rFonts w:cs="Times New Roman"/>
        </w:rPr>
      </w:pPr>
      <w:r w:rsidRPr="00E471F9">
        <w:rPr>
          <w:rFonts w:cs="Times New Roman"/>
        </w:rPr>
        <w:t>Apparently,</w:t>
      </w:r>
      <w:r w:rsidR="00727ED1" w:rsidRPr="00E471F9">
        <w:rPr>
          <w:rFonts w:cs="Times New Roman"/>
        </w:rPr>
        <w:t xml:space="preserve"> the parties to this </w:t>
      </w:r>
      <w:r w:rsidR="00F4567C" w:rsidRPr="00E471F9">
        <w:rPr>
          <w:rFonts w:cs="Times New Roman"/>
        </w:rPr>
        <w:t>suit, once</w:t>
      </w:r>
      <w:r w:rsidR="00727ED1" w:rsidRPr="00E471F9">
        <w:rPr>
          <w:rFonts w:cs="Times New Roman"/>
        </w:rPr>
        <w:t xml:space="preserve"> in a marital</w:t>
      </w:r>
      <w:r w:rsidRPr="00E471F9">
        <w:rPr>
          <w:rFonts w:cs="Times New Roman"/>
        </w:rPr>
        <w:t xml:space="preserve"> relationship that gave birth </w:t>
      </w:r>
      <w:r w:rsidR="00171EAE" w:rsidRPr="00E471F9">
        <w:rPr>
          <w:rFonts w:cs="Times New Roman"/>
        </w:rPr>
        <w:t xml:space="preserve">to </w:t>
      </w:r>
      <w:r w:rsidR="00826267" w:rsidRPr="00E471F9">
        <w:rPr>
          <w:rFonts w:cs="Times New Roman"/>
        </w:rPr>
        <w:t>three</w:t>
      </w:r>
      <w:r w:rsidR="00F4567C" w:rsidRPr="00E471F9">
        <w:rPr>
          <w:rFonts w:cs="Times New Roman"/>
        </w:rPr>
        <w:t xml:space="preserve"> major</w:t>
      </w:r>
      <w:r w:rsidR="00826267" w:rsidRPr="00E471F9">
        <w:rPr>
          <w:rFonts w:cs="Times New Roman"/>
        </w:rPr>
        <w:t xml:space="preserve"> </w:t>
      </w:r>
      <w:r w:rsidR="00F4567C" w:rsidRPr="00E471F9">
        <w:rPr>
          <w:rFonts w:cs="Times New Roman"/>
        </w:rPr>
        <w:t>offspring, are</w:t>
      </w:r>
      <w:r w:rsidR="00A14E6F" w:rsidRPr="00E471F9">
        <w:rPr>
          <w:rFonts w:cs="Times New Roman"/>
        </w:rPr>
        <w:t xml:space="preserve"> </w:t>
      </w:r>
      <w:r w:rsidR="00F4567C" w:rsidRPr="00E471F9">
        <w:rPr>
          <w:rFonts w:cs="Times New Roman"/>
        </w:rPr>
        <w:t>n</w:t>
      </w:r>
      <w:r w:rsidR="00A14E6F" w:rsidRPr="00E471F9">
        <w:rPr>
          <w:rFonts w:cs="Times New Roman"/>
        </w:rPr>
        <w:t>ow divorced,</w:t>
      </w:r>
      <w:r w:rsidRPr="00E471F9">
        <w:rPr>
          <w:rFonts w:cs="Times New Roman"/>
        </w:rPr>
        <w:t xml:space="preserve"> estranged and embroiled in several legal battles. The common cause facts are that</w:t>
      </w:r>
      <w:r w:rsidR="00A14E6F" w:rsidRPr="00E471F9">
        <w:rPr>
          <w:rFonts w:cs="Times New Roman"/>
        </w:rPr>
        <w:t>,</w:t>
      </w:r>
      <w:r w:rsidRPr="00E471F9">
        <w:rPr>
          <w:rFonts w:cs="Times New Roman"/>
        </w:rPr>
        <w:t xml:space="preserve"> pursuant to one of those legal wrangles, the first respondent, in case HC 7249/21</w:t>
      </w:r>
      <w:r w:rsidR="00A14E6F" w:rsidRPr="00E471F9">
        <w:rPr>
          <w:rFonts w:cs="Times New Roman"/>
        </w:rPr>
        <w:t>,</w:t>
      </w:r>
      <w:r w:rsidRPr="00E471F9">
        <w:rPr>
          <w:rFonts w:cs="Times New Roman"/>
        </w:rPr>
        <w:t xml:space="preserve"> filed contempt of court proceedings wherein she sought the committal of the first respondent for the contempt of a High Court order in case number HC 2874/19. T</w:t>
      </w:r>
      <w:r w:rsidR="00A14E6F" w:rsidRPr="00E471F9">
        <w:rPr>
          <w:rFonts w:cs="Times New Roman"/>
        </w:rPr>
        <w:t>hreatened</w:t>
      </w:r>
      <w:r w:rsidRPr="00E471F9">
        <w:rPr>
          <w:rFonts w:cs="Times New Roman"/>
        </w:rPr>
        <w:t xml:space="preserve"> with the </w:t>
      </w:r>
      <w:r w:rsidR="00A14E6F" w:rsidRPr="00E471F9">
        <w:rPr>
          <w:rFonts w:cs="Times New Roman"/>
        </w:rPr>
        <w:t>contemplated</w:t>
      </w:r>
      <w:r w:rsidRPr="00E471F9">
        <w:rPr>
          <w:rFonts w:cs="Times New Roman"/>
        </w:rPr>
        <w:t xml:space="preserve"> court action the first respondent</w:t>
      </w:r>
      <w:r w:rsidR="00A14E6F" w:rsidRPr="00E471F9">
        <w:rPr>
          <w:rFonts w:cs="Times New Roman"/>
        </w:rPr>
        <w:t>, on the 1</w:t>
      </w:r>
      <w:r w:rsidR="00A14E6F" w:rsidRPr="00E471F9">
        <w:rPr>
          <w:rFonts w:cs="Times New Roman"/>
          <w:vertAlign w:val="superscript"/>
        </w:rPr>
        <w:t>st</w:t>
      </w:r>
      <w:r w:rsidR="00A14E6F" w:rsidRPr="00E471F9">
        <w:rPr>
          <w:rFonts w:cs="Times New Roman"/>
        </w:rPr>
        <w:t xml:space="preserve"> of March 2022</w:t>
      </w:r>
      <w:r w:rsidRPr="00E471F9">
        <w:rPr>
          <w:rFonts w:cs="Times New Roman"/>
        </w:rPr>
        <w:t xml:space="preserve"> initiated</w:t>
      </w:r>
      <w:r w:rsidR="00A14E6F" w:rsidRPr="00E471F9">
        <w:rPr>
          <w:rFonts w:cs="Times New Roman"/>
        </w:rPr>
        <w:t xml:space="preserve"> an out of court settlement which culminated into</w:t>
      </w:r>
      <w:r w:rsidRPr="00E471F9">
        <w:rPr>
          <w:rFonts w:cs="Times New Roman"/>
        </w:rPr>
        <w:t xml:space="preserve"> of a Deed of settlement entered</w:t>
      </w:r>
      <w:r w:rsidR="00A14E6F" w:rsidRPr="00E471F9">
        <w:rPr>
          <w:rFonts w:cs="Times New Roman"/>
        </w:rPr>
        <w:t xml:space="preserve">. </w:t>
      </w:r>
    </w:p>
    <w:p w:rsidR="00A14E6F" w:rsidRPr="00E471F9" w:rsidRDefault="00A14E6F" w:rsidP="00E471F9">
      <w:pPr>
        <w:spacing w:line="360" w:lineRule="auto"/>
        <w:jc w:val="both"/>
        <w:rPr>
          <w:rFonts w:cs="Times New Roman"/>
        </w:rPr>
      </w:pPr>
    </w:p>
    <w:p w:rsidR="00B50F32" w:rsidRPr="00E471F9" w:rsidRDefault="00A14E6F" w:rsidP="00E471F9">
      <w:pPr>
        <w:spacing w:line="360" w:lineRule="auto"/>
        <w:ind w:firstLine="709"/>
        <w:jc w:val="both"/>
        <w:rPr>
          <w:rFonts w:cs="Times New Roman"/>
        </w:rPr>
      </w:pPr>
      <w:r w:rsidRPr="00E471F9">
        <w:rPr>
          <w:rFonts w:cs="Times New Roman"/>
        </w:rPr>
        <w:lastRenderedPageBreak/>
        <w:t>It was a</w:t>
      </w:r>
      <w:r w:rsidR="00340ACB" w:rsidRPr="00E471F9">
        <w:rPr>
          <w:rFonts w:cs="Times New Roman"/>
        </w:rPr>
        <w:t>n agreed</w:t>
      </w:r>
      <w:r w:rsidRPr="00E471F9">
        <w:rPr>
          <w:rFonts w:cs="Times New Roman"/>
        </w:rPr>
        <w:t xml:space="preserve"> term, in clause 1 of the said</w:t>
      </w:r>
      <w:r w:rsidR="00822184" w:rsidRPr="00E471F9">
        <w:rPr>
          <w:rFonts w:cs="Times New Roman"/>
        </w:rPr>
        <w:t xml:space="preserve"> </w:t>
      </w:r>
      <w:r w:rsidR="00340ACB" w:rsidRPr="00E471F9">
        <w:rPr>
          <w:rFonts w:cs="Times New Roman"/>
        </w:rPr>
        <w:t>D</w:t>
      </w:r>
      <w:r w:rsidR="00822184" w:rsidRPr="00E471F9">
        <w:rPr>
          <w:rFonts w:cs="Times New Roman"/>
        </w:rPr>
        <w:t>eed of settlement</w:t>
      </w:r>
      <w:r w:rsidRPr="00E471F9">
        <w:rPr>
          <w:rFonts w:cs="Times New Roman"/>
        </w:rPr>
        <w:t xml:space="preserve"> </w:t>
      </w:r>
      <w:r w:rsidR="00F4567C" w:rsidRPr="00E471F9">
        <w:rPr>
          <w:rFonts w:cs="Times New Roman"/>
        </w:rPr>
        <w:t>that, applicant would</w:t>
      </w:r>
      <w:r w:rsidRPr="00E471F9">
        <w:rPr>
          <w:rFonts w:cs="Times New Roman"/>
        </w:rPr>
        <w:t xml:space="preserve"> </w:t>
      </w:r>
      <w:r w:rsidR="00F4567C" w:rsidRPr="00E471F9">
        <w:rPr>
          <w:rFonts w:cs="Times New Roman"/>
        </w:rPr>
        <w:t>pay the</w:t>
      </w:r>
      <w:r w:rsidR="00822184" w:rsidRPr="00E471F9">
        <w:rPr>
          <w:rFonts w:cs="Times New Roman"/>
        </w:rPr>
        <w:t xml:space="preserve"> first respondent the sum of USD 486,032.62 cash or transfer into her </w:t>
      </w:r>
      <w:r w:rsidRPr="00E471F9">
        <w:rPr>
          <w:rFonts w:cs="Times New Roman"/>
        </w:rPr>
        <w:t>N</w:t>
      </w:r>
      <w:r w:rsidR="00822184" w:rsidRPr="00E471F9">
        <w:rPr>
          <w:rFonts w:cs="Times New Roman"/>
        </w:rPr>
        <w:t xml:space="preserve">ostro account in two equal monthly </w:t>
      </w:r>
      <w:r w:rsidR="00F4567C" w:rsidRPr="00E471F9">
        <w:rPr>
          <w:rFonts w:cs="Times New Roman"/>
        </w:rPr>
        <w:t>instalments,</w:t>
      </w:r>
      <w:r w:rsidR="00B24A63" w:rsidRPr="00E471F9">
        <w:rPr>
          <w:rFonts w:cs="Times New Roman"/>
        </w:rPr>
        <w:t xml:space="preserve"> one on</w:t>
      </w:r>
      <w:r w:rsidR="00822184" w:rsidRPr="00E471F9">
        <w:rPr>
          <w:rFonts w:cs="Times New Roman"/>
        </w:rPr>
        <w:t xml:space="preserve"> the 7</w:t>
      </w:r>
      <w:r w:rsidR="00822184" w:rsidRPr="00E471F9">
        <w:rPr>
          <w:rFonts w:cs="Times New Roman"/>
          <w:vertAlign w:val="superscript"/>
        </w:rPr>
        <w:t>th</w:t>
      </w:r>
      <w:r w:rsidR="00822184" w:rsidRPr="00E471F9">
        <w:rPr>
          <w:rFonts w:cs="Times New Roman"/>
        </w:rPr>
        <w:t xml:space="preserve"> of March 2022 and the other on the 31</w:t>
      </w:r>
      <w:r w:rsidR="00822184" w:rsidRPr="00E471F9">
        <w:rPr>
          <w:rFonts w:cs="Times New Roman"/>
          <w:vertAlign w:val="superscript"/>
        </w:rPr>
        <w:t>st</w:t>
      </w:r>
      <w:r w:rsidR="00822184" w:rsidRPr="00E471F9">
        <w:rPr>
          <w:rFonts w:cs="Times New Roman"/>
        </w:rPr>
        <w:t xml:space="preserve"> of March 2022 respectively. Applicant also pledged to pay all of the first </w:t>
      </w:r>
      <w:r w:rsidR="00F4567C" w:rsidRPr="00E471F9">
        <w:rPr>
          <w:rFonts w:cs="Times New Roman"/>
        </w:rPr>
        <w:t>respondent’s</w:t>
      </w:r>
      <w:r w:rsidR="00822184" w:rsidRPr="00E471F9">
        <w:rPr>
          <w:rFonts w:cs="Times New Roman"/>
        </w:rPr>
        <w:t xml:space="preserve"> legal costs on a higher scale in the </w:t>
      </w:r>
      <w:r w:rsidR="00F4567C" w:rsidRPr="00E471F9">
        <w:rPr>
          <w:rFonts w:cs="Times New Roman"/>
        </w:rPr>
        <w:t>event of</w:t>
      </w:r>
      <w:r w:rsidR="00340ACB" w:rsidRPr="00E471F9">
        <w:rPr>
          <w:rFonts w:cs="Times New Roman"/>
        </w:rPr>
        <w:t xml:space="preserve"> default </w:t>
      </w:r>
      <w:r w:rsidR="00F4567C" w:rsidRPr="00E471F9">
        <w:rPr>
          <w:rFonts w:cs="Times New Roman"/>
        </w:rPr>
        <w:t>and attendant</w:t>
      </w:r>
      <w:r w:rsidR="00340ACB" w:rsidRPr="00E471F9">
        <w:rPr>
          <w:rFonts w:cs="Times New Roman"/>
        </w:rPr>
        <w:t xml:space="preserve">   law </w:t>
      </w:r>
      <w:r w:rsidR="00F4567C" w:rsidRPr="00E471F9">
        <w:rPr>
          <w:rFonts w:cs="Times New Roman"/>
        </w:rPr>
        <w:t>suits, to</w:t>
      </w:r>
      <w:r w:rsidR="00822184" w:rsidRPr="00E471F9">
        <w:rPr>
          <w:rFonts w:cs="Times New Roman"/>
        </w:rPr>
        <w:t xml:space="preserve"> recover the sums stated therein</w:t>
      </w:r>
      <w:r w:rsidR="00340ACB" w:rsidRPr="00E471F9">
        <w:rPr>
          <w:rFonts w:cs="Times New Roman"/>
        </w:rPr>
        <w:t>.</w:t>
      </w:r>
      <w:r w:rsidR="00822184" w:rsidRPr="00E471F9">
        <w:rPr>
          <w:rFonts w:cs="Times New Roman"/>
        </w:rPr>
        <w:t xml:space="preserve"> </w:t>
      </w:r>
    </w:p>
    <w:p w:rsidR="00B50F32" w:rsidRPr="00E471F9" w:rsidRDefault="00B50F32" w:rsidP="00E471F9">
      <w:pPr>
        <w:spacing w:line="360" w:lineRule="auto"/>
        <w:jc w:val="both"/>
        <w:rPr>
          <w:rFonts w:cs="Times New Roman"/>
        </w:rPr>
      </w:pPr>
    </w:p>
    <w:p w:rsidR="000A1684" w:rsidRPr="00E471F9" w:rsidRDefault="00340ACB" w:rsidP="00E471F9">
      <w:pPr>
        <w:spacing w:line="360" w:lineRule="auto"/>
        <w:ind w:firstLine="709"/>
        <w:jc w:val="both"/>
        <w:rPr>
          <w:rFonts w:cs="Times New Roman"/>
        </w:rPr>
      </w:pPr>
      <w:r w:rsidRPr="00E471F9">
        <w:rPr>
          <w:rFonts w:cs="Times New Roman"/>
        </w:rPr>
        <w:t>In c</w:t>
      </w:r>
      <w:r w:rsidR="00822184" w:rsidRPr="00E471F9">
        <w:rPr>
          <w:rFonts w:cs="Times New Roman"/>
        </w:rPr>
        <w:t xml:space="preserve">lause 4 of the </w:t>
      </w:r>
      <w:r w:rsidRPr="00E471F9">
        <w:rPr>
          <w:rFonts w:cs="Times New Roman"/>
        </w:rPr>
        <w:t>D</w:t>
      </w:r>
      <w:r w:rsidR="00822184" w:rsidRPr="00E471F9">
        <w:rPr>
          <w:rFonts w:cs="Times New Roman"/>
        </w:rPr>
        <w:t xml:space="preserve">eed of settlement, the </w:t>
      </w:r>
      <w:r w:rsidR="00B24A63" w:rsidRPr="00E471F9">
        <w:rPr>
          <w:rFonts w:cs="Times New Roman"/>
        </w:rPr>
        <w:t>second respondent</w:t>
      </w:r>
      <w:r w:rsidR="00822184" w:rsidRPr="00E471F9">
        <w:rPr>
          <w:rFonts w:cs="Times New Roman"/>
        </w:rPr>
        <w:t xml:space="preserve"> bound itself as surety </w:t>
      </w:r>
      <w:r w:rsidR="00822184" w:rsidRPr="00E471F9">
        <w:rPr>
          <w:rFonts w:cs="Times New Roman"/>
          <w:i/>
        </w:rPr>
        <w:t>in solidium</w:t>
      </w:r>
      <w:r w:rsidR="00822184" w:rsidRPr="00E471F9">
        <w:rPr>
          <w:rFonts w:cs="Times New Roman"/>
        </w:rPr>
        <w:t xml:space="preserve"> and co-principal debtor for the due payment and fulfilment of the first respondent obligation therein by issuing a </w:t>
      </w:r>
      <w:r w:rsidRPr="00E471F9">
        <w:rPr>
          <w:rFonts w:cs="Times New Roman"/>
        </w:rPr>
        <w:t>C</w:t>
      </w:r>
      <w:r w:rsidR="00822184" w:rsidRPr="00E471F9">
        <w:rPr>
          <w:rFonts w:cs="Times New Roman"/>
        </w:rPr>
        <w:t>redit guarantee</w:t>
      </w:r>
      <w:r w:rsidRPr="00E471F9">
        <w:rPr>
          <w:rFonts w:cs="Times New Roman"/>
        </w:rPr>
        <w:t xml:space="preserve"> </w:t>
      </w:r>
      <w:r w:rsidRPr="00E471F9">
        <w:rPr>
          <w:rFonts w:cs="Times New Roman"/>
          <w:i/>
        </w:rPr>
        <w:t>cum</w:t>
      </w:r>
      <w:r w:rsidR="00822184" w:rsidRPr="00E471F9">
        <w:rPr>
          <w:rFonts w:cs="Times New Roman"/>
        </w:rPr>
        <w:t xml:space="preserve"> </w:t>
      </w:r>
      <w:r w:rsidRPr="00E471F9">
        <w:rPr>
          <w:rFonts w:cs="Times New Roman"/>
        </w:rPr>
        <w:t>D</w:t>
      </w:r>
      <w:r w:rsidR="00822184" w:rsidRPr="00E471F9">
        <w:rPr>
          <w:rFonts w:cs="Times New Roman"/>
        </w:rPr>
        <w:t>eed of suretyship. By virtue of th</w:t>
      </w:r>
      <w:r w:rsidRPr="00E471F9">
        <w:rPr>
          <w:rFonts w:cs="Times New Roman"/>
        </w:rPr>
        <w:t>is binding document</w:t>
      </w:r>
      <w:r w:rsidR="00822184" w:rsidRPr="00E471F9">
        <w:rPr>
          <w:rFonts w:cs="Times New Roman"/>
        </w:rPr>
        <w:t xml:space="preserve"> the second respondent made themselves jointly and severally liable with the first respondent, </w:t>
      </w:r>
      <w:r w:rsidRPr="00E471F9">
        <w:rPr>
          <w:rFonts w:cs="Times New Roman"/>
        </w:rPr>
        <w:t>one</w:t>
      </w:r>
      <w:r w:rsidR="00822184" w:rsidRPr="00E471F9">
        <w:rPr>
          <w:rFonts w:cs="Times New Roman"/>
        </w:rPr>
        <w:t xml:space="preserve"> paying the other to be absolved for the payment of the sum of USD 486,032.62</w:t>
      </w:r>
      <w:r w:rsidRPr="00E471F9">
        <w:rPr>
          <w:rFonts w:cs="Times New Roman"/>
        </w:rPr>
        <w:t>,</w:t>
      </w:r>
      <w:r w:rsidR="00822184" w:rsidRPr="00E471F9">
        <w:rPr>
          <w:rFonts w:cs="Times New Roman"/>
        </w:rPr>
        <w:t xml:space="preserve"> due to the applicant in terms of the </w:t>
      </w:r>
      <w:r w:rsidR="000A1684" w:rsidRPr="00E471F9">
        <w:rPr>
          <w:rFonts w:cs="Times New Roman"/>
        </w:rPr>
        <w:t>operative</w:t>
      </w:r>
      <w:r w:rsidR="00822184" w:rsidRPr="00E471F9">
        <w:rPr>
          <w:rFonts w:cs="Times New Roman"/>
        </w:rPr>
        <w:t xml:space="preserve"> </w:t>
      </w:r>
      <w:r w:rsidR="000A1684" w:rsidRPr="00E471F9">
        <w:rPr>
          <w:rFonts w:cs="Times New Roman"/>
        </w:rPr>
        <w:t>D</w:t>
      </w:r>
      <w:r w:rsidR="00822184" w:rsidRPr="00E471F9">
        <w:rPr>
          <w:rFonts w:cs="Times New Roman"/>
        </w:rPr>
        <w:t xml:space="preserve">eed of settlement. </w:t>
      </w:r>
    </w:p>
    <w:p w:rsidR="00B24A63" w:rsidRPr="00E471F9" w:rsidRDefault="00B24A63" w:rsidP="00E471F9">
      <w:pPr>
        <w:spacing w:line="360" w:lineRule="auto"/>
        <w:jc w:val="both"/>
        <w:rPr>
          <w:rFonts w:cs="Times New Roman"/>
        </w:rPr>
      </w:pPr>
    </w:p>
    <w:p w:rsidR="000A1684" w:rsidRPr="00E471F9" w:rsidRDefault="00822184" w:rsidP="00E471F9">
      <w:pPr>
        <w:spacing w:line="360" w:lineRule="auto"/>
        <w:ind w:firstLine="709"/>
        <w:jc w:val="both"/>
        <w:rPr>
          <w:rFonts w:cs="Times New Roman"/>
        </w:rPr>
      </w:pPr>
      <w:r w:rsidRPr="00E471F9">
        <w:rPr>
          <w:rFonts w:cs="Times New Roman"/>
        </w:rPr>
        <w:t xml:space="preserve">It is not in dispute that the applicant failed to honour his obligations in terms of the </w:t>
      </w:r>
      <w:r w:rsidR="000A1684" w:rsidRPr="00E471F9">
        <w:rPr>
          <w:rFonts w:cs="Times New Roman"/>
        </w:rPr>
        <w:t>Deed in question</w:t>
      </w:r>
      <w:r w:rsidRPr="00E471F9">
        <w:rPr>
          <w:rFonts w:cs="Times New Roman"/>
        </w:rPr>
        <w:t xml:space="preserve">. It is also a fact that despite several correspondence and reminders between the parties the applicant remained in default of payment of the sums due to the first respondent. Efforts by the first respondent legal practitioners to recover the debt from the second respondent by placing them in </w:t>
      </w:r>
      <w:r w:rsidRPr="00E471F9">
        <w:rPr>
          <w:rFonts w:cs="Times New Roman"/>
          <w:i/>
        </w:rPr>
        <w:t>mora</w:t>
      </w:r>
      <w:r w:rsidRPr="00E471F9">
        <w:rPr>
          <w:rFonts w:cs="Times New Roman"/>
        </w:rPr>
        <w:t xml:space="preserve"> through letters were futile</w:t>
      </w:r>
      <w:r w:rsidR="000A1684" w:rsidRPr="00E471F9">
        <w:rPr>
          <w:rFonts w:cs="Times New Roman"/>
        </w:rPr>
        <w:t>,</w:t>
      </w:r>
      <w:r w:rsidRPr="00E471F9">
        <w:rPr>
          <w:rFonts w:cs="Times New Roman"/>
        </w:rPr>
        <w:t xml:space="preserve"> as the second respondent sought to renege from their undertakings and their </w:t>
      </w:r>
      <w:r w:rsidR="000A1684" w:rsidRPr="00E471F9">
        <w:rPr>
          <w:rFonts w:cs="Times New Roman"/>
        </w:rPr>
        <w:t>S</w:t>
      </w:r>
      <w:r w:rsidRPr="00E471F9">
        <w:rPr>
          <w:rFonts w:cs="Times New Roman"/>
        </w:rPr>
        <w:t xml:space="preserve">urety deed contract. Their defence was that the applicant had not fulfilled the terms of the </w:t>
      </w:r>
      <w:r w:rsidR="000A1684" w:rsidRPr="00E471F9">
        <w:rPr>
          <w:rFonts w:cs="Times New Roman"/>
        </w:rPr>
        <w:t>D</w:t>
      </w:r>
      <w:r w:rsidRPr="00E471F9">
        <w:rPr>
          <w:rFonts w:cs="Times New Roman"/>
        </w:rPr>
        <w:t xml:space="preserve">eed of surety and </w:t>
      </w:r>
      <w:r w:rsidR="000A1684" w:rsidRPr="00E471F9">
        <w:rPr>
          <w:rFonts w:cs="Times New Roman"/>
        </w:rPr>
        <w:t>Credit</w:t>
      </w:r>
      <w:r w:rsidRPr="00E471F9">
        <w:rPr>
          <w:rFonts w:cs="Times New Roman"/>
        </w:rPr>
        <w:t xml:space="preserve"> guarantee. </w:t>
      </w:r>
    </w:p>
    <w:p w:rsidR="000A1684" w:rsidRPr="00E471F9" w:rsidRDefault="000A1684" w:rsidP="00E471F9">
      <w:pPr>
        <w:spacing w:line="360" w:lineRule="auto"/>
        <w:jc w:val="both"/>
        <w:rPr>
          <w:rFonts w:cs="Times New Roman"/>
        </w:rPr>
      </w:pPr>
    </w:p>
    <w:p w:rsidR="000A1684" w:rsidRPr="00E471F9" w:rsidRDefault="00A56B15" w:rsidP="00E471F9">
      <w:pPr>
        <w:spacing w:line="360" w:lineRule="auto"/>
        <w:ind w:firstLine="709"/>
        <w:jc w:val="both"/>
        <w:rPr>
          <w:rFonts w:cs="Times New Roman"/>
        </w:rPr>
      </w:pPr>
      <w:r w:rsidRPr="00E471F9">
        <w:rPr>
          <w:rFonts w:cs="Times New Roman"/>
        </w:rPr>
        <w:t>Due</w:t>
      </w:r>
      <w:r w:rsidR="00822184" w:rsidRPr="00E471F9">
        <w:rPr>
          <w:rFonts w:cs="Times New Roman"/>
        </w:rPr>
        <w:t xml:space="preserve"> to the </w:t>
      </w:r>
      <w:r w:rsidRPr="00E471F9">
        <w:rPr>
          <w:rFonts w:cs="Times New Roman"/>
        </w:rPr>
        <w:t>impasse</w:t>
      </w:r>
      <w:r w:rsidR="00822184" w:rsidRPr="00E471F9">
        <w:rPr>
          <w:rFonts w:cs="Times New Roman"/>
        </w:rPr>
        <w:t xml:space="preserve">, the first respondent approached this court by way of </w:t>
      </w:r>
      <w:r w:rsidR="00F4567C" w:rsidRPr="00E471F9">
        <w:rPr>
          <w:rFonts w:cs="Times New Roman"/>
        </w:rPr>
        <w:t>C</w:t>
      </w:r>
      <w:r w:rsidR="00822184" w:rsidRPr="00E471F9">
        <w:rPr>
          <w:rFonts w:cs="Times New Roman"/>
        </w:rPr>
        <w:t xml:space="preserve">hamber application </w:t>
      </w:r>
      <w:r w:rsidR="00B24A63" w:rsidRPr="00E471F9">
        <w:rPr>
          <w:rFonts w:cs="Times New Roman"/>
        </w:rPr>
        <w:t>seeking the</w:t>
      </w:r>
      <w:r w:rsidR="00822184" w:rsidRPr="00E471F9">
        <w:rPr>
          <w:rFonts w:cs="Times New Roman"/>
        </w:rPr>
        <w:t xml:space="preserve"> registration of the </w:t>
      </w:r>
      <w:r w:rsidR="000A1684" w:rsidRPr="00E471F9">
        <w:rPr>
          <w:rFonts w:cs="Times New Roman"/>
        </w:rPr>
        <w:t>D</w:t>
      </w:r>
      <w:r w:rsidR="00822184" w:rsidRPr="00E471F9">
        <w:rPr>
          <w:rFonts w:cs="Times New Roman"/>
        </w:rPr>
        <w:t>eed of settlement under case HC7249/21 as</w:t>
      </w:r>
      <w:r w:rsidR="000A1684" w:rsidRPr="00E471F9">
        <w:rPr>
          <w:rFonts w:cs="Times New Roman"/>
        </w:rPr>
        <w:t xml:space="preserve"> a</w:t>
      </w:r>
      <w:r w:rsidR="00822184" w:rsidRPr="00E471F9">
        <w:rPr>
          <w:rFonts w:cs="Times New Roman"/>
        </w:rPr>
        <w:t xml:space="preserve"> </w:t>
      </w:r>
      <w:r w:rsidR="00B24A63" w:rsidRPr="00E471F9">
        <w:rPr>
          <w:rFonts w:cs="Times New Roman"/>
        </w:rPr>
        <w:t>consent court</w:t>
      </w:r>
      <w:r w:rsidR="00822184" w:rsidRPr="00E471F9">
        <w:rPr>
          <w:rFonts w:cs="Times New Roman"/>
        </w:rPr>
        <w:t xml:space="preserve"> order in case HC 2502/22.</w:t>
      </w:r>
      <w:r w:rsidR="000A1684" w:rsidRPr="00E471F9">
        <w:rPr>
          <w:rFonts w:cs="Times New Roman"/>
        </w:rPr>
        <w:t xml:space="preserve"> Subsequently, o</w:t>
      </w:r>
      <w:r w:rsidR="00822184" w:rsidRPr="00E471F9">
        <w:rPr>
          <w:rFonts w:cs="Times New Roman"/>
        </w:rPr>
        <w:t>n the 17</w:t>
      </w:r>
      <w:r w:rsidR="00822184" w:rsidRPr="00E471F9">
        <w:rPr>
          <w:rFonts w:cs="Times New Roman"/>
          <w:vertAlign w:val="superscript"/>
        </w:rPr>
        <w:t>th</w:t>
      </w:r>
      <w:r w:rsidR="00822184" w:rsidRPr="00E471F9">
        <w:rPr>
          <w:rFonts w:cs="Times New Roman"/>
        </w:rPr>
        <w:t xml:space="preserve"> of June 2022</w:t>
      </w:r>
      <w:r w:rsidR="000A1684" w:rsidRPr="00E471F9">
        <w:rPr>
          <w:rFonts w:cs="Times New Roman"/>
        </w:rPr>
        <w:t xml:space="preserve">, </w:t>
      </w:r>
      <w:r w:rsidR="00B24A63" w:rsidRPr="00E471F9">
        <w:rPr>
          <w:rFonts w:cs="Times New Roman"/>
        </w:rPr>
        <w:t>the consent</w:t>
      </w:r>
      <w:r w:rsidR="00822184" w:rsidRPr="00E471F9">
        <w:rPr>
          <w:rFonts w:cs="Times New Roman"/>
        </w:rPr>
        <w:t xml:space="preserve"> order </w:t>
      </w:r>
      <w:r w:rsidR="000A1684" w:rsidRPr="00E471F9">
        <w:rPr>
          <w:rFonts w:cs="Times New Roman"/>
        </w:rPr>
        <w:t xml:space="preserve">sought </w:t>
      </w:r>
      <w:r w:rsidR="00822184" w:rsidRPr="00E471F9">
        <w:rPr>
          <w:rFonts w:cs="Times New Roman"/>
        </w:rPr>
        <w:t xml:space="preserve">was granted </w:t>
      </w:r>
      <w:r w:rsidR="000A1684" w:rsidRPr="00E471F9">
        <w:rPr>
          <w:rFonts w:cs="Times New Roman"/>
        </w:rPr>
        <w:t>by this court in Chambers.</w:t>
      </w:r>
      <w:r w:rsidR="00B24A63" w:rsidRPr="00E471F9">
        <w:rPr>
          <w:rFonts w:cs="Times New Roman"/>
        </w:rPr>
        <w:t xml:space="preserve"> </w:t>
      </w:r>
      <w:r w:rsidR="00822184" w:rsidRPr="00E471F9">
        <w:rPr>
          <w:rFonts w:cs="Times New Roman"/>
        </w:rPr>
        <w:t xml:space="preserve"> Consequently, a writ</w:t>
      </w:r>
      <w:r w:rsidR="000A1684" w:rsidRPr="00E471F9">
        <w:rPr>
          <w:rFonts w:cs="Times New Roman"/>
        </w:rPr>
        <w:t xml:space="preserve"> </w:t>
      </w:r>
      <w:r w:rsidR="00822184" w:rsidRPr="00E471F9">
        <w:rPr>
          <w:rFonts w:cs="Times New Roman"/>
        </w:rPr>
        <w:t>of execution was issued on the 18</w:t>
      </w:r>
      <w:r w:rsidR="00822184" w:rsidRPr="00E471F9">
        <w:rPr>
          <w:rFonts w:cs="Times New Roman"/>
          <w:vertAlign w:val="superscript"/>
        </w:rPr>
        <w:t>th</w:t>
      </w:r>
      <w:r w:rsidR="00822184" w:rsidRPr="00E471F9">
        <w:rPr>
          <w:rFonts w:cs="Times New Roman"/>
        </w:rPr>
        <w:t xml:space="preserve"> of August 2022 for the attachment of properties belonging to both the applicant and the second respondent for the recovery of the money due in </w:t>
      </w:r>
      <w:r w:rsidR="000A1684" w:rsidRPr="00E471F9">
        <w:rPr>
          <w:rFonts w:cs="Times New Roman"/>
        </w:rPr>
        <w:t>terms</w:t>
      </w:r>
      <w:r w:rsidR="00822184" w:rsidRPr="00E471F9">
        <w:rPr>
          <w:rFonts w:cs="Times New Roman"/>
        </w:rPr>
        <w:t xml:space="preserve"> the </w:t>
      </w:r>
      <w:r w:rsidR="000A1684" w:rsidRPr="00E471F9">
        <w:rPr>
          <w:rFonts w:cs="Times New Roman"/>
        </w:rPr>
        <w:t>Deed</w:t>
      </w:r>
      <w:r w:rsidR="00822184" w:rsidRPr="00E471F9">
        <w:rPr>
          <w:rFonts w:cs="Times New Roman"/>
        </w:rPr>
        <w:t xml:space="preserve"> settlement and consent order. It is this consent order that the applicant seeks rescission</w:t>
      </w:r>
      <w:r w:rsidR="000A1684" w:rsidRPr="00E471F9">
        <w:rPr>
          <w:rFonts w:cs="Times New Roman"/>
        </w:rPr>
        <w:t xml:space="preserve"> citing</w:t>
      </w:r>
      <w:r w:rsidR="00822184" w:rsidRPr="00E471F9">
        <w:rPr>
          <w:rFonts w:cs="Times New Roman"/>
        </w:rPr>
        <w:t xml:space="preserve"> that it had been entered in error and the remedy lies in rule 29(1)(a).</w:t>
      </w:r>
    </w:p>
    <w:p w:rsidR="000A1684" w:rsidRPr="00E471F9" w:rsidRDefault="000A1684" w:rsidP="00E471F9">
      <w:pPr>
        <w:spacing w:line="360" w:lineRule="auto"/>
        <w:jc w:val="both"/>
        <w:rPr>
          <w:rFonts w:cs="Times New Roman"/>
        </w:rPr>
      </w:pPr>
    </w:p>
    <w:p w:rsidR="00E471F9" w:rsidRDefault="00822184" w:rsidP="00E471F9">
      <w:pPr>
        <w:spacing w:line="360" w:lineRule="auto"/>
        <w:jc w:val="both"/>
        <w:rPr>
          <w:rFonts w:cs="Times New Roman"/>
        </w:rPr>
      </w:pPr>
      <w:r w:rsidRPr="00E471F9">
        <w:rPr>
          <w:rFonts w:cs="Times New Roman"/>
        </w:rPr>
        <w:t xml:space="preserve"> </w:t>
      </w:r>
      <w:r w:rsidR="00E471F9">
        <w:rPr>
          <w:rFonts w:cs="Times New Roman"/>
        </w:rPr>
        <w:tab/>
      </w:r>
      <w:r w:rsidRPr="00E471F9">
        <w:rPr>
          <w:rFonts w:cs="Times New Roman"/>
        </w:rPr>
        <w:t>Of note, the</w:t>
      </w:r>
      <w:r w:rsidR="000A1684" w:rsidRPr="00E471F9">
        <w:rPr>
          <w:rFonts w:cs="Times New Roman"/>
        </w:rPr>
        <w:t xml:space="preserve"> second</w:t>
      </w:r>
      <w:r w:rsidRPr="00E471F9">
        <w:rPr>
          <w:rFonts w:cs="Times New Roman"/>
        </w:rPr>
        <w:t xml:space="preserve"> respondent did not file a notice of opposition nor did they file an opposing affidavit. Instead</w:t>
      </w:r>
      <w:r w:rsidR="00913070" w:rsidRPr="00E471F9">
        <w:rPr>
          <w:rFonts w:cs="Times New Roman"/>
        </w:rPr>
        <w:t>,</w:t>
      </w:r>
      <w:r w:rsidRPr="00E471F9">
        <w:rPr>
          <w:rFonts w:cs="Times New Roman"/>
        </w:rPr>
        <w:t xml:space="preserve"> they filed </w:t>
      </w:r>
      <w:r w:rsidR="000A1684" w:rsidRPr="00E471F9">
        <w:rPr>
          <w:rFonts w:cs="Times New Roman"/>
        </w:rPr>
        <w:t>an unfamiliar creatur</w:t>
      </w:r>
      <w:r w:rsidR="0057605F" w:rsidRPr="00E471F9">
        <w:rPr>
          <w:rFonts w:cs="Times New Roman"/>
        </w:rPr>
        <w:t>e</w:t>
      </w:r>
      <w:r w:rsidR="000A1684" w:rsidRPr="00E471F9">
        <w:rPr>
          <w:rFonts w:cs="Times New Roman"/>
        </w:rPr>
        <w:t>,</w:t>
      </w:r>
      <w:r w:rsidRPr="00E471F9">
        <w:rPr>
          <w:rFonts w:cs="Times New Roman"/>
        </w:rPr>
        <w:t xml:space="preserve"> they termed the second respondent</w:t>
      </w:r>
      <w:r w:rsidR="000A1684" w:rsidRPr="00E471F9">
        <w:rPr>
          <w:rFonts w:cs="Times New Roman"/>
        </w:rPr>
        <w:t>’</w:t>
      </w:r>
      <w:r w:rsidRPr="00E471F9">
        <w:rPr>
          <w:rFonts w:cs="Times New Roman"/>
        </w:rPr>
        <w:t>s</w:t>
      </w:r>
      <w:r w:rsidR="00913070" w:rsidRPr="00E471F9">
        <w:rPr>
          <w:rFonts w:cs="Times New Roman"/>
        </w:rPr>
        <w:t xml:space="preserve"> </w:t>
      </w:r>
      <w:r w:rsidR="00B24A63" w:rsidRPr="00E471F9">
        <w:rPr>
          <w:rFonts w:cs="Times New Roman"/>
        </w:rPr>
        <w:t>notice and</w:t>
      </w:r>
      <w:r w:rsidRPr="00E471F9">
        <w:rPr>
          <w:rFonts w:cs="Times New Roman"/>
        </w:rPr>
        <w:t xml:space="preserve"> affidavit of response wherein they were basically joining issues with the applicant. </w:t>
      </w:r>
      <w:r w:rsidR="00B24A63" w:rsidRPr="00E471F9">
        <w:rPr>
          <w:rFonts w:cs="Times New Roman"/>
        </w:rPr>
        <w:t xml:space="preserve">Their justification </w:t>
      </w:r>
      <w:r w:rsidR="00B24A63" w:rsidRPr="00E471F9">
        <w:rPr>
          <w:rFonts w:cs="Times New Roman"/>
        </w:rPr>
        <w:lastRenderedPageBreak/>
        <w:t xml:space="preserve">being, since they want the same recourse as the </w:t>
      </w:r>
      <w:r w:rsidR="00E471F9" w:rsidRPr="00E471F9">
        <w:rPr>
          <w:rFonts w:cs="Times New Roman"/>
        </w:rPr>
        <w:t>applicant,</w:t>
      </w:r>
      <w:r w:rsidR="00B24A63" w:rsidRPr="00E471F9">
        <w:rPr>
          <w:rFonts w:cs="Times New Roman"/>
        </w:rPr>
        <w:t xml:space="preserve"> they felt obligated to respond and not to oppose, hence the ‘invention’. </w:t>
      </w:r>
      <w:r w:rsidRPr="00E471F9">
        <w:rPr>
          <w:rFonts w:cs="Times New Roman"/>
        </w:rPr>
        <w:t xml:space="preserve">They </w:t>
      </w:r>
      <w:r w:rsidR="00B24A63" w:rsidRPr="00E471F9">
        <w:rPr>
          <w:rFonts w:cs="Times New Roman"/>
        </w:rPr>
        <w:t>also asserted</w:t>
      </w:r>
      <w:r w:rsidRPr="00E471F9">
        <w:rPr>
          <w:rFonts w:cs="Times New Roman"/>
        </w:rPr>
        <w:t xml:space="preserve"> that they </w:t>
      </w:r>
      <w:r w:rsidR="00B24A63" w:rsidRPr="00E471F9">
        <w:rPr>
          <w:rFonts w:cs="Times New Roman"/>
        </w:rPr>
        <w:t>had filed</w:t>
      </w:r>
      <w:r w:rsidRPr="00E471F9">
        <w:rPr>
          <w:rFonts w:cs="Times New Roman"/>
        </w:rPr>
        <w:t xml:space="preserve"> a parallel application seeking to re</w:t>
      </w:r>
      <w:r w:rsidR="00B24A63" w:rsidRPr="00E471F9">
        <w:rPr>
          <w:rFonts w:cs="Times New Roman"/>
        </w:rPr>
        <w:t>scind</w:t>
      </w:r>
      <w:r w:rsidRPr="00E471F9">
        <w:rPr>
          <w:rFonts w:cs="Times New Roman"/>
        </w:rPr>
        <w:t xml:space="preserve"> the same judgement obtained by the </w:t>
      </w:r>
      <w:r w:rsidR="00A32DEC" w:rsidRPr="00E471F9">
        <w:rPr>
          <w:rFonts w:cs="Times New Roman"/>
        </w:rPr>
        <w:t>first respondent</w:t>
      </w:r>
      <w:r w:rsidRPr="00E471F9">
        <w:rPr>
          <w:rFonts w:cs="Times New Roman"/>
        </w:rPr>
        <w:t xml:space="preserve"> in case HC5681/2022. </w:t>
      </w:r>
      <w:r w:rsidR="00B24A63" w:rsidRPr="00E471F9">
        <w:rPr>
          <w:rFonts w:cs="Times New Roman"/>
        </w:rPr>
        <w:t xml:space="preserve">The second respondent was, </w:t>
      </w:r>
      <w:r w:rsidR="00F4567C" w:rsidRPr="00E471F9">
        <w:rPr>
          <w:rFonts w:cs="Times New Roman"/>
        </w:rPr>
        <w:t>therefore, not</w:t>
      </w:r>
      <w:r w:rsidRPr="00E471F9">
        <w:rPr>
          <w:rFonts w:cs="Times New Roman"/>
        </w:rPr>
        <w:t xml:space="preserve"> opposed to the rescission of judgement application.</w:t>
      </w:r>
    </w:p>
    <w:p w:rsidR="00A32DEC" w:rsidRPr="00E471F9" w:rsidRDefault="00822184" w:rsidP="00E471F9">
      <w:pPr>
        <w:spacing w:line="360" w:lineRule="auto"/>
        <w:jc w:val="both"/>
        <w:rPr>
          <w:rFonts w:cs="Times New Roman"/>
        </w:rPr>
      </w:pPr>
      <w:r w:rsidRPr="00E471F9">
        <w:rPr>
          <w:rFonts w:cs="Times New Roman"/>
        </w:rPr>
        <w:t xml:space="preserve"> </w:t>
      </w:r>
    </w:p>
    <w:p w:rsidR="00B50F32" w:rsidRPr="00E471F9" w:rsidRDefault="00A32DEC" w:rsidP="00E471F9">
      <w:pPr>
        <w:spacing w:line="360" w:lineRule="auto"/>
        <w:ind w:firstLine="709"/>
        <w:jc w:val="both"/>
        <w:rPr>
          <w:rFonts w:cs="Times New Roman"/>
        </w:rPr>
      </w:pPr>
      <w:r w:rsidRPr="00E471F9">
        <w:rPr>
          <w:rFonts w:cs="Times New Roman"/>
        </w:rPr>
        <w:t xml:space="preserve">A point of law was taken up at the hearing, as a </w:t>
      </w:r>
      <w:r w:rsidRPr="00E471F9">
        <w:rPr>
          <w:rFonts w:cs="Times New Roman"/>
          <w:i/>
        </w:rPr>
        <w:t>point in limine</w:t>
      </w:r>
      <w:r w:rsidRPr="00E471F9">
        <w:rPr>
          <w:rFonts w:cs="Times New Roman"/>
        </w:rPr>
        <w:t xml:space="preserve"> attacking the foreign nature of the documents filed by the second </w:t>
      </w:r>
      <w:r w:rsidR="00795777" w:rsidRPr="00E471F9">
        <w:rPr>
          <w:rFonts w:cs="Times New Roman"/>
        </w:rPr>
        <w:t>respondent, alien</w:t>
      </w:r>
      <w:r w:rsidRPr="00E471F9">
        <w:rPr>
          <w:rFonts w:cs="Times New Roman"/>
        </w:rPr>
        <w:t xml:space="preserve"> to the governing rules, urging </w:t>
      </w:r>
      <w:r w:rsidR="00B24A63" w:rsidRPr="00E471F9">
        <w:rPr>
          <w:rFonts w:cs="Times New Roman"/>
        </w:rPr>
        <w:t>the court</w:t>
      </w:r>
      <w:r w:rsidRPr="00E471F9">
        <w:rPr>
          <w:rFonts w:cs="Times New Roman"/>
        </w:rPr>
        <w:t xml:space="preserve"> </w:t>
      </w:r>
      <w:r w:rsidR="00B24A63" w:rsidRPr="00E471F9">
        <w:rPr>
          <w:rFonts w:cs="Times New Roman"/>
        </w:rPr>
        <w:t>to strike</w:t>
      </w:r>
      <w:r w:rsidRPr="00E471F9">
        <w:rPr>
          <w:rFonts w:cs="Times New Roman"/>
        </w:rPr>
        <w:t xml:space="preserve"> them out.  </w:t>
      </w:r>
      <w:r w:rsidR="00913070" w:rsidRPr="00E471F9">
        <w:rPr>
          <w:rFonts w:cs="Times New Roman"/>
        </w:rPr>
        <w:t xml:space="preserve">   For the sake of</w:t>
      </w:r>
      <w:r w:rsidR="00B24A63" w:rsidRPr="00E471F9">
        <w:rPr>
          <w:rFonts w:cs="Times New Roman"/>
        </w:rPr>
        <w:t xml:space="preserve"> the</w:t>
      </w:r>
      <w:r w:rsidR="00913070" w:rsidRPr="00E471F9">
        <w:rPr>
          <w:rFonts w:cs="Times New Roman"/>
        </w:rPr>
        <w:t xml:space="preserve"> interests of justice and finality to litigation, this court elected to waive the rules, in terms of rule 7 of the 2021 High Court rules, which are in essence for the convenience of the court</w:t>
      </w:r>
      <w:r w:rsidR="00F4567C" w:rsidRPr="00E471F9">
        <w:rPr>
          <w:rFonts w:cs="Times New Roman"/>
        </w:rPr>
        <w:t xml:space="preserve"> and allowed the alien</w:t>
      </w:r>
      <w:r w:rsidR="00F4567C" w:rsidRPr="00E471F9">
        <w:rPr>
          <w:rFonts w:cs="Times New Roman"/>
          <w:i/>
        </w:rPr>
        <w:t xml:space="preserve"> </w:t>
      </w:r>
      <w:r w:rsidR="00795777" w:rsidRPr="00E471F9">
        <w:rPr>
          <w:rFonts w:cs="Times New Roman"/>
          <w:i/>
        </w:rPr>
        <w:t>species</w:t>
      </w:r>
      <w:r w:rsidR="00F4567C" w:rsidRPr="00E471F9">
        <w:rPr>
          <w:rFonts w:cs="Times New Roman"/>
        </w:rPr>
        <w:t xml:space="preserve"> filed of record to stand.</w:t>
      </w:r>
      <w:r w:rsidR="00DA647D" w:rsidRPr="00E471F9">
        <w:rPr>
          <w:rFonts w:cs="Times New Roman"/>
        </w:rPr>
        <w:t xml:space="preserve"> See</w:t>
      </w:r>
      <w:r w:rsidR="00251F17" w:rsidRPr="00E471F9">
        <w:rPr>
          <w:rFonts w:cs="Times New Roman"/>
        </w:rPr>
        <w:t xml:space="preserve">, </w:t>
      </w:r>
      <w:r w:rsidR="00251F17" w:rsidRPr="00E471F9">
        <w:rPr>
          <w:rFonts w:cs="Times New Roman"/>
          <w:i/>
        </w:rPr>
        <w:t>Forestry Commission v Moyo</w:t>
      </w:r>
      <w:r w:rsidR="00251F17" w:rsidRPr="00E471F9">
        <w:rPr>
          <w:rFonts w:cs="Times New Roman"/>
        </w:rPr>
        <w:t xml:space="preserve"> 1997(2)</w:t>
      </w:r>
      <w:r w:rsidR="00795777" w:rsidRPr="00E471F9">
        <w:rPr>
          <w:rFonts w:cs="Times New Roman"/>
        </w:rPr>
        <w:t xml:space="preserve"> </w:t>
      </w:r>
      <w:r w:rsidR="00251F17" w:rsidRPr="00E471F9">
        <w:rPr>
          <w:rFonts w:cs="Times New Roman"/>
        </w:rPr>
        <w:t>ZLR 254, which says, “Insofar as the High Court rules are concerned, rule 4C(a) permits a departure from any provision of the</w:t>
      </w:r>
      <w:r w:rsidR="00795777" w:rsidRPr="00E471F9">
        <w:rPr>
          <w:rFonts w:cs="Times New Roman"/>
        </w:rPr>
        <w:t xml:space="preserve"> </w:t>
      </w:r>
      <w:r w:rsidR="00251F17" w:rsidRPr="00E471F9">
        <w:rPr>
          <w:rFonts w:cs="Times New Roman"/>
        </w:rPr>
        <w:t xml:space="preserve">rules where a court or a judge is satisfied that the departure </w:t>
      </w:r>
      <w:r w:rsidR="003A2E1D" w:rsidRPr="00E471F9">
        <w:rPr>
          <w:rFonts w:cs="Times New Roman"/>
        </w:rPr>
        <w:t>is required in the interests of justice.”</w:t>
      </w:r>
      <w:r w:rsidR="0057605F" w:rsidRPr="00E471F9">
        <w:rPr>
          <w:rFonts w:cs="Times New Roman"/>
        </w:rPr>
        <w:t xml:space="preserve"> </w:t>
      </w:r>
    </w:p>
    <w:p w:rsidR="00B50F32" w:rsidRPr="00E471F9" w:rsidRDefault="00B50F32" w:rsidP="00E471F9">
      <w:pPr>
        <w:spacing w:line="360" w:lineRule="auto"/>
        <w:jc w:val="both"/>
        <w:rPr>
          <w:rFonts w:cs="Times New Roman"/>
        </w:rPr>
      </w:pPr>
    </w:p>
    <w:p w:rsidR="00B50F32" w:rsidRPr="00E471F9" w:rsidRDefault="00822184" w:rsidP="00E471F9">
      <w:pPr>
        <w:spacing w:line="360" w:lineRule="auto"/>
        <w:jc w:val="both"/>
        <w:rPr>
          <w:rFonts w:cs="Times New Roman"/>
          <w:b/>
        </w:rPr>
      </w:pPr>
      <w:r w:rsidRPr="00E471F9">
        <w:rPr>
          <w:rFonts w:cs="Times New Roman"/>
          <w:b/>
        </w:rPr>
        <w:t xml:space="preserve">Applicant’s </w:t>
      </w:r>
      <w:r w:rsidR="00853D44" w:rsidRPr="00E471F9">
        <w:rPr>
          <w:rFonts w:cs="Times New Roman"/>
          <w:b/>
        </w:rPr>
        <w:t>argument</w:t>
      </w:r>
    </w:p>
    <w:p w:rsidR="00B50F32" w:rsidRPr="00E471F9" w:rsidRDefault="00D514B5" w:rsidP="00E471F9">
      <w:pPr>
        <w:spacing w:line="360" w:lineRule="auto"/>
        <w:ind w:firstLine="709"/>
        <w:jc w:val="both"/>
        <w:rPr>
          <w:rFonts w:cs="Times New Roman"/>
        </w:rPr>
      </w:pPr>
      <w:r w:rsidRPr="00E471F9">
        <w:rPr>
          <w:rFonts w:cs="Times New Roman"/>
        </w:rPr>
        <w:t>Applicant concedes</w:t>
      </w:r>
      <w:r w:rsidR="00822184" w:rsidRPr="00E471F9">
        <w:rPr>
          <w:rFonts w:cs="Times New Roman"/>
        </w:rPr>
        <w:t xml:space="preserve"> that</w:t>
      </w:r>
      <w:r w:rsidRPr="00E471F9">
        <w:rPr>
          <w:rFonts w:cs="Times New Roman"/>
        </w:rPr>
        <w:t>, in terms of the Deed of settlement</w:t>
      </w:r>
      <w:r w:rsidR="00822184" w:rsidRPr="00E471F9">
        <w:rPr>
          <w:rFonts w:cs="Times New Roman"/>
        </w:rPr>
        <w:t xml:space="preserve"> he indeed waived his right to be served</w:t>
      </w:r>
      <w:r w:rsidR="0001162A" w:rsidRPr="00E471F9">
        <w:rPr>
          <w:rFonts w:cs="Times New Roman"/>
        </w:rPr>
        <w:t xml:space="preserve"> </w:t>
      </w:r>
      <w:r w:rsidRPr="00E471F9">
        <w:rPr>
          <w:rFonts w:cs="Times New Roman"/>
        </w:rPr>
        <w:t xml:space="preserve">with </w:t>
      </w:r>
      <w:r w:rsidR="00822184" w:rsidRPr="00E471F9">
        <w:rPr>
          <w:rFonts w:cs="Times New Roman"/>
        </w:rPr>
        <w:t xml:space="preserve">the </w:t>
      </w:r>
      <w:r w:rsidRPr="00E471F9">
        <w:rPr>
          <w:rFonts w:cs="Times New Roman"/>
        </w:rPr>
        <w:t>C</w:t>
      </w:r>
      <w:r w:rsidR="00822184" w:rsidRPr="00E471F9">
        <w:rPr>
          <w:rFonts w:cs="Times New Roman"/>
        </w:rPr>
        <w:t>hamber application under case HC2502/22</w:t>
      </w:r>
      <w:r w:rsidRPr="00E471F9">
        <w:rPr>
          <w:rFonts w:cs="Times New Roman"/>
        </w:rPr>
        <w:t>. However, he brings in a new dimension that the Chamber application itself was fatally defective as it did not comply with</w:t>
      </w:r>
      <w:r w:rsidR="00822184" w:rsidRPr="00E471F9">
        <w:rPr>
          <w:rFonts w:cs="Times New Roman"/>
        </w:rPr>
        <w:t xml:space="preserve"> rule 60(4)(b) of the High Court rules S.I 202 of 2021</w:t>
      </w:r>
      <w:r w:rsidRPr="00E471F9">
        <w:rPr>
          <w:rFonts w:cs="Times New Roman"/>
        </w:rPr>
        <w:t xml:space="preserve">, which in their view, requires the accompaniment of </w:t>
      </w:r>
      <w:r w:rsidR="00DA647D" w:rsidRPr="00E471F9">
        <w:rPr>
          <w:rFonts w:cs="Times New Roman"/>
        </w:rPr>
        <w:t xml:space="preserve">a </w:t>
      </w:r>
      <w:r w:rsidRPr="00E471F9">
        <w:rPr>
          <w:rFonts w:cs="Times New Roman"/>
        </w:rPr>
        <w:t xml:space="preserve">certificate compiled by a legal practitioner, justifying why service was not </w:t>
      </w:r>
      <w:r w:rsidR="00E471F9" w:rsidRPr="00E471F9">
        <w:rPr>
          <w:rFonts w:cs="Times New Roman"/>
        </w:rPr>
        <w:t>affected</w:t>
      </w:r>
      <w:r w:rsidRPr="00E471F9">
        <w:rPr>
          <w:rFonts w:cs="Times New Roman"/>
        </w:rPr>
        <w:t xml:space="preserve"> to other interested parties.</w:t>
      </w:r>
      <w:r w:rsidR="00822184" w:rsidRPr="00E471F9">
        <w:rPr>
          <w:rFonts w:cs="Times New Roman"/>
        </w:rPr>
        <w:t xml:space="preserve"> </w:t>
      </w:r>
      <w:r w:rsidRPr="00E471F9">
        <w:rPr>
          <w:rFonts w:cs="Times New Roman"/>
        </w:rPr>
        <w:t xml:space="preserve">They therefore, motivate that, for that reason there was an error which was not drawn to the attention of the trial court </w:t>
      </w:r>
      <w:r w:rsidR="003A2E1D" w:rsidRPr="00E471F9">
        <w:rPr>
          <w:rFonts w:cs="Times New Roman"/>
        </w:rPr>
        <w:t>calling for</w:t>
      </w:r>
      <w:r w:rsidRPr="00E471F9">
        <w:rPr>
          <w:rFonts w:cs="Times New Roman"/>
        </w:rPr>
        <w:t xml:space="preserve"> the rescission of that order.</w:t>
      </w:r>
    </w:p>
    <w:p w:rsidR="00B50F32" w:rsidRPr="00E471F9" w:rsidRDefault="00B50F32" w:rsidP="00E471F9">
      <w:pPr>
        <w:spacing w:line="360" w:lineRule="auto"/>
        <w:jc w:val="both"/>
        <w:rPr>
          <w:rFonts w:cs="Times New Roman"/>
        </w:rPr>
      </w:pPr>
    </w:p>
    <w:p w:rsidR="00B50F32" w:rsidRPr="00E471F9" w:rsidRDefault="00822184" w:rsidP="00E471F9">
      <w:pPr>
        <w:spacing w:line="360" w:lineRule="auto"/>
        <w:jc w:val="both"/>
        <w:rPr>
          <w:rFonts w:cs="Times New Roman"/>
          <w:b/>
        </w:rPr>
      </w:pPr>
      <w:r w:rsidRPr="00E471F9">
        <w:rPr>
          <w:rFonts w:cs="Times New Roman"/>
          <w:b/>
        </w:rPr>
        <w:t xml:space="preserve">First Respondent’s </w:t>
      </w:r>
      <w:r w:rsidR="00853D44" w:rsidRPr="00E471F9">
        <w:rPr>
          <w:rFonts w:cs="Times New Roman"/>
          <w:b/>
        </w:rPr>
        <w:t>argument</w:t>
      </w:r>
    </w:p>
    <w:p w:rsidR="00F41052" w:rsidRPr="00E471F9" w:rsidRDefault="00822184" w:rsidP="00E471F9">
      <w:pPr>
        <w:spacing w:line="360" w:lineRule="auto"/>
        <w:ind w:firstLine="709"/>
        <w:jc w:val="both"/>
        <w:rPr>
          <w:rFonts w:cs="Times New Roman"/>
        </w:rPr>
      </w:pPr>
      <w:r w:rsidRPr="00E471F9">
        <w:rPr>
          <w:rFonts w:cs="Times New Roman"/>
        </w:rPr>
        <w:t>It is the first respondent’s submission that</w:t>
      </w:r>
      <w:r w:rsidR="0001162A" w:rsidRPr="00E471F9">
        <w:rPr>
          <w:rFonts w:cs="Times New Roman"/>
        </w:rPr>
        <w:t>,</w:t>
      </w:r>
      <w:r w:rsidRPr="00E471F9">
        <w:rPr>
          <w:rFonts w:cs="Times New Roman"/>
        </w:rPr>
        <w:t xml:space="preserve"> the applicant by </w:t>
      </w:r>
      <w:r w:rsidR="0057605F" w:rsidRPr="00E471F9">
        <w:rPr>
          <w:rFonts w:cs="Times New Roman"/>
        </w:rPr>
        <w:t>reason</w:t>
      </w:r>
      <w:r w:rsidRPr="00E471F9">
        <w:rPr>
          <w:rFonts w:cs="Times New Roman"/>
        </w:rPr>
        <w:t xml:space="preserve"> of clause 4.3 of the </w:t>
      </w:r>
      <w:r w:rsidR="0001162A" w:rsidRPr="00E471F9">
        <w:rPr>
          <w:rFonts w:cs="Times New Roman"/>
        </w:rPr>
        <w:t>D</w:t>
      </w:r>
      <w:r w:rsidRPr="00E471F9">
        <w:rPr>
          <w:rFonts w:cs="Times New Roman"/>
        </w:rPr>
        <w:t xml:space="preserve">eed of surety ship waived his right to be served with the notice of the set down date of the </w:t>
      </w:r>
      <w:r w:rsidR="0001162A" w:rsidRPr="00E471F9">
        <w:rPr>
          <w:rFonts w:cs="Times New Roman"/>
        </w:rPr>
        <w:t>C</w:t>
      </w:r>
      <w:r w:rsidRPr="00E471F9">
        <w:rPr>
          <w:rFonts w:cs="Times New Roman"/>
        </w:rPr>
        <w:t xml:space="preserve">hamber application registering the </w:t>
      </w:r>
      <w:r w:rsidR="0001162A" w:rsidRPr="00E471F9">
        <w:rPr>
          <w:rFonts w:cs="Times New Roman"/>
        </w:rPr>
        <w:t>D</w:t>
      </w:r>
      <w:r w:rsidRPr="00E471F9">
        <w:rPr>
          <w:rFonts w:cs="Times New Roman"/>
        </w:rPr>
        <w:t>eed of settlement and the</w:t>
      </w:r>
      <w:r w:rsidR="0001162A" w:rsidRPr="00E471F9">
        <w:rPr>
          <w:rFonts w:cs="Times New Roman"/>
        </w:rPr>
        <w:t xml:space="preserve"> attendant</w:t>
      </w:r>
      <w:r w:rsidRPr="00E471F9">
        <w:rPr>
          <w:rFonts w:cs="Times New Roman"/>
        </w:rPr>
        <w:t xml:space="preserve"> co</w:t>
      </w:r>
      <w:r w:rsidR="0001162A" w:rsidRPr="00E471F9">
        <w:rPr>
          <w:rFonts w:cs="Times New Roman"/>
        </w:rPr>
        <w:t>nsent order</w:t>
      </w:r>
      <w:r w:rsidRPr="00E471F9">
        <w:rPr>
          <w:rFonts w:cs="Times New Roman"/>
        </w:rPr>
        <w:t xml:space="preserve">. They further </w:t>
      </w:r>
      <w:r w:rsidR="0001162A" w:rsidRPr="00E471F9">
        <w:rPr>
          <w:rFonts w:cs="Times New Roman"/>
        </w:rPr>
        <w:t>contend that,</w:t>
      </w:r>
      <w:r w:rsidRPr="00E471F9">
        <w:rPr>
          <w:rFonts w:cs="Times New Roman"/>
        </w:rPr>
        <w:t xml:space="preserve"> the </w:t>
      </w:r>
      <w:r w:rsidR="0001162A" w:rsidRPr="00E471F9">
        <w:rPr>
          <w:rFonts w:cs="Times New Roman"/>
        </w:rPr>
        <w:t>second</w:t>
      </w:r>
      <w:r w:rsidRPr="00E471F9">
        <w:rPr>
          <w:rFonts w:cs="Times New Roman"/>
        </w:rPr>
        <w:t xml:space="preserve"> respondent</w:t>
      </w:r>
      <w:r w:rsidR="0001162A" w:rsidRPr="00E471F9">
        <w:rPr>
          <w:rFonts w:cs="Times New Roman"/>
        </w:rPr>
        <w:t xml:space="preserve"> in turn,</w:t>
      </w:r>
      <w:r w:rsidRPr="00E471F9">
        <w:rPr>
          <w:rFonts w:cs="Times New Roman"/>
        </w:rPr>
        <w:t xml:space="preserve"> by entering a contract of guarantee</w:t>
      </w:r>
      <w:r w:rsidR="0001162A" w:rsidRPr="00E471F9">
        <w:rPr>
          <w:rFonts w:cs="Times New Roman"/>
        </w:rPr>
        <w:t>,</w:t>
      </w:r>
      <w:r w:rsidRPr="00E471F9">
        <w:rPr>
          <w:rFonts w:cs="Times New Roman"/>
        </w:rPr>
        <w:t xml:space="preserve"> stepped into the shoes of the defaulter</w:t>
      </w:r>
      <w:r w:rsidR="00F41052" w:rsidRPr="00E471F9">
        <w:rPr>
          <w:rFonts w:cs="Times New Roman"/>
        </w:rPr>
        <w:t>, which entails that they too are bound by the terms of Deed of settlement. As such they also waived their right to be served as guarantors.</w:t>
      </w:r>
    </w:p>
    <w:p w:rsidR="00DA647D" w:rsidRPr="00E471F9" w:rsidRDefault="00DA647D" w:rsidP="00E471F9">
      <w:pPr>
        <w:spacing w:line="360" w:lineRule="auto"/>
        <w:jc w:val="both"/>
        <w:rPr>
          <w:rFonts w:cs="Times New Roman"/>
        </w:rPr>
      </w:pPr>
    </w:p>
    <w:p w:rsidR="00F41052" w:rsidRPr="00E471F9" w:rsidRDefault="00F41052" w:rsidP="00E471F9">
      <w:pPr>
        <w:spacing w:line="360" w:lineRule="auto"/>
        <w:jc w:val="both"/>
        <w:rPr>
          <w:rFonts w:cs="Times New Roman"/>
          <w:b/>
        </w:rPr>
      </w:pPr>
      <w:r w:rsidRPr="00E471F9">
        <w:rPr>
          <w:rFonts w:cs="Times New Roman"/>
          <w:b/>
        </w:rPr>
        <w:t xml:space="preserve">The second respondent’s </w:t>
      </w:r>
      <w:r w:rsidR="00853D44" w:rsidRPr="00E471F9">
        <w:rPr>
          <w:rFonts w:cs="Times New Roman"/>
          <w:b/>
        </w:rPr>
        <w:t>argument</w:t>
      </w:r>
    </w:p>
    <w:p w:rsidR="00F41052" w:rsidRPr="00E471F9" w:rsidRDefault="00F41052" w:rsidP="00E471F9">
      <w:pPr>
        <w:spacing w:line="360" w:lineRule="auto"/>
        <w:ind w:firstLine="709"/>
        <w:jc w:val="both"/>
        <w:rPr>
          <w:rFonts w:cs="Times New Roman"/>
        </w:rPr>
      </w:pPr>
      <w:r w:rsidRPr="00E471F9">
        <w:rPr>
          <w:rFonts w:cs="Times New Roman"/>
        </w:rPr>
        <w:lastRenderedPageBreak/>
        <w:t xml:space="preserve">The second respondent argued that the contract of guarantee entered between themselves and the applicant was an inchoate contract. Essential conditions of that contract where not fulfilled by the first </w:t>
      </w:r>
      <w:r w:rsidR="00E471F9" w:rsidRPr="00E471F9">
        <w:rPr>
          <w:rFonts w:cs="Times New Roman"/>
        </w:rPr>
        <w:t>respondent;</w:t>
      </w:r>
      <w:r w:rsidR="00986C27" w:rsidRPr="00E471F9">
        <w:rPr>
          <w:rFonts w:cs="Times New Roman"/>
        </w:rPr>
        <w:t xml:space="preserve"> they</w:t>
      </w:r>
      <w:r w:rsidRPr="00E471F9">
        <w:rPr>
          <w:rFonts w:cs="Times New Roman"/>
        </w:rPr>
        <w:t xml:space="preserve"> therefore cannot be held ransom to the incomplete contract. They argue further, that, they are an interested party who w</w:t>
      </w:r>
      <w:r w:rsidR="00DF097D" w:rsidRPr="00E471F9">
        <w:rPr>
          <w:rFonts w:cs="Times New Roman"/>
        </w:rPr>
        <w:t>as</w:t>
      </w:r>
      <w:r w:rsidRPr="00E471F9">
        <w:rPr>
          <w:rFonts w:cs="Times New Roman"/>
        </w:rPr>
        <w:t xml:space="preserve"> </w:t>
      </w:r>
      <w:r w:rsidR="00DF097D" w:rsidRPr="00E471F9">
        <w:rPr>
          <w:rFonts w:cs="Times New Roman"/>
        </w:rPr>
        <w:t>affected</w:t>
      </w:r>
      <w:r w:rsidRPr="00E471F9">
        <w:rPr>
          <w:rFonts w:cs="Times New Roman"/>
        </w:rPr>
        <w:t xml:space="preserve"> by the impugned order granted when </w:t>
      </w:r>
      <w:r w:rsidR="00DF097D" w:rsidRPr="00E471F9">
        <w:rPr>
          <w:rFonts w:cs="Times New Roman"/>
        </w:rPr>
        <w:t>they were</w:t>
      </w:r>
      <w:r w:rsidRPr="00E471F9">
        <w:rPr>
          <w:rFonts w:cs="Times New Roman"/>
        </w:rPr>
        <w:t xml:space="preserve"> not a pa</w:t>
      </w:r>
      <w:r w:rsidR="00DF097D" w:rsidRPr="00E471F9">
        <w:rPr>
          <w:rFonts w:cs="Times New Roman"/>
        </w:rPr>
        <w:t>rty</w:t>
      </w:r>
      <w:r w:rsidRPr="00E471F9">
        <w:rPr>
          <w:rFonts w:cs="Times New Roman"/>
        </w:rPr>
        <w:t xml:space="preserve"> to</w:t>
      </w:r>
      <w:r w:rsidR="00DF097D" w:rsidRPr="00E471F9">
        <w:rPr>
          <w:rFonts w:cs="Times New Roman"/>
        </w:rPr>
        <w:t xml:space="preserve"> it or to</w:t>
      </w:r>
      <w:r w:rsidRPr="00E471F9">
        <w:rPr>
          <w:rFonts w:cs="Times New Roman"/>
        </w:rPr>
        <w:t xml:space="preserve"> the Deed of settlement</w:t>
      </w:r>
      <w:r w:rsidR="00DF097D" w:rsidRPr="00E471F9">
        <w:rPr>
          <w:rFonts w:cs="Times New Roman"/>
        </w:rPr>
        <w:t xml:space="preserve"> in question. In that vein, they</w:t>
      </w:r>
      <w:r w:rsidR="00986C27" w:rsidRPr="00E471F9">
        <w:rPr>
          <w:rFonts w:cs="Times New Roman"/>
        </w:rPr>
        <w:t xml:space="preserve"> highlight that they have, as already alluded to launched a similar challenge to have the said order rescinded in terms of the same rule 29(1) (a) of the current High Court rules.</w:t>
      </w:r>
      <w:r w:rsidR="00DF097D" w:rsidRPr="00E471F9">
        <w:rPr>
          <w:rFonts w:cs="Times New Roman"/>
        </w:rPr>
        <w:t xml:space="preserve"> </w:t>
      </w:r>
      <w:r w:rsidR="00986C27" w:rsidRPr="00E471F9">
        <w:rPr>
          <w:rFonts w:cs="Times New Roman"/>
        </w:rPr>
        <w:t>In addition</w:t>
      </w:r>
      <w:r w:rsidR="00DA647D" w:rsidRPr="00E471F9">
        <w:rPr>
          <w:rFonts w:cs="Times New Roman"/>
        </w:rPr>
        <w:t>,</w:t>
      </w:r>
      <w:r w:rsidR="00986C27" w:rsidRPr="00E471F9">
        <w:rPr>
          <w:rFonts w:cs="Times New Roman"/>
        </w:rPr>
        <w:t xml:space="preserve"> they also join issue with the applicant on the circumvention </w:t>
      </w:r>
      <w:r w:rsidR="00853D44" w:rsidRPr="00E471F9">
        <w:rPr>
          <w:rFonts w:cs="Times New Roman"/>
        </w:rPr>
        <w:t>of the</w:t>
      </w:r>
      <w:r w:rsidR="00DA647D" w:rsidRPr="00E471F9">
        <w:rPr>
          <w:rFonts w:cs="Times New Roman"/>
        </w:rPr>
        <w:t xml:space="preserve"> requirements </w:t>
      </w:r>
      <w:r w:rsidR="00986C27" w:rsidRPr="00E471F9">
        <w:rPr>
          <w:rFonts w:cs="Times New Roman"/>
        </w:rPr>
        <w:t>rule 60(4)</w:t>
      </w:r>
      <w:r w:rsidR="00DA647D" w:rsidRPr="00E471F9">
        <w:rPr>
          <w:rFonts w:cs="Times New Roman"/>
        </w:rPr>
        <w:t xml:space="preserve"> by the first respondent.</w:t>
      </w:r>
    </w:p>
    <w:p w:rsidR="00E471F9" w:rsidRDefault="00E471F9" w:rsidP="00E471F9">
      <w:pPr>
        <w:spacing w:line="360" w:lineRule="auto"/>
        <w:jc w:val="both"/>
        <w:rPr>
          <w:rFonts w:cs="Times New Roman"/>
          <w:b/>
        </w:rPr>
      </w:pPr>
    </w:p>
    <w:p w:rsidR="00F41052" w:rsidRPr="00E471F9" w:rsidRDefault="00853D44" w:rsidP="00E471F9">
      <w:pPr>
        <w:spacing w:line="360" w:lineRule="auto"/>
        <w:jc w:val="both"/>
        <w:rPr>
          <w:rFonts w:cs="Times New Roman"/>
          <w:b/>
        </w:rPr>
      </w:pPr>
      <w:r w:rsidRPr="00E471F9">
        <w:rPr>
          <w:rFonts w:cs="Times New Roman"/>
          <w:b/>
        </w:rPr>
        <w:t>Issues</w:t>
      </w:r>
      <w:r w:rsidR="00F41052" w:rsidRPr="00E471F9">
        <w:rPr>
          <w:rFonts w:cs="Times New Roman"/>
          <w:b/>
        </w:rPr>
        <w:t xml:space="preserve"> </w:t>
      </w:r>
    </w:p>
    <w:p w:rsidR="00986C27" w:rsidRPr="00E471F9" w:rsidRDefault="0057605F" w:rsidP="00E471F9">
      <w:pPr>
        <w:spacing w:line="360" w:lineRule="auto"/>
        <w:jc w:val="both"/>
        <w:rPr>
          <w:rFonts w:cs="Times New Roman"/>
        </w:rPr>
      </w:pPr>
      <w:r w:rsidRPr="00E471F9">
        <w:rPr>
          <w:rFonts w:cs="Times New Roman"/>
        </w:rPr>
        <w:t xml:space="preserve"> </w:t>
      </w:r>
      <w:r w:rsidR="00E471F9">
        <w:rPr>
          <w:rFonts w:cs="Times New Roman"/>
        </w:rPr>
        <w:tab/>
      </w:r>
      <w:r w:rsidRPr="00E471F9">
        <w:rPr>
          <w:rFonts w:cs="Times New Roman"/>
        </w:rPr>
        <w:t>Emerging from the above facts, are two issues, whether or not the maligned judgement or order of the 17</w:t>
      </w:r>
      <w:r w:rsidRPr="00E471F9">
        <w:rPr>
          <w:rFonts w:cs="Times New Roman"/>
          <w:vertAlign w:val="superscript"/>
        </w:rPr>
        <w:t>th</w:t>
      </w:r>
      <w:r w:rsidRPr="00E471F9">
        <w:rPr>
          <w:rFonts w:cs="Times New Roman"/>
        </w:rPr>
        <w:t xml:space="preserve"> of June, 2022 in case HC2502/22, was granted in error warranting rescission in terms of rule 29(1) (a)? W</w:t>
      </w:r>
      <w:r w:rsidR="00795777" w:rsidRPr="00E471F9">
        <w:rPr>
          <w:rFonts w:cs="Times New Roman"/>
        </w:rPr>
        <w:t>hether or not the trial court erred in granting the order sought in an application which was not accompanied by a certificate specified in rul4 60(4)(b)</w:t>
      </w:r>
      <w:r w:rsidRPr="00E471F9">
        <w:rPr>
          <w:rFonts w:cs="Times New Roman"/>
        </w:rPr>
        <w:t>?</w:t>
      </w:r>
    </w:p>
    <w:p w:rsidR="0057605F" w:rsidRPr="00E471F9" w:rsidRDefault="0057605F" w:rsidP="00E471F9">
      <w:pPr>
        <w:spacing w:line="360" w:lineRule="auto"/>
        <w:jc w:val="both"/>
        <w:rPr>
          <w:rFonts w:cs="Times New Roman"/>
          <w:b/>
        </w:rPr>
      </w:pPr>
    </w:p>
    <w:p w:rsidR="00DA647D" w:rsidRPr="00E471F9" w:rsidRDefault="00853D44" w:rsidP="00E471F9">
      <w:pPr>
        <w:spacing w:line="360" w:lineRule="auto"/>
        <w:jc w:val="both"/>
        <w:rPr>
          <w:rFonts w:cs="Times New Roman"/>
          <w:b/>
        </w:rPr>
      </w:pPr>
      <w:r w:rsidRPr="00E471F9">
        <w:rPr>
          <w:rFonts w:cs="Times New Roman"/>
          <w:b/>
        </w:rPr>
        <w:t>Synthesis of facts, law and evidence</w:t>
      </w:r>
    </w:p>
    <w:p w:rsidR="00B50F32" w:rsidRPr="00E471F9" w:rsidRDefault="00795777" w:rsidP="00E471F9">
      <w:pPr>
        <w:spacing w:line="360" w:lineRule="auto"/>
        <w:ind w:firstLine="360"/>
        <w:jc w:val="both"/>
        <w:rPr>
          <w:rFonts w:cs="Times New Roman"/>
        </w:rPr>
      </w:pPr>
      <w:r w:rsidRPr="00E471F9">
        <w:rPr>
          <w:rFonts w:cs="Times New Roman"/>
        </w:rPr>
        <w:t>As a starting point, r</w:t>
      </w:r>
      <w:r w:rsidR="00822184" w:rsidRPr="00E471F9">
        <w:rPr>
          <w:rFonts w:cs="Times New Roman"/>
        </w:rPr>
        <w:t>ule 29(1)(a) of the 2021 High Court rules reads:</w:t>
      </w:r>
    </w:p>
    <w:p w:rsidR="00473FF9" w:rsidRPr="00E471F9" w:rsidRDefault="00473FF9" w:rsidP="00E471F9">
      <w:pPr>
        <w:pStyle w:val="ListParagraph"/>
        <w:numPr>
          <w:ilvl w:val="0"/>
          <w:numId w:val="1"/>
        </w:numPr>
        <w:spacing w:line="360" w:lineRule="auto"/>
        <w:jc w:val="both"/>
        <w:rPr>
          <w:rFonts w:cs="Times New Roman"/>
          <w:szCs w:val="24"/>
        </w:rPr>
      </w:pPr>
      <w:r w:rsidRPr="00E471F9">
        <w:rPr>
          <w:rFonts w:cs="Times New Roman"/>
          <w:szCs w:val="24"/>
        </w:rPr>
        <w:t>The court or judge may, in addition to any other powers it or he or she may have, on its own initiative or upon the application of any affected party, correct, rescind or vary-</w:t>
      </w:r>
    </w:p>
    <w:p w:rsidR="00473FF9" w:rsidRPr="00E471F9" w:rsidRDefault="00473FF9" w:rsidP="00E471F9">
      <w:pPr>
        <w:pStyle w:val="ListParagraph"/>
        <w:numPr>
          <w:ilvl w:val="0"/>
          <w:numId w:val="2"/>
        </w:numPr>
        <w:spacing w:line="360" w:lineRule="auto"/>
        <w:jc w:val="both"/>
        <w:rPr>
          <w:rFonts w:cs="Times New Roman"/>
          <w:szCs w:val="24"/>
        </w:rPr>
      </w:pPr>
      <w:r w:rsidRPr="00E471F9">
        <w:rPr>
          <w:rFonts w:cs="Times New Roman"/>
          <w:szCs w:val="24"/>
        </w:rPr>
        <w:t xml:space="preserve">An order or judgment erroneously sought or erroneously granted in the absence of any party affected thereby; or </w:t>
      </w:r>
    </w:p>
    <w:p w:rsidR="00473FF9" w:rsidRPr="00E471F9" w:rsidRDefault="00473FF9" w:rsidP="00E471F9">
      <w:pPr>
        <w:pStyle w:val="ListParagraph"/>
        <w:numPr>
          <w:ilvl w:val="0"/>
          <w:numId w:val="2"/>
        </w:numPr>
        <w:spacing w:line="360" w:lineRule="auto"/>
        <w:jc w:val="both"/>
        <w:rPr>
          <w:rFonts w:cs="Times New Roman"/>
          <w:szCs w:val="24"/>
        </w:rPr>
      </w:pPr>
      <w:r w:rsidRPr="00E471F9">
        <w:rPr>
          <w:rFonts w:cs="Times New Roman"/>
          <w:szCs w:val="24"/>
        </w:rPr>
        <w:t>An order or judgment in which there is an ambiguity or patent error or omission, but only to the extent of the such ambiguity, error or omission; or</w:t>
      </w:r>
    </w:p>
    <w:p w:rsidR="00B50F32" w:rsidRPr="00E471F9" w:rsidRDefault="00473FF9" w:rsidP="00E471F9">
      <w:pPr>
        <w:pStyle w:val="ListParagraph"/>
        <w:numPr>
          <w:ilvl w:val="0"/>
          <w:numId w:val="2"/>
        </w:numPr>
        <w:spacing w:line="360" w:lineRule="auto"/>
        <w:jc w:val="both"/>
        <w:rPr>
          <w:rFonts w:cs="Times New Roman"/>
          <w:szCs w:val="24"/>
        </w:rPr>
      </w:pPr>
      <w:r w:rsidRPr="00E471F9">
        <w:rPr>
          <w:rFonts w:cs="Times New Roman"/>
          <w:szCs w:val="24"/>
        </w:rPr>
        <w:t>An order or judgment granted</w:t>
      </w:r>
      <w:r w:rsidR="00031DF3" w:rsidRPr="00E471F9">
        <w:rPr>
          <w:rFonts w:cs="Times New Roman"/>
          <w:szCs w:val="24"/>
        </w:rPr>
        <w:t xml:space="preserve"> as a result of a mistake common to the parties.</w:t>
      </w:r>
      <w:r w:rsidRPr="00E471F9">
        <w:rPr>
          <w:rFonts w:cs="Times New Roman"/>
          <w:szCs w:val="24"/>
        </w:rPr>
        <w:t xml:space="preserve"> </w:t>
      </w:r>
    </w:p>
    <w:p w:rsidR="0057605F" w:rsidRPr="00E471F9" w:rsidRDefault="0057605F" w:rsidP="00E471F9">
      <w:pPr>
        <w:spacing w:line="360" w:lineRule="auto"/>
        <w:jc w:val="both"/>
        <w:rPr>
          <w:rFonts w:cs="Times New Roman"/>
        </w:rPr>
      </w:pPr>
    </w:p>
    <w:p w:rsidR="00B50F32" w:rsidRPr="00E471F9" w:rsidRDefault="00031DF3" w:rsidP="00E471F9">
      <w:pPr>
        <w:spacing w:line="360" w:lineRule="auto"/>
        <w:ind w:left="709"/>
        <w:jc w:val="both"/>
        <w:rPr>
          <w:rFonts w:cs="Times New Roman"/>
        </w:rPr>
      </w:pPr>
      <w:r w:rsidRPr="00E471F9">
        <w:rPr>
          <w:rFonts w:cs="Times New Roman"/>
        </w:rPr>
        <w:t>In examining</w:t>
      </w:r>
      <w:r w:rsidR="00986C27" w:rsidRPr="00E471F9">
        <w:rPr>
          <w:rFonts w:cs="Times New Roman"/>
        </w:rPr>
        <w:t xml:space="preserve"> the above factors</w:t>
      </w:r>
      <w:r w:rsidR="00276E69" w:rsidRPr="00E471F9">
        <w:rPr>
          <w:rFonts w:cs="Times New Roman"/>
        </w:rPr>
        <w:t>,</w:t>
      </w:r>
      <w:r w:rsidR="00986C27" w:rsidRPr="00E471F9">
        <w:rPr>
          <w:rFonts w:cs="Times New Roman"/>
        </w:rPr>
        <w:t xml:space="preserve"> the applicant’s application is </w:t>
      </w:r>
      <w:r w:rsidRPr="00E471F9">
        <w:rPr>
          <w:rFonts w:cs="Times New Roman"/>
        </w:rPr>
        <w:t>specifically in</w:t>
      </w:r>
      <w:r w:rsidR="00986C27" w:rsidRPr="00E471F9">
        <w:rPr>
          <w:rFonts w:cs="Times New Roman"/>
        </w:rPr>
        <w:t xml:space="preserve"> terms </w:t>
      </w:r>
      <w:r w:rsidRPr="00E471F9">
        <w:rPr>
          <w:rFonts w:cs="Times New Roman"/>
        </w:rPr>
        <w:t>of rule 29(1) (a)</w:t>
      </w:r>
      <w:r w:rsidR="00A56B15" w:rsidRPr="00E471F9">
        <w:rPr>
          <w:rFonts w:cs="Times New Roman"/>
        </w:rPr>
        <w:t xml:space="preserve">, </w:t>
      </w:r>
      <w:r w:rsidRPr="00E471F9">
        <w:rPr>
          <w:rFonts w:cs="Times New Roman"/>
        </w:rPr>
        <w:t>which relates to the correction or rescission of</w:t>
      </w:r>
      <w:r w:rsidR="00822184" w:rsidRPr="00E471F9">
        <w:rPr>
          <w:rFonts w:cs="Times New Roman"/>
        </w:rPr>
        <w:t xml:space="preserve"> an </w:t>
      </w:r>
      <w:r w:rsidRPr="00E471F9">
        <w:rPr>
          <w:rFonts w:cs="Times New Roman"/>
        </w:rPr>
        <w:t>order erroneously</w:t>
      </w:r>
      <w:r w:rsidR="00822184" w:rsidRPr="00E471F9">
        <w:rPr>
          <w:rFonts w:cs="Times New Roman"/>
        </w:rPr>
        <w:t xml:space="preserve"> sought or ordered in the absence of any party</w:t>
      </w:r>
      <w:r w:rsidRPr="00E471F9">
        <w:rPr>
          <w:rFonts w:cs="Times New Roman"/>
        </w:rPr>
        <w:t>.</w:t>
      </w:r>
      <w:r w:rsidR="00276E69" w:rsidRPr="00E471F9">
        <w:rPr>
          <w:rFonts w:cs="Times New Roman"/>
        </w:rPr>
        <w:t xml:space="preserve"> </w:t>
      </w:r>
      <w:r w:rsidR="00822184" w:rsidRPr="00E471F9">
        <w:rPr>
          <w:rFonts w:cs="Times New Roman"/>
        </w:rPr>
        <w:t>In the present case, can it be safely concluded that the order was granted in the absence of the applicant</w:t>
      </w:r>
      <w:r w:rsidRPr="00E471F9">
        <w:rPr>
          <w:rFonts w:cs="Times New Roman"/>
        </w:rPr>
        <w:t xml:space="preserve"> especially in the face of their admitted waiver of their right to notice in terms of their Deed of settlement</w:t>
      </w:r>
      <w:r w:rsidR="00276E69" w:rsidRPr="00E471F9">
        <w:rPr>
          <w:rFonts w:cs="Times New Roman"/>
        </w:rPr>
        <w:t xml:space="preserve">? </w:t>
      </w:r>
      <w:r w:rsidRPr="00E471F9">
        <w:rPr>
          <w:rFonts w:cs="Times New Roman"/>
        </w:rPr>
        <w:t>In their answering affidavit they actually acknowledge this position but in their heads of argument and oral submission they are reneging from such a glaring fact and their own admissions. P</w:t>
      </w:r>
      <w:r w:rsidR="00822184" w:rsidRPr="00E471F9">
        <w:rPr>
          <w:rFonts w:cs="Times New Roman"/>
        </w:rPr>
        <w:t xml:space="preserve">aragraph 5 </w:t>
      </w:r>
      <w:r w:rsidRPr="00E471F9">
        <w:rPr>
          <w:rFonts w:cs="Times New Roman"/>
        </w:rPr>
        <w:t>of the applicant’s answering affidavit states</w:t>
      </w:r>
      <w:r w:rsidR="00822184" w:rsidRPr="00E471F9">
        <w:rPr>
          <w:rFonts w:cs="Times New Roman"/>
        </w:rPr>
        <w:t>,</w:t>
      </w:r>
    </w:p>
    <w:p w:rsidR="003A2E1D" w:rsidRPr="00E471F9" w:rsidRDefault="00822184" w:rsidP="00A602F4">
      <w:pPr>
        <w:spacing w:line="360" w:lineRule="auto"/>
        <w:ind w:firstLine="709"/>
        <w:jc w:val="both"/>
        <w:rPr>
          <w:rFonts w:cs="Times New Roman"/>
        </w:rPr>
      </w:pPr>
      <w:r w:rsidRPr="00E471F9">
        <w:rPr>
          <w:rFonts w:cs="Times New Roman"/>
        </w:rPr>
        <w:lastRenderedPageBreak/>
        <w:t>‘</w:t>
      </w:r>
      <w:r w:rsidR="00276E69" w:rsidRPr="00E471F9">
        <w:rPr>
          <w:rFonts w:cs="Times New Roman"/>
        </w:rPr>
        <w:t>T</w:t>
      </w:r>
      <w:r w:rsidRPr="00E471F9">
        <w:rPr>
          <w:rFonts w:cs="Times New Roman"/>
        </w:rPr>
        <w:t>he gravamen of my complaint is not that i</w:t>
      </w:r>
      <w:r w:rsidR="00276E69" w:rsidRPr="00E471F9">
        <w:rPr>
          <w:rFonts w:cs="Times New Roman"/>
        </w:rPr>
        <w:t>t</w:t>
      </w:r>
      <w:r w:rsidRPr="00E471F9">
        <w:rPr>
          <w:rFonts w:cs="Times New Roman"/>
        </w:rPr>
        <w:t xml:space="preserve"> was not served with the </w:t>
      </w:r>
      <w:r w:rsidR="00276E69" w:rsidRPr="00E471F9">
        <w:rPr>
          <w:rFonts w:cs="Times New Roman"/>
        </w:rPr>
        <w:t>C</w:t>
      </w:r>
      <w:r w:rsidRPr="00E471F9">
        <w:rPr>
          <w:rFonts w:cs="Times New Roman"/>
        </w:rPr>
        <w:t xml:space="preserve">hamber application under case number HC2302/22, as it is common course that, in </w:t>
      </w:r>
      <w:r w:rsidR="00276E69" w:rsidRPr="00E471F9">
        <w:rPr>
          <w:rFonts w:cs="Times New Roman"/>
        </w:rPr>
        <w:t>ter</w:t>
      </w:r>
      <w:r w:rsidRPr="00E471F9">
        <w:rPr>
          <w:rFonts w:cs="Times New Roman"/>
        </w:rPr>
        <w:t xml:space="preserve">ms of the </w:t>
      </w:r>
      <w:r w:rsidR="00276E69" w:rsidRPr="00E471F9">
        <w:rPr>
          <w:rFonts w:cs="Times New Roman"/>
        </w:rPr>
        <w:t>D</w:t>
      </w:r>
      <w:r w:rsidRPr="00E471F9">
        <w:rPr>
          <w:rFonts w:cs="Times New Roman"/>
        </w:rPr>
        <w:t>eed of settlement between the first respondent and myself, I was not entitled to be served with such court process.’</w:t>
      </w:r>
      <w:r w:rsidR="00DA647D" w:rsidRPr="00E471F9">
        <w:rPr>
          <w:rFonts w:cs="Times New Roman"/>
        </w:rPr>
        <w:t xml:space="preserve"> </w:t>
      </w:r>
    </w:p>
    <w:p w:rsidR="003A2E1D" w:rsidRPr="00E471F9" w:rsidRDefault="003A2E1D" w:rsidP="00E471F9">
      <w:pPr>
        <w:spacing w:line="360" w:lineRule="auto"/>
        <w:jc w:val="both"/>
        <w:rPr>
          <w:rFonts w:cs="Times New Roman"/>
        </w:rPr>
      </w:pPr>
    </w:p>
    <w:p w:rsidR="000978DB" w:rsidRPr="00E471F9" w:rsidRDefault="00031DF3" w:rsidP="00A602F4">
      <w:pPr>
        <w:spacing w:line="360" w:lineRule="auto"/>
        <w:ind w:firstLine="709"/>
        <w:jc w:val="both"/>
        <w:rPr>
          <w:rFonts w:cs="Times New Roman"/>
          <w:i/>
        </w:rPr>
      </w:pPr>
      <w:r w:rsidRPr="00E471F9">
        <w:rPr>
          <w:rFonts w:cs="Times New Roman"/>
        </w:rPr>
        <w:t>T</w:t>
      </w:r>
      <w:r w:rsidR="00822184" w:rsidRPr="00E471F9">
        <w:rPr>
          <w:rFonts w:cs="Times New Roman"/>
        </w:rPr>
        <w:t xml:space="preserve">his is a clear admission by the applicant that their absence was sanctioned by their waiver borne in the stated </w:t>
      </w:r>
      <w:r w:rsidR="00276E69" w:rsidRPr="00E471F9">
        <w:rPr>
          <w:rFonts w:cs="Times New Roman"/>
        </w:rPr>
        <w:t>D</w:t>
      </w:r>
      <w:r w:rsidR="00822184" w:rsidRPr="00E471F9">
        <w:rPr>
          <w:rFonts w:cs="Times New Roman"/>
        </w:rPr>
        <w:t xml:space="preserve">eed of settlement. </w:t>
      </w:r>
      <w:r w:rsidR="00EB0C58" w:rsidRPr="00E471F9">
        <w:rPr>
          <w:rFonts w:cs="Times New Roman"/>
        </w:rPr>
        <w:t>Notably, this</w:t>
      </w:r>
      <w:r w:rsidRPr="00E471F9">
        <w:rPr>
          <w:rFonts w:cs="Times New Roman"/>
        </w:rPr>
        <w:t xml:space="preserve"> is a</w:t>
      </w:r>
      <w:r w:rsidR="00482ECC" w:rsidRPr="00E471F9">
        <w:rPr>
          <w:rFonts w:cs="Times New Roman"/>
        </w:rPr>
        <w:t xml:space="preserve"> legally binding</w:t>
      </w:r>
      <w:r w:rsidRPr="00E471F9">
        <w:rPr>
          <w:rFonts w:cs="Times New Roman"/>
        </w:rPr>
        <w:t xml:space="preserve"> contract</w:t>
      </w:r>
      <w:r w:rsidR="00482ECC" w:rsidRPr="00E471F9">
        <w:rPr>
          <w:rFonts w:cs="Times New Roman"/>
        </w:rPr>
        <w:t xml:space="preserve"> which they consciously and voluntarily entered into.</w:t>
      </w:r>
      <w:r w:rsidR="000978DB" w:rsidRPr="00E471F9">
        <w:rPr>
          <w:rFonts w:cs="Times New Roman"/>
        </w:rPr>
        <w:t xml:space="preserve"> See, </w:t>
      </w:r>
      <w:r w:rsidR="000978DB" w:rsidRPr="00E471F9">
        <w:rPr>
          <w:rFonts w:cs="Times New Roman"/>
          <w:i/>
        </w:rPr>
        <w:t>Mining Industry Pension Fund v DAB Marketing (Pvt) (Ltd) 2012 ZLR132(S).</w:t>
      </w:r>
    </w:p>
    <w:p w:rsidR="000978DB" w:rsidRPr="00E471F9" w:rsidRDefault="000978DB" w:rsidP="00E471F9">
      <w:pPr>
        <w:spacing w:line="360" w:lineRule="auto"/>
        <w:jc w:val="both"/>
        <w:rPr>
          <w:rFonts w:cs="Times New Roman"/>
        </w:rPr>
      </w:pPr>
    </w:p>
    <w:p w:rsidR="00DA647D" w:rsidRPr="00E471F9" w:rsidRDefault="00482ECC" w:rsidP="00A602F4">
      <w:pPr>
        <w:spacing w:line="360" w:lineRule="auto"/>
        <w:ind w:firstLine="709"/>
        <w:jc w:val="both"/>
        <w:rPr>
          <w:rFonts w:cs="Times New Roman"/>
        </w:rPr>
      </w:pPr>
      <w:r w:rsidRPr="00E471F9">
        <w:rPr>
          <w:rFonts w:cs="Times New Roman"/>
        </w:rPr>
        <w:t xml:space="preserve"> </w:t>
      </w:r>
      <w:r w:rsidR="00EB0C58" w:rsidRPr="00E471F9">
        <w:rPr>
          <w:rFonts w:cs="Times New Roman"/>
        </w:rPr>
        <w:t>In,</w:t>
      </w:r>
      <w:r w:rsidRPr="00E471F9">
        <w:rPr>
          <w:rFonts w:cs="Times New Roman"/>
        </w:rPr>
        <w:t xml:space="preserve"> </w:t>
      </w:r>
      <w:r w:rsidRPr="00E471F9">
        <w:rPr>
          <w:rFonts w:cs="Times New Roman"/>
          <w:i/>
        </w:rPr>
        <w:t>Firstel (Pvt</w:t>
      </w:r>
      <w:r w:rsidR="00EB0C58" w:rsidRPr="00E471F9">
        <w:rPr>
          <w:rFonts w:cs="Times New Roman"/>
          <w:i/>
        </w:rPr>
        <w:t>)</w:t>
      </w:r>
      <w:r w:rsidR="00853D44" w:rsidRPr="00E471F9">
        <w:rPr>
          <w:rFonts w:cs="Times New Roman"/>
          <w:i/>
        </w:rPr>
        <w:t>Ltd,</w:t>
      </w:r>
      <w:r w:rsidR="00EB0C58" w:rsidRPr="00E471F9">
        <w:rPr>
          <w:rFonts w:cs="Times New Roman"/>
          <w:i/>
        </w:rPr>
        <w:t xml:space="preserve"> v Net One cellular (Pvt) Ltd,</w:t>
      </w:r>
      <w:r w:rsidR="00EB0C58" w:rsidRPr="00E471F9">
        <w:rPr>
          <w:rFonts w:cs="Times New Roman"/>
        </w:rPr>
        <w:t xml:space="preserve"> SC1/15, it was highlighted that, “It is trite </w:t>
      </w:r>
      <w:r w:rsidR="00853D44" w:rsidRPr="00E471F9">
        <w:rPr>
          <w:rFonts w:cs="Times New Roman"/>
        </w:rPr>
        <w:t>that courts</w:t>
      </w:r>
      <w:r w:rsidR="00EB0C58" w:rsidRPr="00E471F9">
        <w:rPr>
          <w:rFonts w:cs="Times New Roman"/>
        </w:rPr>
        <w:t xml:space="preserve"> will be astute not to exonerate a party from performing its obligations under a contract it has voluntarily entered into at </w:t>
      </w:r>
      <w:r w:rsidR="00853D44" w:rsidRPr="00E471F9">
        <w:rPr>
          <w:rFonts w:cs="Times New Roman"/>
        </w:rPr>
        <w:t>arm’s length</w:t>
      </w:r>
      <w:r w:rsidR="00EB0C58" w:rsidRPr="00E471F9">
        <w:rPr>
          <w:rFonts w:cs="Times New Roman"/>
        </w:rPr>
        <w:t xml:space="preserve">.’ See, </w:t>
      </w:r>
      <w:r w:rsidR="00EB0C58" w:rsidRPr="00E471F9">
        <w:rPr>
          <w:rFonts w:cs="Times New Roman"/>
          <w:i/>
        </w:rPr>
        <w:t>Watergate (Pvt) Ltd v Commercial Bank of Zimbabwe 2006(1) ZLR 9 (S).</w:t>
      </w:r>
      <w:r w:rsidR="000978DB" w:rsidRPr="00E471F9">
        <w:rPr>
          <w:rFonts w:cs="Times New Roman"/>
        </w:rPr>
        <w:t xml:space="preserve"> In that regard, in as much as the consequences may be harsh a party is bound by their contractual terms. The court’s hands are tied by what the parties agreed to in the circumstances of this case.</w:t>
      </w:r>
    </w:p>
    <w:p w:rsidR="00DA647D" w:rsidRPr="00E471F9" w:rsidRDefault="00DA647D" w:rsidP="00E471F9">
      <w:pPr>
        <w:spacing w:line="360" w:lineRule="auto"/>
        <w:jc w:val="both"/>
        <w:rPr>
          <w:rFonts w:cs="Times New Roman"/>
        </w:rPr>
      </w:pPr>
    </w:p>
    <w:p w:rsidR="00391E3C" w:rsidRPr="00E471F9" w:rsidRDefault="00EB0C58" w:rsidP="00A602F4">
      <w:pPr>
        <w:spacing w:line="360" w:lineRule="auto"/>
        <w:ind w:firstLine="709"/>
        <w:jc w:val="both"/>
        <w:rPr>
          <w:rFonts w:cs="Times New Roman"/>
        </w:rPr>
      </w:pPr>
      <w:r w:rsidRPr="00E471F9">
        <w:rPr>
          <w:rFonts w:cs="Times New Roman"/>
        </w:rPr>
        <w:t xml:space="preserve">Upon further evaluation, </w:t>
      </w:r>
      <w:r w:rsidR="00822184" w:rsidRPr="00E471F9">
        <w:rPr>
          <w:rFonts w:cs="Times New Roman"/>
        </w:rPr>
        <w:t>Rule 60(3) which is the rule governing chamber applications</w:t>
      </w:r>
      <w:r w:rsidR="00376545" w:rsidRPr="00E471F9">
        <w:rPr>
          <w:rFonts w:cs="Times New Roman"/>
        </w:rPr>
        <w:t xml:space="preserve">, </w:t>
      </w:r>
      <w:r w:rsidR="00822184" w:rsidRPr="00E471F9">
        <w:rPr>
          <w:rFonts w:cs="Times New Roman"/>
        </w:rPr>
        <w:t xml:space="preserve">specifically mentions that, a chamber application shall be served on all interested parties unless the defendant or respondent, as the case may be, has previously had due notice of the order sought and is in default. The </w:t>
      </w:r>
      <w:r w:rsidR="00DA647D" w:rsidRPr="00E471F9">
        <w:rPr>
          <w:rFonts w:cs="Times New Roman"/>
        </w:rPr>
        <w:t>notice being</w:t>
      </w:r>
      <w:r w:rsidR="00822184" w:rsidRPr="00E471F9">
        <w:rPr>
          <w:rFonts w:cs="Times New Roman"/>
        </w:rPr>
        <w:t xml:space="preserve"> referred to in rule 60(3) is the notice that was waived by the applicant in terms of</w:t>
      </w:r>
      <w:r w:rsidR="00376545" w:rsidRPr="00E471F9">
        <w:rPr>
          <w:rFonts w:cs="Times New Roman"/>
        </w:rPr>
        <w:t xml:space="preserve"> the Deed of settlement.</w:t>
      </w:r>
    </w:p>
    <w:p w:rsidR="00391E3C" w:rsidRPr="00E471F9" w:rsidRDefault="00391E3C" w:rsidP="00E471F9">
      <w:pPr>
        <w:spacing w:line="360" w:lineRule="auto"/>
        <w:jc w:val="both"/>
        <w:rPr>
          <w:rFonts w:cs="Times New Roman"/>
        </w:rPr>
      </w:pPr>
    </w:p>
    <w:p w:rsidR="00376545" w:rsidRPr="00E471F9" w:rsidRDefault="00376545" w:rsidP="00A602F4">
      <w:pPr>
        <w:spacing w:line="360" w:lineRule="auto"/>
        <w:ind w:firstLine="709"/>
        <w:jc w:val="both"/>
        <w:rPr>
          <w:rFonts w:cs="Times New Roman"/>
        </w:rPr>
      </w:pPr>
      <w:r w:rsidRPr="00E471F9">
        <w:rPr>
          <w:rFonts w:cs="Times New Roman"/>
        </w:rPr>
        <w:t>Rule 60(</w:t>
      </w:r>
      <w:r w:rsidR="00853D44" w:rsidRPr="00E471F9">
        <w:rPr>
          <w:rFonts w:cs="Times New Roman"/>
        </w:rPr>
        <w:t>3) (</w:t>
      </w:r>
      <w:r w:rsidRPr="00E471F9">
        <w:rPr>
          <w:rFonts w:cs="Times New Roman"/>
        </w:rPr>
        <w:t xml:space="preserve">a -e) also outlines </w:t>
      </w:r>
      <w:r w:rsidR="00853D44" w:rsidRPr="00E471F9">
        <w:rPr>
          <w:rFonts w:cs="Times New Roman"/>
        </w:rPr>
        <w:t>instances which</w:t>
      </w:r>
      <w:r w:rsidRPr="00E471F9">
        <w:rPr>
          <w:rFonts w:cs="Times New Roman"/>
        </w:rPr>
        <w:t xml:space="preserve"> exonerates an applicant from giving such notice to all interested parties.</w:t>
      </w:r>
      <w:r w:rsidR="00391E3C" w:rsidRPr="00E471F9">
        <w:rPr>
          <w:rFonts w:cs="Times New Roman"/>
        </w:rPr>
        <w:t xml:space="preserve"> </w:t>
      </w:r>
      <w:r w:rsidRPr="00E471F9">
        <w:rPr>
          <w:rFonts w:cs="Times New Roman"/>
        </w:rPr>
        <w:t xml:space="preserve">In </w:t>
      </w:r>
      <w:r w:rsidRPr="00E471F9">
        <w:rPr>
          <w:rFonts w:cs="Times New Roman"/>
          <w:i/>
        </w:rPr>
        <w:t xml:space="preserve">casu, </w:t>
      </w:r>
      <w:r w:rsidRPr="00E471F9">
        <w:rPr>
          <w:rFonts w:cs="Times New Roman"/>
        </w:rPr>
        <w:t>it is o</w:t>
      </w:r>
      <w:r w:rsidR="00CF4368" w:rsidRPr="00E471F9">
        <w:rPr>
          <w:rFonts w:cs="Times New Roman"/>
        </w:rPr>
        <w:t>bvious, that t</w:t>
      </w:r>
      <w:r w:rsidR="00822184" w:rsidRPr="00E471F9">
        <w:rPr>
          <w:rFonts w:cs="Times New Roman"/>
        </w:rPr>
        <w:t xml:space="preserve">he said </w:t>
      </w:r>
      <w:r w:rsidR="00795777" w:rsidRPr="00E471F9">
        <w:rPr>
          <w:rFonts w:cs="Times New Roman"/>
        </w:rPr>
        <w:t>c</w:t>
      </w:r>
      <w:r w:rsidR="00822184" w:rsidRPr="00E471F9">
        <w:rPr>
          <w:rFonts w:cs="Times New Roman"/>
        </w:rPr>
        <w:t xml:space="preserve">hamber application was for the registration of the </w:t>
      </w:r>
      <w:r w:rsidR="00CF4368" w:rsidRPr="00E471F9">
        <w:rPr>
          <w:rFonts w:cs="Times New Roman"/>
        </w:rPr>
        <w:t>D</w:t>
      </w:r>
      <w:r w:rsidR="00822184" w:rsidRPr="00E471F9">
        <w:rPr>
          <w:rFonts w:cs="Times New Roman"/>
        </w:rPr>
        <w:t>eed of settlement</w:t>
      </w:r>
      <w:r w:rsidR="00CF4368" w:rsidRPr="00E471F9">
        <w:rPr>
          <w:rFonts w:cs="Times New Roman"/>
        </w:rPr>
        <w:t xml:space="preserve"> as provided in</w:t>
      </w:r>
      <w:r w:rsidR="00822184" w:rsidRPr="00E471F9">
        <w:rPr>
          <w:rFonts w:cs="Times New Roman"/>
        </w:rPr>
        <w:t xml:space="preserve"> Clause </w:t>
      </w:r>
      <w:r w:rsidR="00853D44" w:rsidRPr="00E471F9">
        <w:rPr>
          <w:rFonts w:cs="Times New Roman"/>
        </w:rPr>
        <w:t>4.3 which</w:t>
      </w:r>
      <w:r w:rsidR="00822184" w:rsidRPr="00E471F9">
        <w:rPr>
          <w:rFonts w:cs="Times New Roman"/>
        </w:rPr>
        <w:t xml:space="preserve"> reads</w:t>
      </w:r>
      <w:r w:rsidR="00795777" w:rsidRPr="00E471F9">
        <w:rPr>
          <w:rFonts w:cs="Times New Roman"/>
        </w:rPr>
        <w:t>,</w:t>
      </w:r>
    </w:p>
    <w:p w:rsidR="00B50F32" w:rsidRPr="00E471F9" w:rsidRDefault="00853D44" w:rsidP="00E471F9">
      <w:pPr>
        <w:spacing w:line="360" w:lineRule="auto"/>
        <w:jc w:val="both"/>
        <w:rPr>
          <w:rFonts w:cs="Times New Roman"/>
        </w:rPr>
      </w:pPr>
      <w:r w:rsidRPr="00E471F9">
        <w:rPr>
          <w:rFonts w:cs="Times New Roman"/>
        </w:rPr>
        <w:t>“In</w:t>
      </w:r>
      <w:r w:rsidR="00822184" w:rsidRPr="00E471F9">
        <w:rPr>
          <w:rFonts w:cs="Times New Roman"/>
        </w:rPr>
        <w:t xml:space="preserve"> the event of respondents default applicant shall be at large to obtain a consent order without notice to the respondent and issue a warrant of execution for the sums or costs due as at the </w:t>
      </w:r>
      <w:r w:rsidR="00CF4368" w:rsidRPr="00E471F9">
        <w:rPr>
          <w:rFonts w:cs="Times New Roman"/>
        </w:rPr>
        <w:t xml:space="preserve">date of the default in terms of the consent order”. </w:t>
      </w:r>
    </w:p>
    <w:p w:rsidR="00B50F32" w:rsidRPr="00E471F9" w:rsidRDefault="00B50F32" w:rsidP="00E471F9">
      <w:pPr>
        <w:spacing w:line="360" w:lineRule="auto"/>
        <w:jc w:val="both"/>
        <w:rPr>
          <w:rFonts w:cs="Times New Roman"/>
        </w:rPr>
      </w:pPr>
    </w:p>
    <w:p w:rsidR="00391E3C" w:rsidRPr="00E471F9" w:rsidRDefault="001D40B2" w:rsidP="00A602F4">
      <w:pPr>
        <w:spacing w:line="360" w:lineRule="auto"/>
        <w:ind w:firstLine="709"/>
        <w:jc w:val="both"/>
        <w:rPr>
          <w:rFonts w:cs="Times New Roman"/>
        </w:rPr>
      </w:pPr>
      <w:r w:rsidRPr="00E471F9">
        <w:rPr>
          <w:rFonts w:cs="Times New Roman"/>
        </w:rPr>
        <w:t>B</w:t>
      </w:r>
      <w:r w:rsidR="00822184" w:rsidRPr="00E471F9">
        <w:rPr>
          <w:rFonts w:cs="Times New Roman"/>
        </w:rPr>
        <w:t>y virtue of clause</w:t>
      </w:r>
      <w:r w:rsidR="00376545" w:rsidRPr="00E471F9">
        <w:rPr>
          <w:rFonts w:cs="Times New Roman"/>
        </w:rPr>
        <w:t xml:space="preserve"> 4.3 of the Deed of Settlement,</w:t>
      </w:r>
      <w:r w:rsidR="00822184" w:rsidRPr="00E471F9">
        <w:rPr>
          <w:rFonts w:cs="Times New Roman"/>
        </w:rPr>
        <w:t xml:space="preserve"> applicant nailed </w:t>
      </w:r>
      <w:r w:rsidR="00CF4368" w:rsidRPr="00E471F9">
        <w:rPr>
          <w:rFonts w:cs="Times New Roman"/>
        </w:rPr>
        <w:t>him</w:t>
      </w:r>
      <w:r w:rsidR="00822184" w:rsidRPr="00E471F9">
        <w:rPr>
          <w:rFonts w:cs="Times New Roman"/>
        </w:rPr>
        <w:t xml:space="preserve">self </w:t>
      </w:r>
      <w:r w:rsidR="00CF4368" w:rsidRPr="00E471F9">
        <w:rPr>
          <w:rFonts w:cs="Times New Roman"/>
        </w:rPr>
        <w:t>to</w:t>
      </w:r>
      <w:r w:rsidR="00822184" w:rsidRPr="00E471F9">
        <w:rPr>
          <w:rFonts w:cs="Times New Roman"/>
        </w:rPr>
        <w:t xml:space="preserve"> the mast.</w:t>
      </w:r>
      <w:r w:rsidRPr="00E471F9">
        <w:rPr>
          <w:rFonts w:cs="Times New Roman"/>
        </w:rPr>
        <w:t xml:space="preserve"> It is evident that t</w:t>
      </w:r>
      <w:r w:rsidR="00822184" w:rsidRPr="00E471F9">
        <w:rPr>
          <w:rFonts w:cs="Times New Roman"/>
        </w:rPr>
        <w:t xml:space="preserve">hey </w:t>
      </w:r>
      <w:r w:rsidR="00CF4368" w:rsidRPr="00E471F9">
        <w:rPr>
          <w:rFonts w:cs="Times New Roman"/>
        </w:rPr>
        <w:t>failed to</w:t>
      </w:r>
      <w:r w:rsidR="00822184" w:rsidRPr="00E471F9">
        <w:rPr>
          <w:rFonts w:cs="Times New Roman"/>
        </w:rPr>
        <w:t xml:space="preserve"> demonstrate that their situation qualifies under</w:t>
      </w:r>
      <w:r w:rsidR="00CF4368" w:rsidRPr="00E471F9">
        <w:rPr>
          <w:rFonts w:cs="Times New Roman"/>
        </w:rPr>
        <w:t xml:space="preserve"> rule 29(1)(a) which they consciously invoked as the violated provis</w:t>
      </w:r>
      <w:r w:rsidR="00017600" w:rsidRPr="00E471F9">
        <w:rPr>
          <w:rFonts w:cs="Times New Roman"/>
        </w:rPr>
        <w:t>ion</w:t>
      </w:r>
      <w:r w:rsidRPr="00E471F9">
        <w:rPr>
          <w:rFonts w:cs="Times New Roman"/>
        </w:rPr>
        <w:t>,</w:t>
      </w:r>
      <w:r w:rsidR="00017600" w:rsidRPr="00E471F9">
        <w:rPr>
          <w:rFonts w:cs="Times New Roman"/>
        </w:rPr>
        <w:t xml:space="preserve"> as they</w:t>
      </w:r>
      <w:r w:rsidRPr="00E471F9">
        <w:rPr>
          <w:rFonts w:cs="Times New Roman"/>
        </w:rPr>
        <w:t xml:space="preserve"> had contractually</w:t>
      </w:r>
      <w:r w:rsidR="00017600" w:rsidRPr="00E471F9">
        <w:rPr>
          <w:rFonts w:cs="Times New Roman"/>
        </w:rPr>
        <w:t xml:space="preserve"> consented to the course of action taken. Their situation does not fall under the default envisaged under </w:t>
      </w:r>
      <w:r w:rsidR="00822184" w:rsidRPr="00E471F9">
        <w:rPr>
          <w:rFonts w:cs="Times New Roman"/>
        </w:rPr>
        <w:t>that rule.</w:t>
      </w:r>
      <w:r w:rsidR="00017600" w:rsidRPr="00E471F9">
        <w:rPr>
          <w:rFonts w:cs="Times New Roman"/>
        </w:rPr>
        <w:t xml:space="preserve"> Therefore, if </w:t>
      </w:r>
      <w:r w:rsidR="00017600" w:rsidRPr="00E471F9">
        <w:rPr>
          <w:rFonts w:cs="Times New Roman"/>
        </w:rPr>
        <w:lastRenderedPageBreak/>
        <w:t>strict regard is given to this rule, as read in conjunction with rule 60(3), the applicant has no leg to stand on.</w:t>
      </w:r>
    </w:p>
    <w:p w:rsidR="00391E3C" w:rsidRPr="00E471F9" w:rsidRDefault="00391E3C" w:rsidP="00E471F9">
      <w:pPr>
        <w:spacing w:line="360" w:lineRule="auto"/>
        <w:jc w:val="both"/>
        <w:rPr>
          <w:rFonts w:cs="Times New Roman"/>
        </w:rPr>
      </w:pPr>
    </w:p>
    <w:p w:rsidR="00795777" w:rsidRPr="00E471F9" w:rsidRDefault="00A17362" w:rsidP="00E471F9">
      <w:pPr>
        <w:spacing w:line="360" w:lineRule="auto"/>
        <w:jc w:val="both"/>
        <w:rPr>
          <w:rFonts w:cs="Times New Roman"/>
        </w:rPr>
      </w:pPr>
      <w:r w:rsidRPr="00E471F9">
        <w:rPr>
          <w:rFonts w:cs="Times New Roman"/>
        </w:rPr>
        <w:t xml:space="preserve"> </w:t>
      </w:r>
      <w:r w:rsidR="00A602F4">
        <w:rPr>
          <w:rFonts w:cs="Times New Roman"/>
        </w:rPr>
        <w:tab/>
      </w:r>
      <w:r w:rsidR="001D40B2" w:rsidRPr="00E471F9">
        <w:rPr>
          <w:rFonts w:cs="Times New Roman"/>
        </w:rPr>
        <w:t xml:space="preserve">They chose to make their bed, expressly under rule 29(1)(a) at the exclusion of other sections within the ambit of that rule dealing with patent errors or omissions, so they must lie on it.  It is my finding that </w:t>
      </w:r>
      <w:r w:rsidR="00795777" w:rsidRPr="00E471F9">
        <w:rPr>
          <w:rFonts w:cs="Times New Roman"/>
        </w:rPr>
        <w:t>Applicant, though an interested party who tend to be affected by the order sought,</w:t>
      </w:r>
      <w:r w:rsidR="00795A17" w:rsidRPr="00E471F9">
        <w:rPr>
          <w:rFonts w:cs="Times New Roman"/>
        </w:rPr>
        <w:t xml:space="preserve"> </w:t>
      </w:r>
      <w:r w:rsidR="00795777" w:rsidRPr="00E471F9">
        <w:rPr>
          <w:rFonts w:cs="Times New Roman"/>
        </w:rPr>
        <w:t xml:space="preserve">waived his right to be given such notice </w:t>
      </w:r>
      <w:r w:rsidR="00795A17" w:rsidRPr="00E471F9">
        <w:rPr>
          <w:rFonts w:cs="Times New Roman"/>
        </w:rPr>
        <w:t>therefore there was no error as envisaged by the rule this application has been brought under.</w:t>
      </w:r>
      <w:r w:rsidR="00CA03A9" w:rsidRPr="00E471F9">
        <w:rPr>
          <w:rFonts w:cs="Times New Roman"/>
        </w:rPr>
        <w:t xml:space="preserve"> As such there is no violation of rule 29(1)(a). </w:t>
      </w:r>
      <w:r w:rsidR="00964243" w:rsidRPr="00E471F9">
        <w:rPr>
          <w:rFonts w:cs="Times New Roman"/>
        </w:rPr>
        <w:t>The impugned order does not qualify to be an order granted in default</w:t>
      </w:r>
      <w:r w:rsidR="002627B4" w:rsidRPr="00E471F9">
        <w:rPr>
          <w:rFonts w:cs="Times New Roman"/>
        </w:rPr>
        <w:t xml:space="preserve"> </w:t>
      </w:r>
      <w:r w:rsidR="002627B4" w:rsidRPr="00E471F9">
        <w:rPr>
          <w:rFonts w:cs="Times New Roman"/>
          <w:i/>
        </w:rPr>
        <w:t>perse</w:t>
      </w:r>
      <w:r w:rsidR="00964243" w:rsidRPr="00E471F9">
        <w:rPr>
          <w:rFonts w:cs="Times New Roman"/>
        </w:rPr>
        <w:t xml:space="preserve"> given the circumstances under which it was obtained as elucidated above.</w:t>
      </w:r>
      <w:r w:rsidR="008F014C" w:rsidRPr="00E471F9">
        <w:rPr>
          <w:rFonts w:cs="Times New Roman"/>
        </w:rPr>
        <w:t xml:space="preserve"> See, </w:t>
      </w:r>
      <w:r w:rsidR="008F014C" w:rsidRPr="00E471F9">
        <w:rPr>
          <w:rFonts w:cs="Times New Roman"/>
          <w:i/>
        </w:rPr>
        <w:t>Grantully (Pvt)Ltd and Another v Udc</w:t>
      </w:r>
      <w:r w:rsidR="008F014C" w:rsidRPr="00E471F9">
        <w:rPr>
          <w:rFonts w:cs="Times New Roman"/>
        </w:rPr>
        <w:t xml:space="preserve"> ltd 2000(</w:t>
      </w:r>
      <w:r w:rsidR="00853D44" w:rsidRPr="00E471F9">
        <w:rPr>
          <w:rFonts w:cs="Times New Roman"/>
        </w:rPr>
        <w:t>1) ZLR</w:t>
      </w:r>
      <w:r w:rsidR="008F014C" w:rsidRPr="00E471F9">
        <w:rPr>
          <w:rFonts w:cs="Times New Roman"/>
        </w:rPr>
        <w:t xml:space="preserve"> 361(S) at 364 G -365 A-B.</w:t>
      </w:r>
    </w:p>
    <w:p w:rsidR="00017600" w:rsidRPr="00E471F9" w:rsidRDefault="00A0329C" w:rsidP="00E471F9">
      <w:pPr>
        <w:spacing w:line="360" w:lineRule="auto"/>
        <w:jc w:val="both"/>
        <w:rPr>
          <w:rFonts w:cs="Times New Roman"/>
        </w:rPr>
      </w:pPr>
      <w:r w:rsidRPr="00E471F9">
        <w:rPr>
          <w:rFonts w:cs="Times New Roman"/>
        </w:rPr>
        <w:t xml:space="preserve"> </w:t>
      </w:r>
    </w:p>
    <w:p w:rsidR="00A0329C" w:rsidRPr="00E471F9" w:rsidRDefault="00A0329C" w:rsidP="00A602F4">
      <w:pPr>
        <w:spacing w:line="360" w:lineRule="auto"/>
        <w:ind w:firstLine="709"/>
        <w:jc w:val="both"/>
        <w:rPr>
          <w:rFonts w:cs="Times New Roman"/>
        </w:rPr>
      </w:pPr>
      <w:r w:rsidRPr="00E471F9">
        <w:rPr>
          <w:rFonts w:cs="Times New Roman"/>
        </w:rPr>
        <w:t>F</w:t>
      </w:r>
      <w:r w:rsidR="00017600" w:rsidRPr="00E471F9">
        <w:rPr>
          <w:rFonts w:cs="Times New Roman"/>
        </w:rPr>
        <w:t xml:space="preserve">or the sake of completeness, if the second angle of their argument is explored, </w:t>
      </w:r>
      <w:r w:rsidR="00A56B15" w:rsidRPr="00E471F9">
        <w:rPr>
          <w:rFonts w:cs="Times New Roman"/>
        </w:rPr>
        <w:t>applicants are</w:t>
      </w:r>
      <w:r w:rsidR="00017600" w:rsidRPr="00E471F9">
        <w:rPr>
          <w:rFonts w:cs="Times New Roman"/>
        </w:rPr>
        <w:t xml:space="preserve"> saying</w:t>
      </w:r>
      <w:r w:rsidR="00822184" w:rsidRPr="00E471F9">
        <w:rPr>
          <w:rFonts w:cs="Times New Roman"/>
        </w:rPr>
        <w:t xml:space="preserve"> that the error prompting the need to </w:t>
      </w:r>
      <w:r w:rsidR="00017600" w:rsidRPr="00E471F9">
        <w:rPr>
          <w:rFonts w:cs="Times New Roman"/>
        </w:rPr>
        <w:t>have</w:t>
      </w:r>
      <w:r w:rsidR="00822184" w:rsidRPr="00E471F9">
        <w:rPr>
          <w:rFonts w:cs="Times New Roman"/>
        </w:rPr>
        <w:t xml:space="preserve"> the judgement</w:t>
      </w:r>
      <w:r w:rsidR="00017600" w:rsidRPr="00E471F9">
        <w:rPr>
          <w:rFonts w:cs="Times New Roman"/>
        </w:rPr>
        <w:t xml:space="preserve"> rescinded</w:t>
      </w:r>
      <w:r w:rsidR="00822184" w:rsidRPr="00E471F9">
        <w:rPr>
          <w:rFonts w:cs="Times New Roman"/>
        </w:rPr>
        <w:t xml:space="preserve"> </w:t>
      </w:r>
      <w:r w:rsidR="00017600" w:rsidRPr="00E471F9">
        <w:rPr>
          <w:rFonts w:cs="Times New Roman"/>
        </w:rPr>
        <w:t>springs</w:t>
      </w:r>
      <w:r w:rsidR="00822184" w:rsidRPr="00E471F9">
        <w:rPr>
          <w:rFonts w:cs="Times New Roman"/>
        </w:rPr>
        <w:t xml:space="preserve"> from the fact that the underlying </w:t>
      </w:r>
      <w:r w:rsidR="00017600" w:rsidRPr="00E471F9">
        <w:rPr>
          <w:rFonts w:cs="Times New Roman"/>
        </w:rPr>
        <w:t>C</w:t>
      </w:r>
      <w:r w:rsidR="00822184" w:rsidRPr="00E471F9">
        <w:rPr>
          <w:rFonts w:cs="Times New Roman"/>
        </w:rPr>
        <w:t>hamber application did not comply with rule 60(4)(b).</w:t>
      </w:r>
      <w:r w:rsidRPr="00E471F9">
        <w:rPr>
          <w:rFonts w:cs="Times New Roman"/>
        </w:rPr>
        <w:t xml:space="preserve"> </w:t>
      </w:r>
      <w:r w:rsidR="002627B4" w:rsidRPr="00E471F9">
        <w:rPr>
          <w:rFonts w:cs="Times New Roman"/>
        </w:rPr>
        <w:t>A totally</w:t>
      </w:r>
      <w:r w:rsidRPr="00E471F9">
        <w:rPr>
          <w:rFonts w:cs="Times New Roman"/>
        </w:rPr>
        <w:t xml:space="preserve"> new angle from that upon which this application had been brought Although this may seem to be an error in terms of their argument</w:t>
      </w:r>
      <w:r w:rsidR="00391E3C" w:rsidRPr="00E471F9">
        <w:rPr>
          <w:rFonts w:cs="Times New Roman"/>
        </w:rPr>
        <w:t>,</w:t>
      </w:r>
      <w:r w:rsidRPr="00E471F9">
        <w:rPr>
          <w:rFonts w:cs="Times New Roman"/>
        </w:rPr>
        <w:t xml:space="preserve"> it is not captured under rule 29(1)(a). Had applicant brought its application in terms of rule 29 in its broader context then may be the issue of patent error or any other instances of mistakes captured therein would have encompassed their second ground of attack. </w:t>
      </w:r>
    </w:p>
    <w:p w:rsidR="00A0329C" w:rsidRPr="00E471F9" w:rsidRDefault="00822184" w:rsidP="00E471F9">
      <w:pPr>
        <w:spacing w:line="360" w:lineRule="auto"/>
        <w:jc w:val="both"/>
        <w:rPr>
          <w:rFonts w:cs="Times New Roman"/>
        </w:rPr>
      </w:pPr>
      <w:r w:rsidRPr="00E471F9">
        <w:rPr>
          <w:rFonts w:cs="Times New Roman"/>
        </w:rPr>
        <w:t xml:space="preserve"> </w:t>
      </w:r>
      <w:r w:rsidR="00A0329C" w:rsidRPr="00E471F9">
        <w:rPr>
          <w:rFonts w:cs="Times New Roman"/>
        </w:rPr>
        <w:t xml:space="preserve"> </w:t>
      </w:r>
    </w:p>
    <w:p w:rsidR="00391E3C" w:rsidRPr="00E471F9" w:rsidRDefault="002627B4" w:rsidP="00A602F4">
      <w:pPr>
        <w:spacing w:line="360" w:lineRule="auto"/>
        <w:ind w:firstLine="709"/>
        <w:jc w:val="both"/>
        <w:rPr>
          <w:rFonts w:cs="Times New Roman"/>
        </w:rPr>
      </w:pPr>
      <w:r w:rsidRPr="00E471F9">
        <w:rPr>
          <w:rFonts w:cs="Times New Roman"/>
        </w:rPr>
        <w:t xml:space="preserve">Applicant chose to deliberately </w:t>
      </w:r>
      <w:r w:rsidR="00A0329C" w:rsidRPr="00E471F9">
        <w:rPr>
          <w:rFonts w:cs="Times New Roman"/>
        </w:rPr>
        <w:t>proceed in terms of rule 60(4)(b)</w:t>
      </w:r>
      <w:r w:rsidR="00EA0CD2" w:rsidRPr="00E471F9">
        <w:rPr>
          <w:rFonts w:cs="Times New Roman"/>
        </w:rPr>
        <w:t>,</w:t>
      </w:r>
      <w:r w:rsidRPr="00E471F9">
        <w:rPr>
          <w:rFonts w:cs="Times New Roman"/>
        </w:rPr>
        <w:t xml:space="preserve"> as it is clear that the first respondent complied with the provisions of sub rule</w:t>
      </w:r>
      <w:r w:rsidR="00EA0CD2" w:rsidRPr="00E471F9">
        <w:rPr>
          <w:rFonts w:cs="Times New Roman"/>
        </w:rPr>
        <w:t>(4)(a)</w:t>
      </w:r>
      <w:r w:rsidRPr="00E471F9">
        <w:rPr>
          <w:rFonts w:cs="Times New Roman"/>
        </w:rPr>
        <w:t xml:space="preserve"> of the same rule.  The essence of the composite rule is that an explanation as to why notice was</w:t>
      </w:r>
      <w:r w:rsidR="00391E3C" w:rsidRPr="00E471F9">
        <w:rPr>
          <w:rFonts w:cs="Times New Roman"/>
        </w:rPr>
        <w:t xml:space="preserve"> not</w:t>
      </w:r>
      <w:r w:rsidRPr="00E471F9">
        <w:rPr>
          <w:rFonts w:cs="Times New Roman"/>
        </w:rPr>
        <w:t xml:space="preserve"> given to interested parties has</w:t>
      </w:r>
      <w:r w:rsidR="00EA0CD2" w:rsidRPr="00E471F9">
        <w:rPr>
          <w:rFonts w:cs="Times New Roman"/>
        </w:rPr>
        <w:t xml:space="preserve"> to</w:t>
      </w:r>
      <w:r w:rsidRPr="00E471F9">
        <w:rPr>
          <w:rFonts w:cs="Times New Roman"/>
        </w:rPr>
        <w:t xml:space="preserve"> be given. The question is did the legislature intend the notice to be two </w:t>
      </w:r>
      <w:r w:rsidR="00A56B15" w:rsidRPr="00E471F9">
        <w:rPr>
          <w:rFonts w:cs="Times New Roman"/>
        </w:rPr>
        <w:t>fold, both</w:t>
      </w:r>
      <w:r w:rsidR="00EA0CD2" w:rsidRPr="00E471F9">
        <w:rPr>
          <w:rFonts w:cs="Times New Roman"/>
        </w:rPr>
        <w:t xml:space="preserve"> in terms of the affidavit and the accompanying certificate or either one of the processes</w:t>
      </w:r>
      <w:r w:rsidR="00853D44" w:rsidRPr="00E471F9">
        <w:rPr>
          <w:rFonts w:cs="Times New Roman"/>
        </w:rPr>
        <w:t>?</w:t>
      </w:r>
      <w:r w:rsidR="00A0329C" w:rsidRPr="00E471F9">
        <w:rPr>
          <w:rFonts w:cs="Times New Roman"/>
        </w:rPr>
        <w:t xml:space="preserve"> </w:t>
      </w:r>
      <w:r w:rsidR="00D4670A" w:rsidRPr="00E471F9">
        <w:rPr>
          <w:rFonts w:cs="Times New Roman"/>
        </w:rPr>
        <w:t xml:space="preserve"> </w:t>
      </w:r>
    </w:p>
    <w:p w:rsidR="00391E3C" w:rsidRPr="00E471F9" w:rsidRDefault="00391E3C" w:rsidP="00E471F9">
      <w:pPr>
        <w:spacing w:line="360" w:lineRule="auto"/>
        <w:jc w:val="both"/>
        <w:rPr>
          <w:rFonts w:cs="Times New Roman"/>
        </w:rPr>
      </w:pPr>
    </w:p>
    <w:p w:rsidR="00D4670A" w:rsidRPr="00E471F9" w:rsidRDefault="00D4670A" w:rsidP="00A602F4">
      <w:pPr>
        <w:spacing w:line="360" w:lineRule="auto"/>
        <w:ind w:firstLine="360"/>
        <w:jc w:val="both"/>
        <w:rPr>
          <w:rFonts w:cs="Times New Roman"/>
        </w:rPr>
      </w:pPr>
      <w:r w:rsidRPr="00E471F9">
        <w:rPr>
          <w:rFonts w:cs="Times New Roman"/>
        </w:rPr>
        <w:t xml:space="preserve">Thus, rule 60(4) reads, </w:t>
      </w:r>
      <w:r w:rsidR="00224A62" w:rsidRPr="00E471F9">
        <w:rPr>
          <w:rFonts w:cs="Times New Roman"/>
        </w:rPr>
        <w:t>where</w:t>
      </w:r>
      <w:r w:rsidRPr="00E471F9">
        <w:rPr>
          <w:rFonts w:cs="Times New Roman"/>
        </w:rPr>
        <w:t xml:space="preserve"> an applicant has not served a chamber application on another party because he or she reasonably believes one or more of the matters referred to in rule 61(2) (a) to (e)-</w:t>
      </w:r>
    </w:p>
    <w:p w:rsidR="00D4670A" w:rsidRPr="00E471F9" w:rsidRDefault="00D4670A" w:rsidP="00E471F9">
      <w:pPr>
        <w:pStyle w:val="ListParagraph"/>
        <w:numPr>
          <w:ilvl w:val="0"/>
          <w:numId w:val="3"/>
        </w:numPr>
        <w:spacing w:line="360" w:lineRule="auto"/>
        <w:jc w:val="both"/>
        <w:rPr>
          <w:rFonts w:cs="Times New Roman"/>
          <w:szCs w:val="24"/>
        </w:rPr>
      </w:pPr>
      <w:r w:rsidRPr="00E471F9">
        <w:rPr>
          <w:rFonts w:cs="Times New Roman"/>
          <w:szCs w:val="24"/>
        </w:rPr>
        <w:t>He or she shall set out the grounds for his or her belief fully in his or her affidavit; and</w:t>
      </w:r>
    </w:p>
    <w:p w:rsidR="00D4670A" w:rsidRPr="00E471F9" w:rsidRDefault="00D4670A" w:rsidP="00E471F9">
      <w:pPr>
        <w:pStyle w:val="ListParagraph"/>
        <w:numPr>
          <w:ilvl w:val="0"/>
          <w:numId w:val="3"/>
        </w:numPr>
        <w:spacing w:line="360" w:lineRule="auto"/>
        <w:jc w:val="both"/>
        <w:rPr>
          <w:rFonts w:cs="Times New Roman"/>
          <w:szCs w:val="24"/>
        </w:rPr>
      </w:pPr>
      <w:r w:rsidRPr="00E471F9">
        <w:rPr>
          <w:rFonts w:cs="Times New Roman"/>
          <w:szCs w:val="24"/>
        </w:rPr>
        <w:t>Unless the applicant is not legally represented, the application shall be accompanied by a certificate from a legal practitioner</w:t>
      </w:r>
      <w:r w:rsidR="00224A62" w:rsidRPr="00E471F9">
        <w:rPr>
          <w:rFonts w:cs="Times New Roman"/>
          <w:szCs w:val="24"/>
        </w:rPr>
        <w:t xml:space="preserve"> setting out, with reasons, his or her belief that the matter is uncontentious, likely to attract perverse conduct or urgent for one or more of the reasons set out in sub rule (3) (a) – (e)</w:t>
      </w:r>
    </w:p>
    <w:p w:rsidR="00A17362" w:rsidRPr="00E471F9" w:rsidRDefault="00EA0CD2" w:rsidP="00E471F9">
      <w:pPr>
        <w:spacing w:line="360" w:lineRule="auto"/>
        <w:jc w:val="both"/>
        <w:rPr>
          <w:rFonts w:cs="Times New Roman"/>
        </w:rPr>
      </w:pPr>
      <w:r w:rsidRPr="00E471F9">
        <w:rPr>
          <w:rFonts w:cs="Times New Roman"/>
        </w:rPr>
        <w:lastRenderedPageBreak/>
        <w:t xml:space="preserve"> </w:t>
      </w:r>
    </w:p>
    <w:p w:rsidR="000A0F4F" w:rsidRPr="00E471F9" w:rsidRDefault="000A0F4F" w:rsidP="00A602F4">
      <w:pPr>
        <w:spacing w:line="360" w:lineRule="auto"/>
        <w:ind w:firstLine="360"/>
        <w:jc w:val="both"/>
        <w:rPr>
          <w:rFonts w:cs="Times New Roman"/>
        </w:rPr>
      </w:pPr>
      <w:r w:rsidRPr="00E471F9">
        <w:rPr>
          <w:rFonts w:cs="Times New Roman"/>
        </w:rPr>
        <w:t xml:space="preserve">To mention in passing, is the </w:t>
      </w:r>
      <w:r w:rsidR="00B95360" w:rsidRPr="00E471F9">
        <w:rPr>
          <w:rFonts w:cs="Times New Roman"/>
        </w:rPr>
        <w:t>observation by both parties in concurrence</w:t>
      </w:r>
      <w:r w:rsidRPr="00E471F9">
        <w:rPr>
          <w:rFonts w:cs="Times New Roman"/>
        </w:rPr>
        <w:t>, which the court also shares, that there</w:t>
      </w:r>
      <w:r w:rsidR="00B95360" w:rsidRPr="00E471F9">
        <w:rPr>
          <w:rFonts w:cs="Times New Roman"/>
        </w:rPr>
        <w:t xml:space="preserve"> is no </w:t>
      </w:r>
      <w:r w:rsidR="00822184" w:rsidRPr="00E471F9">
        <w:rPr>
          <w:rFonts w:cs="Times New Roman"/>
        </w:rPr>
        <w:t>rule 61(</w:t>
      </w:r>
      <w:r w:rsidR="00853D44" w:rsidRPr="00E471F9">
        <w:rPr>
          <w:rFonts w:cs="Times New Roman"/>
        </w:rPr>
        <w:t>2) (c)</w:t>
      </w:r>
      <w:r w:rsidR="00B95360" w:rsidRPr="00E471F9">
        <w:rPr>
          <w:rFonts w:cs="Times New Roman"/>
        </w:rPr>
        <w:t xml:space="preserve"> to (e) but</w:t>
      </w:r>
      <w:r w:rsidR="007D6813" w:rsidRPr="00E471F9">
        <w:rPr>
          <w:rFonts w:cs="Times New Roman"/>
        </w:rPr>
        <w:t xml:space="preserve"> o</w:t>
      </w:r>
      <w:r w:rsidR="00822184" w:rsidRPr="00E471F9">
        <w:rPr>
          <w:rFonts w:cs="Times New Roman"/>
        </w:rPr>
        <w:t xml:space="preserve">nly </w:t>
      </w:r>
      <w:r w:rsidR="007D6813" w:rsidRPr="00E471F9">
        <w:rPr>
          <w:rFonts w:cs="Times New Roman"/>
        </w:rPr>
        <w:t>rule 6</w:t>
      </w:r>
      <w:r w:rsidR="009E4758" w:rsidRPr="00E471F9">
        <w:rPr>
          <w:rFonts w:cs="Times New Roman"/>
        </w:rPr>
        <w:t>1</w:t>
      </w:r>
      <w:r w:rsidR="007D6813" w:rsidRPr="00E471F9">
        <w:rPr>
          <w:rFonts w:cs="Times New Roman"/>
        </w:rPr>
        <w:t xml:space="preserve"> </w:t>
      </w:r>
      <w:r w:rsidR="00822184" w:rsidRPr="00E471F9">
        <w:rPr>
          <w:rFonts w:cs="Times New Roman"/>
        </w:rPr>
        <w:t>sub rules 2(a)</w:t>
      </w:r>
      <w:r w:rsidR="007D6813" w:rsidRPr="00E471F9">
        <w:rPr>
          <w:rFonts w:cs="Times New Roman"/>
        </w:rPr>
        <w:t xml:space="preserve"> to </w:t>
      </w:r>
      <w:r w:rsidR="00822184" w:rsidRPr="00E471F9">
        <w:rPr>
          <w:rFonts w:cs="Times New Roman"/>
        </w:rPr>
        <w:t>(b). It therefore</w:t>
      </w:r>
      <w:r w:rsidR="007D6813" w:rsidRPr="00E471F9">
        <w:rPr>
          <w:rFonts w:cs="Times New Roman"/>
        </w:rPr>
        <w:t xml:space="preserve"> is,</w:t>
      </w:r>
      <w:r w:rsidR="00822184" w:rsidRPr="00E471F9">
        <w:rPr>
          <w:rFonts w:cs="Times New Roman"/>
        </w:rPr>
        <w:t xml:space="preserve"> clear that reference to rule 61(2)</w:t>
      </w:r>
      <w:r w:rsidRPr="00E471F9">
        <w:rPr>
          <w:rFonts w:cs="Times New Roman"/>
        </w:rPr>
        <w:t>(a)</w:t>
      </w:r>
      <w:r w:rsidR="00822184" w:rsidRPr="00E471F9">
        <w:rPr>
          <w:rFonts w:cs="Times New Roman"/>
        </w:rPr>
        <w:t xml:space="preserve"> </w:t>
      </w:r>
      <w:r w:rsidRPr="00E471F9">
        <w:rPr>
          <w:rFonts w:cs="Times New Roman"/>
        </w:rPr>
        <w:t>– (</w:t>
      </w:r>
      <w:r w:rsidR="00822184" w:rsidRPr="00E471F9">
        <w:rPr>
          <w:rFonts w:cs="Times New Roman"/>
        </w:rPr>
        <w:t>e</w:t>
      </w:r>
      <w:r w:rsidRPr="00E471F9">
        <w:rPr>
          <w:rFonts w:cs="Times New Roman"/>
        </w:rPr>
        <w:t>)</w:t>
      </w:r>
      <w:r w:rsidR="00822184" w:rsidRPr="00E471F9">
        <w:rPr>
          <w:rFonts w:cs="Times New Roman"/>
        </w:rPr>
        <w:t>is a simple topographical error as rule 61</w:t>
      </w:r>
      <w:r w:rsidR="007D6813" w:rsidRPr="00E471F9">
        <w:rPr>
          <w:rFonts w:cs="Times New Roman"/>
        </w:rPr>
        <w:t>,</w:t>
      </w:r>
      <w:r w:rsidR="009E4758" w:rsidRPr="00E471F9">
        <w:rPr>
          <w:rFonts w:cs="Times New Roman"/>
        </w:rPr>
        <w:t xml:space="preserve"> </w:t>
      </w:r>
      <w:r w:rsidR="007D6813" w:rsidRPr="00E471F9">
        <w:rPr>
          <w:rFonts w:cs="Times New Roman"/>
        </w:rPr>
        <w:t>is out of context with the provisions of rule 60, as it</w:t>
      </w:r>
      <w:r w:rsidR="00822184" w:rsidRPr="00E471F9">
        <w:rPr>
          <w:rFonts w:cs="Times New Roman"/>
        </w:rPr>
        <w:t xml:space="preserve"> relates</w:t>
      </w:r>
      <w:r w:rsidR="00B95360" w:rsidRPr="00E471F9">
        <w:rPr>
          <w:rFonts w:cs="Times New Roman"/>
        </w:rPr>
        <w:t xml:space="preserve"> to a</w:t>
      </w:r>
      <w:r w:rsidR="00822184" w:rsidRPr="00E471F9">
        <w:rPr>
          <w:rFonts w:cs="Times New Roman"/>
        </w:rPr>
        <w:t xml:space="preserve"> totally different subject matter altogether on deceased estates and persons under disability.</w:t>
      </w:r>
      <w:r w:rsidR="003A2E1D" w:rsidRPr="00E471F9">
        <w:rPr>
          <w:rFonts w:cs="Times New Roman"/>
        </w:rPr>
        <w:t xml:space="preserve"> </w:t>
      </w:r>
      <w:r w:rsidR="007D6813" w:rsidRPr="00E471F9">
        <w:rPr>
          <w:rFonts w:cs="Times New Roman"/>
        </w:rPr>
        <w:t>The correct reading should be</w:t>
      </w:r>
      <w:r w:rsidRPr="00E471F9">
        <w:rPr>
          <w:rFonts w:cs="Times New Roman"/>
        </w:rPr>
        <w:t xml:space="preserve"> </w:t>
      </w:r>
      <w:r w:rsidR="00822184" w:rsidRPr="00E471F9">
        <w:rPr>
          <w:rFonts w:cs="Times New Roman"/>
        </w:rPr>
        <w:t>rule 60(</w:t>
      </w:r>
      <w:r w:rsidR="007D6813" w:rsidRPr="00E471F9">
        <w:rPr>
          <w:rFonts w:cs="Times New Roman"/>
        </w:rPr>
        <w:t>3)</w:t>
      </w:r>
      <w:r w:rsidR="00822184" w:rsidRPr="00E471F9">
        <w:rPr>
          <w:rFonts w:cs="Times New Roman"/>
        </w:rPr>
        <w:t xml:space="preserve"> </w:t>
      </w:r>
      <w:r w:rsidR="007D6813" w:rsidRPr="00E471F9">
        <w:rPr>
          <w:rFonts w:cs="Times New Roman"/>
        </w:rPr>
        <w:t xml:space="preserve">(a) </w:t>
      </w:r>
      <w:r w:rsidR="00822184" w:rsidRPr="00E471F9">
        <w:rPr>
          <w:rFonts w:cs="Times New Roman"/>
        </w:rPr>
        <w:t xml:space="preserve">to </w:t>
      </w:r>
      <w:r w:rsidR="007D6813" w:rsidRPr="00E471F9">
        <w:rPr>
          <w:rFonts w:cs="Times New Roman"/>
        </w:rPr>
        <w:t>(</w:t>
      </w:r>
      <w:r w:rsidR="00822184" w:rsidRPr="00E471F9">
        <w:rPr>
          <w:rFonts w:cs="Times New Roman"/>
        </w:rPr>
        <w:t>e)</w:t>
      </w:r>
      <w:r w:rsidR="00EA0CD2" w:rsidRPr="00E471F9">
        <w:rPr>
          <w:rFonts w:cs="Times New Roman"/>
        </w:rPr>
        <w:t xml:space="preserve"> not 61(2)(</w:t>
      </w:r>
      <w:r w:rsidR="00853D44" w:rsidRPr="00E471F9">
        <w:rPr>
          <w:rFonts w:cs="Times New Roman"/>
        </w:rPr>
        <w:t>c) to</w:t>
      </w:r>
      <w:r w:rsidR="00EA0CD2" w:rsidRPr="00E471F9">
        <w:rPr>
          <w:rFonts w:cs="Times New Roman"/>
        </w:rPr>
        <w:t>(e)</w:t>
      </w:r>
      <w:r w:rsidR="00A17362" w:rsidRPr="00E471F9">
        <w:rPr>
          <w:rFonts w:cs="Times New Roman"/>
        </w:rPr>
        <w:t xml:space="preserve"> as </w:t>
      </w:r>
      <w:r w:rsidR="007D6813" w:rsidRPr="00E471F9">
        <w:rPr>
          <w:rFonts w:cs="Times New Roman"/>
        </w:rPr>
        <w:t xml:space="preserve">these </w:t>
      </w:r>
      <w:r w:rsidR="00A17362" w:rsidRPr="00E471F9">
        <w:rPr>
          <w:rFonts w:cs="Times New Roman"/>
        </w:rPr>
        <w:t xml:space="preserve">sub </w:t>
      </w:r>
      <w:r w:rsidR="00853D44" w:rsidRPr="00E471F9">
        <w:rPr>
          <w:rFonts w:cs="Times New Roman"/>
        </w:rPr>
        <w:t>rules complements</w:t>
      </w:r>
      <w:r w:rsidR="00822184" w:rsidRPr="00E471F9">
        <w:rPr>
          <w:rFonts w:cs="Times New Roman"/>
        </w:rPr>
        <w:t xml:space="preserve"> the whole provision</w:t>
      </w:r>
      <w:r w:rsidR="007D6813" w:rsidRPr="00E471F9">
        <w:rPr>
          <w:rFonts w:cs="Times New Roman"/>
        </w:rPr>
        <w:t xml:space="preserve">, that is rule 60. </w:t>
      </w:r>
      <w:r w:rsidR="00822184" w:rsidRPr="00E471F9">
        <w:rPr>
          <w:rFonts w:cs="Times New Roman"/>
        </w:rPr>
        <w:t xml:space="preserve"> </w:t>
      </w:r>
    </w:p>
    <w:p w:rsidR="006B64B0" w:rsidRPr="00E471F9" w:rsidRDefault="00EA0CD2" w:rsidP="00E471F9">
      <w:pPr>
        <w:spacing w:line="360" w:lineRule="auto"/>
        <w:jc w:val="both"/>
        <w:rPr>
          <w:rFonts w:cs="Times New Roman"/>
        </w:rPr>
      </w:pPr>
      <w:r w:rsidRPr="00E471F9">
        <w:rPr>
          <w:rFonts w:cs="Times New Roman"/>
        </w:rPr>
        <w:t xml:space="preserve"> </w:t>
      </w:r>
    </w:p>
    <w:p w:rsidR="008F014C" w:rsidRPr="00E471F9" w:rsidRDefault="006B64B0" w:rsidP="00A602F4">
      <w:pPr>
        <w:spacing w:line="360" w:lineRule="auto"/>
        <w:ind w:firstLine="360"/>
        <w:jc w:val="both"/>
        <w:rPr>
          <w:rFonts w:cs="Times New Roman"/>
        </w:rPr>
      </w:pPr>
      <w:r w:rsidRPr="00E471F9">
        <w:rPr>
          <w:rFonts w:cs="Times New Roman"/>
        </w:rPr>
        <w:t xml:space="preserve">The applicant </w:t>
      </w:r>
      <w:r w:rsidR="000A0F4F" w:rsidRPr="00E471F9">
        <w:rPr>
          <w:rFonts w:cs="Times New Roman"/>
        </w:rPr>
        <w:t xml:space="preserve">in their oral submissions </w:t>
      </w:r>
      <w:r w:rsidRPr="00E471F9">
        <w:rPr>
          <w:rFonts w:cs="Times New Roman"/>
        </w:rPr>
        <w:t xml:space="preserve">argue that the use of the word </w:t>
      </w:r>
      <w:r w:rsidR="000A0F4F" w:rsidRPr="00E471F9">
        <w:rPr>
          <w:rFonts w:cs="Times New Roman"/>
        </w:rPr>
        <w:t>‘</w:t>
      </w:r>
      <w:r w:rsidRPr="00E471F9">
        <w:rPr>
          <w:rFonts w:cs="Times New Roman"/>
        </w:rPr>
        <w:t>and</w:t>
      </w:r>
      <w:r w:rsidR="000A0F4F" w:rsidRPr="00E471F9">
        <w:rPr>
          <w:rFonts w:cs="Times New Roman"/>
        </w:rPr>
        <w:t>’</w:t>
      </w:r>
      <w:r w:rsidRPr="00E471F9">
        <w:rPr>
          <w:rFonts w:cs="Times New Roman"/>
        </w:rPr>
        <w:t xml:space="preserve"> by the legislature means that both the founding affidavit stating the </w:t>
      </w:r>
      <w:r w:rsidR="000A0F4F" w:rsidRPr="00E471F9">
        <w:rPr>
          <w:rFonts w:cs="Times New Roman"/>
        </w:rPr>
        <w:t xml:space="preserve">reasons for </w:t>
      </w:r>
      <w:r w:rsidR="008F014C" w:rsidRPr="00E471F9">
        <w:rPr>
          <w:rFonts w:cs="Times New Roman"/>
        </w:rPr>
        <w:t xml:space="preserve">circumventing notice </w:t>
      </w:r>
      <w:r w:rsidR="00EA0CD2" w:rsidRPr="00E471F9">
        <w:rPr>
          <w:rFonts w:cs="Times New Roman"/>
        </w:rPr>
        <w:t>on the interested</w:t>
      </w:r>
      <w:r w:rsidR="008F014C" w:rsidRPr="00E471F9">
        <w:rPr>
          <w:rFonts w:cs="Times New Roman"/>
        </w:rPr>
        <w:t xml:space="preserve"> parties</w:t>
      </w:r>
      <w:r w:rsidRPr="00E471F9">
        <w:rPr>
          <w:rFonts w:cs="Times New Roman"/>
        </w:rPr>
        <w:t xml:space="preserve"> and the certificate are a requisite to a chamber application in terms of ru</w:t>
      </w:r>
      <w:r w:rsidR="003A2E1D" w:rsidRPr="00E471F9">
        <w:rPr>
          <w:rFonts w:cs="Times New Roman"/>
        </w:rPr>
        <w:t>l</w:t>
      </w:r>
      <w:r w:rsidRPr="00E471F9">
        <w:rPr>
          <w:rFonts w:cs="Times New Roman"/>
        </w:rPr>
        <w:t>e 6</w:t>
      </w:r>
      <w:r w:rsidR="003A2E1D" w:rsidRPr="00E471F9">
        <w:rPr>
          <w:rFonts w:cs="Times New Roman"/>
        </w:rPr>
        <w:t>0</w:t>
      </w:r>
      <w:r w:rsidRPr="00E471F9">
        <w:rPr>
          <w:rFonts w:cs="Times New Roman"/>
        </w:rPr>
        <w:t>(3).</w:t>
      </w:r>
      <w:r w:rsidR="00822184" w:rsidRPr="00E471F9">
        <w:rPr>
          <w:rFonts w:cs="Times New Roman"/>
        </w:rPr>
        <w:t xml:space="preserve"> </w:t>
      </w:r>
      <w:r w:rsidR="007D6813" w:rsidRPr="00E471F9">
        <w:rPr>
          <w:rFonts w:cs="Times New Roman"/>
        </w:rPr>
        <w:t xml:space="preserve"> </w:t>
      </w:r>
      <w:r w:rsidR="008D68A7" w:rsidRPr="00E471F9">
        <w:rPr>
          <w:rFonts w:cs="Times New Roman"/>
        </w:rPr>
        <w:t>Hence, they argue that had this issue been brought to the judge in the matter in issue, he would not have entertained the application in the first place without the accompaniment.</w:t>
      </w:r>
      <w:r w:rsidR="008F014C" w:rsidRPr="00E471F9">
        <w:rPr>
          <w:rFonts w:cs="Times New Roman"/>
        </w:rPr>
        <w:t xml:space="preserve"> In support of their averments they cited the case of </w:t>
      </w:r>
      <w:r w:rsidR="00EA0CD2" w:rsidRPr="00E471F9">
        <w:rPr>
          <w:rFonts w:cs="Times New Roman"/>
          <w:i/>
        </w:rPr>
        <w:t>Gerrat Trust vs Creative Credit (Pvt)Ltd</w:t>
      </w:r>
      <w:r w:rsidR="00EA0CD2" w:rsidRPr="00E471F9">
        <w:rPr>
          <w:rFonts w:cs="Times New Roman"/>
        </w:rPr>
        <w:t xml:space="preserve"> SC 146/21 and </w:t>
      </w:r>
      <w:r w:rsidR="00EA0CD2" w:rsidRPr="00E471F9">
        <w:rPr>
          <w:rFonts w:cs="Times New Roman"/>
          <w:i/>
        </w:rPr>
        <w:t xml:space="preserve">Matambanadzo v </w:t>
      </w:r>
      <w:r w:rsidR="00E471F9" w:rsidRPr="00E471F9">
        <w:rPr>
          <w:rFonts w:cs="Times New Roman"/>
          <w:i/>
        </w:rPr>
        <w:t>Goven</w:t>
      </w:r>
      <w:r w:rsidR="00E471F9" w:rsidRPr="00E471F9">
        <w:rPr>
          <w:rFonts w:cs="Times New Roman"/>
        </w:rPr>
        <w:t xml:space="preserve"> (</w:t>
      </w:r>
      <w:r w:rsidR="00F14B10" w:rsidRPr="00E471F9">
        <w:rPr>
          <w:rFonts w:cs="Times New Roman"/>
        </w:rPr>
        <w:t>1) ZLR</w:t>
      </w:r>
      <w:r w:rsidR="001D5C1E" w:rsidRPr="00E471F9">
        <w:rPr>
          <w:rFonts w:cs="Times New Roman"/>
        </w:rPr>
        <w:t xml:space="preserve"> 23/</w:t>
      </w:r>
      <w:r w:rsidR="00A602F4" w:rsidRPr="00E471F9">
        <w:rPr>
          <w:rFonts w:cs="Times New Roman"/>
        </w:rPr>
        <w:t>2004(399</w:t>
      </w:r>
      <w:r w:rsidR="00F14B10" w:rsidRPr="00E471F9">
        <w:rPr>
          <w:rFonts w:cs="Times New Roman"/>
        </w:rPr>
        <w:t>) (S).</w:t>
      </w:r>
      <w:r w:rsidR="00EA0CD2" w:rsidRPr="00E471F9">
        <w:rPr>
          <w:rFonts w:cs="Times New Roman"/>
        </w:rPr>
        <w:t xml:space="preserve"> </w:t>
      </w:r>
      <w:r w:rsidR="00F14B10" w:rsidRPr="00E471F9">
        <w:rPr>
          <w:rFonts w:cs="Times New Roman"/>
        </w:rPr>
        <w:t xml:space="preserve">  </w:t>
      </w:r>
    </w:p>
    <w:p w:rsidR="008F014C" w:rsidRPr="00E471F9" w:rsidRDefault="008F014C" w:rsidP="00E471F9">
      <w:pPr>
        <w:spacing w:line="360" w:lineRule="auto"/>
        <w:jc w:val="both"/>
        <w:rPr>
          <w:rFonts w:cs="Times New Roman"/>
        </w:rPr>
      </w:pPr>
    </w:p>
    <w:p w:rsidR="00BC65C7" w:rsidRPr="00E471F9" w:rsidRDefault="006B64B0" w:rsidP="00A602F4">
      <w:pPr>
        <w:spacing w:line="360" w:lineRule="auto"/>
        <w:ind w:firstLine="360"/>
        <w:jc w:val="both"/>
        <w:rPr>
          <w:rFonts w:cs="Times New Roman"/>
        </w:rPr>
      </w:pPr>
      <w:r w:rsidRPr="00E471F9">
        <w:rPr>
          <w:rFonts w:cs="Times New Roman"/>
        </w:rPr>
        <w:t xml:space="preserve">On the other hand, the first respondent counters that, the stating of reasons in the founding </w:t>
      </w:r>
      <w:r w:rsidR="003A2E1D" w:rsidRPr="00E471F9">
        <w:rPr>
          <w:rFonts w:cs="Times New Roman"/>
        </w:rPr>
        <w:t>affidavit</w:t>
      </w:r>
      <w:r w:rsidRPr="00E471F9">
        <w:rPr>
          <w:rFonts w:cs="Times New Roman"/>
        </w:rPr>
        <w:t xml:space="preserve"> is sufficient, once that is done there is no need to duplicate the same by accompanying the application with the said certificate. It is their argument that although there is the word</w:t>
      </w:r>
      <w:r w:rsidR="003A2E1D" w:rsidRPr="00E471F9">
        <w:rPr>
          <w:rFonts w:cs="Times New Roman"/>
        </w:rPr>
        <w:t xml:space="preserve"> </w:t>
      </w:r>
      <w:r w:rsidR="00853D44" w:rsidRPr="00E471F9">
        <w:rPr>
          <w:rFonts w:cs="Times New Roman"/>
        </w:rPr>
        <w:t>“and</w:t>
      </w:r>
      <w:r w:rsidR="008D68A7" w:rsidRPr="00E471F9">
        <w:rPr>
          <w:rFonts w:cs="Times New Roman"/>
        </w:rPr>
        <w:t>,</w:t>
      </w:r>
      <w:r w:rsidR="003A2E1D" w:rsidRPr="00E471F9">
        <w:rPr>
          <w:rFonts w:cs="Times New Roman"/>
        </w:rPr>
        <w:t>”</w:t>
      </w:r>
      <w:r w:rsidRPr="00E471F9">
        <w:rPr>
          <w:rFonts w:cs="Times New Roman"/>
        </w:rPr>
        <w:t xml:space="preserve"> it must be construed in such a </w:t>
      </w:r>
      <w:r w:rsidR="00853D44" w:rsidRPr="00E471F9">
        <w:rPr>
          <w:rFonts w:cs="Times New Roman"/>
        </w:rPr>
        <w:t>manner that</w:t>
      </w:r>
      <w:r w:rsidR="008D68A7" w:rsidRPr="00E471F9">
        <w:rPr>
          <w:rFonts w:cs="Times New Roman"/>
        </w:rPr>
        <w:t xml:space="preserve"> it was the </w:t>
      </w:r>
      <w:r w:rsidRPr="00E471F9">
        <w:rPr>
          <w:rFonts w:cs="Times New Roman"/>
        </w:rPr>
        <w:t xml:space="preserve">intention of the legislature </w:t>
      </w:r>
      <w:r w:rsidR="008D68A7" w:rsidRPr="00E471F9">
        <w:rPr>
          <w:rFonts w:cs="Times New Roman"/>
        </w:rPr>
        <w:t>to give</w:t>
      </w:r>
      <w:r w:rsidRPr="00E471F9">
        <w:rPr>
          <w:rFonts w:cs="Times New Roman"/>
        </w:rPr>
        <w:t xml:space="preserve"> an option to do one of the two. As far as they were concerned, they had done their part by stating in their founding affidavit the reasons why service could not be effected.</w:t>
      </w:r>
      <w:r w:rsidR="009E4758" w:rsidRPr="00E471F9">
        <w:rPr>
          <w:rFonts w:cs="Times New Roman"/>
        </w:rPr>
        <w:t xml:space="preserve"> They also contested that the two cases relied upon by the applicant, in contradistinction relate to certificates mandatorily specified by the respective statutes</w:t>
      </w:r>
      <w:r w:rsidR="00391E3C" w:rsidRPr="00E471F9">
        <w:rPr>
          <w:rFonts w:cs="Times New Roman"/>
        </w:rPr>
        <w:t xml:space="preserve"> not by the rules of the court which the court has powers to waive.</w:t>
      </w:r>
    </w:p>
    <w:p w:rsidR="009E4758" w:rsidRPr="00E471F9" w:rsidRDefault="009E4758" w:rsidP="00E471F9">
      <w:pPr>
        <w:spacing w:line="360" w:lineRule="auto"/>
        <w:jc w:val="both"/>
        <w:rPr>
          <w:rFonts w:cs="Times New Roman"/>
        </w:rPr>
      </w:pPr>
    </w:p>
    <w:p w:rsidR="00391E3C" w:rsidRPr="00E471F9" w:rsidRDefault="00BC65C7" w:rsidP="00A602F4">
      <w:pPr>
        <w:spacing w:line="360" w:lineRule="auto"/>
        <w:ind w:firstLine="360"/>
        <w:jc w:val="both"/>
        <w:rPr>
          <w:rFonts w:cs="Times New Roman"/>
        </w:rPr>
      </w:pPr>
      <w:r w:rsidRPr="00E471F9">
        <w:rPr>
          <w:rFonts w:cs="Times New Roman"/>
        </w:rPr>
        <w:t xml:space="preserve">This court is of the view </w:t>
      </w:r>
      <w:r w:rsidR="000978DB" w:rsidRPr="00E471F9">
        <w:rPr>
          <w:rFonts w:cs="Times New Roman"/>
        </w:rPr>
        <w:t>that since</w:t>
      </w:r>
      <w:r w:rsidRPr="00E471F9">
        <w:rPr>
          <w:rFonts w:cs="Times New Roman"/>
        </w:rPr>
        <w:t xml:space="preserve"> both provisions rule 60(4) (a) and (b) speak to one and the same thing</w:t>
      </w:r>
      <w:r w:rsidR="00391E3C" w:rsidRPr="00E471F9">
        <w:rPr>
          <w:rFonts w:cs="Times New Roman"/>
        </w:rPr>
        <w:t>,</w:t>
      </w:r>
      <w:r w:rsidRPr="00E471F9">
        <w:rPr>
          <w:rFonts w:cs="Times New Roman"/>
        </w:rPr>
        <w:t xml:space="preserve"> proof in writing embodying reasons why a notice has not been served, doing both will be superfluous as either one of the two methods will sufficiently address the mischief. Just as unanimously observed that there was an error in </w:t>
      </w:r>
      <w:r w:rsidR="0066714C" w:rsidRPr="00E471F9">
        <w:rPr>
          <w:rFonts w:cs="Times New Roman"/>
        </w:rPr>
        <w:t>referring</w:t>
      </w:r>
      <w:r w:rsidRPr="00E471F9">
        <w:rPr>
          <w:rFonts w:cs="Times New Roman"/>
        </w:rPr>
        <w:t xml:space="preserve"> to a no</w:t>
      </w:r>
      <w:r w:rsidR="0066714C" w:rsidRPr="00E471F9">
        <w:rPr>
          <w:rFonts w:cs="Times New Roman"/>
        </w:rPr>
        <w:t>n-</w:t>
      </w:r>
      <w:r w:rsidRPr="00E471F9">
        <w:rPr>
          <w:rFonts w:cs="Times New Roman"/>
        </w:rPr>
        <w:t>existing rule</w:t>
      </w:r>
      <w:r w:rsidR="0066714C" w:rsidRPr="00E471F9">
        <w:rPr>
          <w:rFonts w:cs="Times New Roman"/>
        </w:rPr>
        <w:t>,</w:t>
      </w:r>
      <w:r w:rsidRPr="00E471F9">
        <w:rPr>
          <w:rFonts w:cs="Times New Roman"/>
        </w:rPr>
        <w:t xml:space="preserve"> 61(2)(a) -(e)</w:t>
      </w:r>
      <w:r w:rsidR="0066714C" w:rsidRPr="00E471F9">
        <w:rPr>
          <w:rFonts w:cs="Times New Roman"/>
        </w:rPr>
        <w:t xml:space="preserve">, </w:t>
      </w:r>
      <w:r w:rsidRPr="00E471F9">
        <w:rPr>
          <w:rFonts w:cs="Times New Roman"/>
        </w:rPr>
        <w:t xml:space="preserve">as </w:t>
      </w:r>
      <w:r w:rsidR="0066714C" w:rsidRPr="00E471F9">
        <w:rPr>
          <w:rFonts w:cs="Times New Roman"/>
        </w:rPr>
        <w:t>detailed earlier on,</w:t>
      </w:r>
      <w:r w:rsidRPr="00E471F9">
        <w:rPr>
          <w:rFonts w:cs="Times New Roman"/>
        </w:rPr>
        <w:t xml:space="preserve"> the use of the word “and” in rule 60(4)</w:t>
      </w:r>
      <w:r w:rsidR="0066714C" w:rsidRPr="00E471F9">
        <w:rPr>
          <w:rFonts w:cs="Times New Roman"/>
        </w:rPr>
        <w:t xml:space="preserve">(a) and (b) is perceivably an error.  </w:t>
      </w:r>
    </w:p>
    <w:p w:rsidR="00391E3C" w:rsidRPr="00E471F9" w:rsidRDefault="00391E3C" w:rsidP="00E471F9">
      <w:pPr>
        <w:spacing w:line="360" w:lineRule="auto"/>
        <w:jc w:val="both"/>
        <w:rPr>
          <w:rFonts w:cs="Times New Roman"/>
        </w:rPr>
      </w:pPr>
    </w:p>
    <w:p w:rsidR="0060467D" w:rsidRPr="00E471F9" w:rsidRDefault="0066714C" w:rsidP="00A602F4">
      <w:pPr>
        <w:spacing w:line="360" w:lineRule="auto"/>
        <w:ind w:firstLine="360"/>
        <w:jc w:val="both"/>
        <w:rPr>
          <w:rFonts w:cs="Times New Roman"/>
        </w:rPr>
      </w:pPr>
      <w:r w:rsidRPr="00E471F9">
        <w:rPr>
          <w:rFonts w:cs="Times New Roman"/>
        </w:rPr>
        <w:t xml:space="preserve">This is one of the exceptional cases where the court is compelled to construe the provision in such a manner where the word </w:t>
      </w:r>
      <w:r w:rsidR="00853D44" w:rsidRPr="00E471F9">
        <w:rPr>
          <w:rFonts w:cs="Times New Roman"/>
        </w:rPr>
        <w:t>“and</w:t>
      </w:r>
      <w:r w:rsidRPr="00E471F9">
        <w:rPr>
          <w:rFonts w:cs="Times New Roman"/>
        </w:rPr>
        <w:t>’</w:t>
      </w:r>
      <w:r w:rsidR="0060467D" w:rsidRPr="00E471F9">
        <w:rPr>
          <w:rFonts w:cs="Times New Roman"/>
        </w:rPr>
        <w:t xml:space="preserve"> is overlooked as an </w:t>
      </w:r>
      <w:r w:rsidR="00853D44" w:rsidRPr="00E471F9">
        <w:rPr>
          <w:rFonts w:cs="Times New Roman"/>
        </w:rPr>
        <w:t>error so</w:t>
      </w:r>
      <w:r w:rsidR="004C3A30" w:rsidRPr="00E471F9">
        <w:rPr>
          <w:rFonts w:cs="Times New Roman"/>
        </w:rPr>
        <w:t xml:space="preserve"> </w:t>
      </w:r>
      <w:r w:rsidR="0060467D" w:rsidRPr="00E471F9">
        <w:rPr>
          <w:rFonts w:cs="Times New Roman"/>
        </w:rPr>
        <w:t xml:space="preserve">as to give effect to the </w:t>
      </w:r>
      <w:r w:rsidR="000978DB" w:rsidRPr="00E471F9">
        <w:rPr>
          <w:rFonts w:cs="Times New Roman"/>
        </w:rPr>
        <w:t>intention and</w:t>
      </w:r>
      <w:r w:rsidR="0060467D" w:rsidRPr="00E471F9">
        <w:rPr>
          <w:rFonts w:cs="Times New Roman"/>
        </w:rPr>
        <w:t xml:space="preserve"> </w:t>
      </w:r>
      <w:r w:rsidR="0060467D" w:rsidRPr="00E471F9">
        <w:rPr>
          <w:rFonts w:cs="Times New Roman"/>
        </w:rPr>
        <w:lastRenderedPageBreak/>
        <w:t xml:space="preserve">object of the legislature as borne in the context of the whole rule. See </w:t>
      </w:r>
      <w:r w:rsidR="0060467D" w:rsidRPr="00E471F9">
        <w:rPr>
          <w:rFonts w:cs="Times New Roman"/>
          <w:i/>
        </w:rPr>
        <w:t>R v Patel and Another</w:t>
      </w:r>
      <w:r w:rsidR="0060467D" w:rsidRPr="00E471F9">
        <w:rPr>
          <w:rFonts w:cs="Times New Roman"/>
        </w:rPr>
        <w:t xml:space="preserve">, 1944 AD 379 at 388, </w:t>
      </w:r>
      <w:r w:rsidR="0060467D" w:rsidRPr="00E471F9">
        <w:rPr>
          <w:rFonts w:cs="Times New Roman"/>
          <w:i/>
        </w:rPr>
        <w:t>R v Jaspan and Another</w:t>
      </w:r>
      <w:r w:rsidR="0060467D" w:rsidRPr="00E471F9">
        <w:rPr>
          <w:rFonts w:cs="Times New Roman"/>
        </w:rPr>
        <w:t xml:space="preserve"> 1940 Ad 9 </w:t>
      </w:r>
      <w:r w:rsidR="0060467D" w:rsidRPr="00E471F9">
        <w:rPr>
          <w:rFonts w:cs="Times New Roman"/>
          <w:i/>
        </w:rPr>
        <w:t>Storm &amp; Co. v Durban Municipality</w:t>
      </w:r>
      <w:r w:rsidR="0060467D" w:rsidRPr="00E471F9">
        <w:rPr>
          <w:rFonts w:cs="Times New Roman"/>
        </w:rPr>
        <w:t xml:space="preserve"> 1925 AD 49. In Principal </w:t>
      </w:r>
      <w:r w:rsidR="0060467D" w:rsidRPr="00E471F9">
        <w:rPr>
          <w:rFonts w:cs="Times New Roman"/>
          <w:i/>
        </w:rPr>
        <w:t>Immigration Officer v Hawabu and Another</w:t>
      </w:r>
      <w:r w:rsidR="0060467D" w:rsidRPr="00E471F9">
        <w:rPr>
          <w:rFonts w:cs="Times New Roman"/>
        </w:rPr>
        <w:t xml:space="preserve"> 1936 AD 26 at 31 De Villiers JA commented,</w:t>
      </w:r>
    </w:p>
    <w:p w:rsidR="0066714C" w:rsidRPr="00E471F9" w:rsidRDefault="0060467D" w:rsidP="00E471F9">
      <w:pPr>
        <w:spacing w:line="360" w:lineRule="auto"/>
        <w:jc w:val="both"/>
        <w:rPr>
          <w:rFonts w:cs="Times New Roman"/>
        </w:rPr>
      </w:pPr>
      <w:r w:rsidRPr="00E471F9">
        <w:rPr>
          <w:rFonts w:cs="Times New Roman"/>
        </w:rPr>
        <w:t>“It is true that, even where the words of an Act are capable of one meaning only, there is an exceptional class of extreme cases in which courts of law have felt themselves compelled to ‘modify</w:t>
      </w:r>
      <w:r w:rsidR="004C3A30" w:rsidRPr="00E471F9">
        <w:rPr>
          <w:rFonts w:cs="Times New Roman"/>
        </w:rPr>
        <w:t>,</w:t>
      </w:r>
      <w:r w:rsidRPr="00E471F9">
        <w:rPr>
          <w:rFonts w:cs="Times New Roman"/>
        </w:rPr>
        <w:t xml:space="preserve">’ </w:t>
      </w:r>
      <w:r w:rsidR="004C3A30" w:rsidRPr="00E471F9">
        <w:rPr>
          <w:rFonts w:cs="Times New Roman"/>
        </w:rPr>
        <w:t>‘</w:t>
      </w:r>
      <w:r w:rsidRPr="00E471F9">
        <w:rPr>
          <w:rFonts w:cs="Times New Roman"/>
        </w:rPr>
        <w:t xml:space="preserve">cut down’ or </w:t>
      </w:r>
      <w:r w:rsidR="004C3A30" w:rsidRPr="00E471F9">
        <w:rPr>
          <w:rFonts w:cs="Times New Roman"/>
        </w:rPr>
        <w:t>‘</w:t>
      </w:r>
      <w:r w:rsidR="00E471F9" w:rsidRPr="00E471F9">
        <w:rPr>
          <w:rFonts w:cs="Times New Roman"/>
        </w:rPr>
        <w:t>vary ‘the</w:t>
      </w:r>
      <w:r w:rsidRPr="00E471F9">
        <w:rPr>
          <w:rFonts w:cs="Times New Roman"/>
        </w:rPr>
        <w:t xml:space="preserve"> words used by the Legislature.” </w:t>
      </w:r>
      <w:r w:rsidR="0066714C" w:rsidRPr="00E471F9">
        <w:rPr>
          <w:rFonts w:cs="Times New Roman"/>
        </w:rPr>
        <w:t xml:space="preserve"> </w:t>
      </w:r>
    </w:p>
    <w:p w:rsidR="004C3A30" w:rsidRPr="00E471F9" w:rsidRDefault="004C3A30" w:rsidP="00E471F9">
      <w:pPr>
        <w:spacing w:line="360" w:lineRule="auto"/>
        <w:jc w:val="both"/>
        <w:rPr>
          <w:rFonts w:cs="Times New Roman"/>
        </w:rPr>
      </w:pPr>
    </w:p>
    <w:p w:rsidR="00314B15" w:rsidRPr="00E471F9" w:rsidRDefault="004C3A30" w:rsidP="00A602F4">
      <w:pPr>
        <w:spacing w:line="360" w:lineRule="auto"/>
        <w:ind w:firstLine="709"/>
        <w:jc w:val="both"/>
        <w:rPr>
          <w:rFonts w:cs="Times New Roman"/>
        </w:rPr>
      </w:pPr>
      <w:r w:rsidRPr="00E471F9">
        <w:rPr>
          <w:rFonts w:cs="Times New Roman"/>
        </w:rPr>
        <w:t xml:space="preserve">Further, the cases of </w:t>
      </w:r>
      <w:r w:rsidR="00853D44" w:rsidRPr="00E471F9">
        <w:rPr>
          <w:rFonts w:cs="Times New Roman"/>
          <w:i/>
        </w:rPr>
        <w:t>Gerrat Trust</w:t>
      </w:r>
      <w:r w:rsidRPr="00E471F9">
        <w:rPr>
          <w:rFonts w:cs="Times New Roman"/>
        </w:rPr>
        <w:t xml:space="preserve"> and </w:t>
      </w:r>
      <w:r w:rsidRPr="00E471F9">
        <w:rPr>
          <w:rFonts w:cs="Times New Roman"/>
          <w:i/>
        </w:rPr>
        <w:t>Matambanadzo</w:t>
      </w:r>
      <w:r w:rsidR="001D5C1E" w:rsidRPr="00E471F9">
        <w:rPr>
          <w:rFonts w:cs="Times New Roman"/>
          <w:i/>
        </w:rPr>
        <w:t xml:space="preserve"> </w:t>
      </w:r>
      <w:r w:rsidR="00853D44" w:rsidRPr="00E471F9">
        <w:rPr>
          <w:rFonts w:cs="Times New Roman"/>
          <w:i/>
        </w:rPr>
        <w:t>v Govens</w:t>
      </w:r>
      <w:r w:rsidR="001D5C1E" w:rsidRPr="00E471F9">
        <w:rPr>
          <w:rFonts w:cs="Times New Roman"/>
          <w:i/>
        </w:rPr>
        <w:t xml:space="preserve"> SC23/.2004 </w:t>
      </w:r>
      <w:r w:rsidRPr="00E471F9">
        <w:rPr>
          <w:rFonts w:cs="Times New Roman"/>
        </w:rPr>
        <w:t xml:space="preserve">  </w:t>
      </w:r>
      <w:r w:rsidR="00853D44" w:rsidRPr="00E471F9">
        <w:rPr>
          <w:rFonts w:cs="Times New Roman"/>
        </w:rPr>
        <w:t>above,</w:t>
      </w:r>
      <w:r w:rsidR="00463A2B" w:rsidRPr="00E471F9">
        <w:rPr>
          <w:rFonts w:cs="Times New Roman"/>
        </w:rPr>
        <w:t xml:space="preserve"> are distinguishable in that,</w:t>
      </w:r>
      <w:r w:rsidRPr="00E471F9">
        <w:rPr>
          <w:rFonts w:cs="Times New Roman"/>
        </w:rPr>
        <w:t xml:space="preserve"> the certificates mentioned therein where</w:t>
      </w:r>
      <w:r w:rsidR="00F14B10" w:rsidRPr="00E471F9">
        <w:rPr>
          <w:rFonts w:cs="Times New Roman"/>
        </w:rPr>
        <w:t xml:space="preserve"> mandatory certificates, without which any action taken in their absence was a legal nullity, in terms of Statutory law</w:t>
      </w:r>
      <w:r w:rsidR="00463A2B" w:rsidRPr="00E471F9">
        <w:rPr>
          <w:rFonts w:cs="Times New Roman"/>
        </w:rPr>
        <w:t xml:space="preserve"> which is substantive law.</w:t>
      </w:r>
      <w:r w:rsidR="00F14B10" w:rsidRPr="00E471F9">
        <w:rPr>
          <w:rFonts w:cs="Times New Roman"/>
        </w:rPr>
        <w:t xml:space="preserve"> </w:t>
      </w:r>
      <w:r w:rsidR="009E4758" w:rsidRPr="00E471F9">
        <w:rPr>
          <w:rFonts w:cs="Times New Roman"/>
        </w:rPr>
        <w:t>I</w:t>
      </w:r>
      <w:r w:rsidR="001D5C1E" w:rsidRPr="00E471F9">
        <w:rPr>
          <w:rFonts w:cs="Times New Roman"/>
        </w:rPr>
        <w:t>n</w:t>
      </w:r>
      <w:r w:rsidR="001D5C1E" w:rsidRPr="00E471F9">
        <w:rPr>
          <w:rFonts w:cs="Times New Roman"/>
          <w:i/>
        </w:rPr>
        <w:t xml:space="preserve"> </w:t>
      </w:r>
      <w:r w:rsidR="009E4758" w:rsidRPr="00E471F9">
        <w:rPr>
          <w:rFonts w:cs="Times New Roman"/>
          <w:i/>
        </w:rPr>
        <w:t>M</w:t>
      </w:r>
      <w:r w:rsidR="001D5C1E" w:rsidRPr="00E471F9">
        <w:rPr>
          <w:rFonts w:cs="Times New Roman"/>
          <w:i/>
        </w:rPr>
        <w:t>atambanadzo</w:t>
      </w:r>
      <w:r w:rsidR="001D5C1E" w:rsidRPr="00E471F9">
        <w:rPr>
          <w:rFonts w:cs="Times New Roman"/>
        </w:rPr>
        <w:t xml:space="preserve"> </w:t>
      </w:r>
      <w:r w:rsidR="009E4758" w:rsidRPr="00E471F9">
        <w:rPr>
          <w:rFonts w:cs="Times New Roman"/>
        </w:rPr>
        <w:t xml:space="preserve">as correctly pointed out </w:t>
      </w:r>
      <w:r w:rsidR="00853D44" w:rsidRPr="00E471F9">
        <w:rPr>
          <w:rFonts w:cs="Times New Roman"/>
        </w:rPr>
        <w:t>by first</w:t>
      </w:r>
      <w:r w:rsidR="009E4758" w:rsidRPr="00E471F9">
        <w:rPr>
          <w:rFonts w:cs="Times New Roman"/>
        </w:rPr>
        <w:t xml:space="preserve"> respondent, t</w:t>
      </w:r>
      <w:r w:rsidR="001D5C1E" w:rsidRPr="00E471F9">
        <w:rPr>
          <w:rFonts w:cs="Times New Roman"/>
        </w:rPr>
        <w:t xml:space="preserve">he certificate from the rent board was a prerequisite for the granting </w:t>
      </w:r>
      <w:r w:rsidR="00853D44" w:rsidRPr="00E471F9">
        <w:rPr>
          <w:rFonts w:cs="Times New Roman"/>
        </w:rPr>
        <w:t>of an</w:t>
      </w:r>
      <w:r w:rsidR="001D5C1E" w:rsidRPr="00E471F9">
        <w:rPr>
          <w:rFonts w:cs="Times New Roman"/>
        </w:rPr>
        <w:t xml:space="preserve"> eviction order.</w:t>
      </w:r>
      <w:r w:rsidR="00F14B10" w:rsidRPr="00E471F9">
        <w:rPr>
          <w:rFonts w:cs="Times New Roman"/>
        </w:rPr>
        <w:t xml:space="preserve">  </w:t>
      </w:r>
      <w:r w:rsidR="00463A2B" w:rsidRPr="00E471F9">
        <w:rPr>
          <w:rFonts w:cs="Times New Roman"/>
        </w:rPr>
        <w:t xml:space="preserve">In </w:t>
      </w:r>
      <w:r w:rsidR="00F14B10" w:rsidRPr="00E471F9">
        <w:rPr>
          <w:rFonts w:cs="Times New Roman"/>
        </w:rPr>
        <w:t>the</w:t>
      </w:r>
      <w:r w:rsidR="00F14B10" w:rsidRPr="00E471F9">
        <w:rPr>
          <w:rFonts w:cs="Times New Roman"/>
          <w:i/>
        </w:rPr>
        <w:t xml:space="preserve"> </w:t>
      </w:r>
      <w:r w:rsidR="009E4758" w:rsidRPr="00E471F9">
        <w:rPr>
          <w:rFonts w:cs="Times New Roman"/>
          <w:i/>
        </w:rPr>
        <w:t>G</w:t>
      </w:r>
      <w:r w:rsidR="00F14B10" w:rsidRPr="00E471F9">
        <w:rPr>
          <w:rFonts w:cs="Times New Roman"/>
          <w:i/>
        </w:rPr>
        <w:t>errat</w:t>
      </w:r>
      <w:r w:rsidR="00F14B10" w:rsidRPr="00E471F9">
        <w:rPr>
          <w:rFonts w:cs="Times New Roman"/>
        </w:rPr>
        <w:t xml:space="preserve"> case a certificate issued by the Master was compulsory in terms of s5(4) (a) and (b) of the Insolvency Act Chapter 6:07</w:t>
      </w:r>
      <w:r w:rsidR="0051213C" w:rsidRPr="00E471F9">
        <w:rPr>
          <w:rFonts w:cs="Times New Roman"/>
        </w:rPr>
        <w:t>.</w:t>
      </w:r>
      <w:r w:rsidR="00463A2B" w:rsidRPr="00E471F9">
        <w:rPr>
          <w:rFonts w:cs="Times New Roman"/>
        </w:rPr>
        <w:t xml:space="preserve"> In contradistinction, the certificate </w:t>
      </w:r>
      <w:r w:rsidR="00463A2B" w:rsidRPr="00E471F9">
        <w:rPr>
          <w:rFonts w:cs="Times New Roman"/>
          <w:i/>
        </w:rPr>
        <w:t>in casu</w:t>
      </w:r>
      <w:r w:rsidR="00463A2B" w:rsidRPr="00E471F9">
        <w:rPr>
          <w:rFonts w:cs="Times New Roman"/>
        </w:rPr>
        <w:t xml:space="preserve"> is a procedural requirement which is subject to waiver by the court in terms of rule 7 of the current High court rules, that is if it is accepted that section 60(</w:t>
      </w:r>
      <w:r w:rsidR="00853D44" w:rsidRPr="00E471F9">
        <w:rPr>
          <w:rFonts w:cs="Times New Roman"/>
        </w:rPr>
        <w:t>4) (a</w:t>
      </w:r>
      <w:r w:rsidR="00463A2B" w:rsidRPr="00E471F9">
        <w:rPr>
          <w:rFonts w:cs="Times New Roman"/>
        </w:rPr>
        <w:t>) and (</w:t>
      </w:r>
      <w:r w:rsidR="000978DB" w:rsidRPr="00E471F9">
        <w:rPr>
          <w:rFonts w:cs="Times New Roman"/>
        </w:rPr>
        <w:t>b) are</w:t>
      </w:r>
      <w:r w:rsidR="00463A2B" w:rsidRPr="00E471F9">
        <w:rPr>
          <w:rFonts w:cs="Times New Roman"/>
        </w:rPr>
        <w:t xml:space="preserve"> to </w:t>
      </w:r>
      <w:r w:rsidR="000978DB" w:rsidRPr="00E471F9">
        <w:rPr>
          <w:rFonts w:cs="Times New Roman"/>
        </w:rPr>
        <w:t>be read</w:t>
      </w:r>
      <w:r w:rsidR="00463A2B" w:rsidRPr="00E471F9">
        <w:rPr>
          <w:rFonts w:cs="Times New Roman"/>
        </w:rPr>
        <w:t xml:space="preserve"> conjunctively. </w:t>
      </w:r>
      <w:r w:rsidR="00314B15" w:rsidRPr="00E471F9">
        <w:rPr>
          <w:rFonts w:cs="Times New Roman"/>
        </w:rPr>
        <w:t xml:space="preserve">  </w:t>
      </w:r>
      <w:r w:rsidR="00524618" w:rsidRPr="00E471F9">
        <w:rPr>
          <w:rFonts w:cs="Times New Roman"/>
        </w:rPr>
        <w:t>Nevertheless, a</w:t>
      </w:r>
      <w:r w:rsidR="00314B15" w:rsidRPr="00E471F9">
        <w:rPr>
          <w:rFonts w:cs="Times New Roman"/>
        </w:rPr>
        <w:t xml:space="preserve"> finding has already been made that it is not the case, the certificate can only be filed when the affidavit is silent on reasons for not notifying other interested parties as both serve the same purpose. </w:t>
      </w:r>
    </w:p>
    <w:p w:rsidR="00391E3C" w:rsidRPr="00E471F9" w:rsidRDefault="00391E3C" w:rsidP="00E471F9">
      <w:pPr>
        <w:spacing w:line="360" w:lineRule="auto"/>
        <w:jc w:val="both"/>
        <w:rPr>
          <w:rFonts w:cs="Times New Roman"/>
        </w:rPr>
      </w:pPr>
    </w:p>
    <w:p w:rsidR="00F14B10" w:rsidRPr="00E471F9" w:rsidRDefault="00314B15" w:rsidP="00A602F4">
      <w:pPr>
        <w:spacing w:line="360" w:lineRule="auto"/>
        <w:ind w:firstLine="709"/>
        <w:jc w:val="both"/>
        <w:rPr>
          <w:rFonts w:cs="Times New Roman"/>
        </w:rPr>
      </w:pPr>
      <w:r w:rsidRPr="00E471F9">
        <w:rPr>
          <w:rFonts w:cs="Times New Roman"/>
        </w:rPr>
        <w:t xml:space="preserve">This court is of the view that there was no error on the part of the </w:t>
      </w:r>
      <w:r w:rsidR="00524618" w:rsidRPr="00E471F9">
        <w:rPr>
          <w:rFonts w:cs="Times New Roman"/>
        </w:rPr>
        <w:t>presiding court</w:t>
      </w:r>
      <w:r w:rsidRPr="00E471F9">
        <w:rPr>
          <w:rFonts w:cs="Times New Roman"/>
        </w:rPr>
        <w:t xml:space="preserve"> even though that issue had not been brought to its attention.</w:t>
      </w:r>
      <w:r w:rsidR="00422785" w:rsidRPr="00E471F9">
        <w:rPr>
          <w:rFonts w:cs="Times New Roman"/>
        </w:rPr>
        <w:t xml:space="preserve"> </w:t>
      </w:r>
      <w:r w:rsidRPr="00E471F9">
        <w:rPr>
          <w:rFonts w:cs="Times New Roman"/>
        </w:rPr>
        <w:t xml:space="preserve">It therefore does not qualify as a patent </w:t>
      </w:r>
      <w:r w:rsidR="00422785" w:rsidRPr="00E471F9">
        <w:rPr>
          <w:rFonts w:cs="Times New Roman"/>
        </w:rPr>
        <w:t xml:space="preserve">error or omission. </w:t>
      </w:r>
      <w:r w:rsidRPr="00E471F9">
        <w:rPr>
          <w:rFonts w:cs="Times New Roman"/>
        </w:rPr>
        <w:t>More</w:t>
      </w:r>
      <w:r w:rsidR="00422785" w:rsidRPr="00E471F9">
        <w:rPr>
          <w:rFonts w:cs="Times New Roman"/>
        </w:rPr>
        <w:t>over, the applicant’s application has been brought specifically under rule 29 (1) (a) and no other.</w:t>
      </w:r>
      <w:r w:rsidRPr="00E471F9">
        <w:rPr>
          <w:rFonts w:cs="Times New Roman"/>
        </w:rPr>
        <w:t xml:space="preserve"> </w:t>
      </w:r>
      <w:r w:rsidR="00463A2B" w:rsidRPr="00E471F9">
        <w:rPr>
          <w:rFonts w:cs="Times New Roman"/>
        </w:rPr>
        <w:t xml:space="preserve"> </w:t>
      </w:r>
    </w:p>
    <w:p w:rsidR="00F14B10" w:rsidRPr="00E471F9" w:rsidRDefault="00422785" w:rsidP="00A602F4">
      <w:pPr>
        <w:spacing w:line="360" w:lineRule="auto"/>
        <w:ind w:firstLine="709"/>
        <w:jc w:val="both"/>
        <w:rPr>
          <w:rFonts w:cs="Times New Roman"/>
        </w:rPr>
      </w:pPr>
      <w:r w:rsidRPr="00E471F9">
        <w:rPr>
          <w:rFonts w:cs="Times New Roman"/>
        </w:rPr>
        <w:t xml:space="preserve">Whether or not the order adversely affects the applicant is not a valid ground to have the order rescinded. They contractually bound themselves through a deed of settlement and all its clauses that culminated </w:t>
      </w:r>
      <w:r w:rsidR="00853D44" w:rsidRPr="00E471F9">
        <w:rPr>
          <w:rFonts w:cs="Times New Roman"/>
        </w:rPr>
        <w:t>into the</w:t>
      </w:r>
      <w:r w:rsidRPr="00E471F9">
        <w:rPr>
          <w:rFonts w:cs="Times New Roman"/>
        </w:rPr>
        <w:t xml:space="preserve"> impugned decision. Come reckoning time, they want to hide behind the finger. </w:t>
      </w:r>
      <w:r w:rsidR="00391E3C" w:rsidRPr="00E471F9">
        <w:rPr>
          <w:rFonts w:cs="Times New Roman"/>
        </w:rPr>
        <w:t>Hard as it maybe t</w:t>
      </w:r>
      <w:r w:rsidRPr="00E471F9">
        <w:rPr>
          <w:rFonts w:cs="Times New Roman"/>
        </w:rPr>
        <w:t>hey must face the music.</w:t>
      </w:r>
    </w:p>
    <w:p w:rsidR="00BC5B23" w:rsidRPr="00E471F9" w:rsidRDefault="00BC5B23" w:rsidP="00E471F9">
      <w:pPr>
        <w:spacing w:line="360" w:lineRule="auto"/>
        <w:jc w:val="both"/>
        <w:rPr>
          <w:rFonts w:cs="Times New Roman"/>
        </w:rPr>
      </w:pPr>
    </w:p>
    <w:p w:rsidR="00717B9D" w:rsidRPr="00E471F9" w:rsidRDefault="00BC5B23" w:rsidP="00A602F4">
      <w:pPr>
        <w:spacing w:line="360" w:lineRule="auto"/>
        <w:ind w:firstLine="709"/>
        <w:jc w:val="both"/>
        <w:rPr>
          <w:rFonts w:cs="Times New Roman"/>
        </w:rPr>
      </w:pPr>
      <w:r w:rsidRPr="00E471F9">
        <w:rPr>
          <w:rFonts w:cs="Times New Roman"/>
        </w:rPr>
        <w:t xml:space="preserve">The same applies to the second respondents. The deed of surety </w:t>
      </w:r>
      <w:r w:rsidRPr="00E471F9">
        <w:rPr>
          <w:rFonts w:cs="Times New Roman"/>
          <w:i/>
        </w:rPr>
        <w:t>cum</w:t>
      </w:r>
      <w:r w:rsidRPr="00E471F9">
        <w:rPr>
          <w:rFonts w:cs="Times New Roman"/>
        </w:rPr>
        <w:t xml:space="preserve"> Credit Guarantee, on page 84 of the record needs no elaboration. It binds them hook, line and sinker. They took an undertaking to step into the shoes of the applicant.</w:t>
      </w:r>
      <w:r w:rsidR="00FD1C6C" w:rsidRPr="00E471F9">
        <w:rPr>
          <w:rFonts w:cs="Times New Roman"/>
        </w:rPr>
        <w:t xml:space="preserve"> They are bound by the same.</w:t>
      </w:r>
      <w:r w:rsidRPr="00E471F9">
        <w:rPr>
          <w:rFonts w:cs="Times New Roman"/>
        </w:rPr>
        <w:t xml:space="preserve"> Contrary to their argument that they are not part to the deed of settlement hence they had the right to be served with notice as the outcome affected their interests. The caption of the </w:t>
      </w:r>
      <w:r w:rsidR="00FD1C6C" w:rsidRPr="00E471F9">
        <w:rPr>
          <w:rFonts w:cs="Times New Roman"/>
        </w:rPr>
        <w:t>C</w:t>
      </w:r>
      <w:r w:rsidRPr="00E471F9">
        <w:rPr>
          <w:rFonts w:cs="Times New Roman"/>
        </w:rPr>
        <w:t xml:space="preserve">redit </w:t>
      </w:r>
      <w:r w:rsidR="00E471F9" w:rsidRPr="00E471F9">
        <w:rPr>
          <w:rFonts w:cs="Times New Roman"/>
        </w:rPr>
        <w:t>Guarantee</w:t>
      </w:r>
      <w:r w:rsidRPr="00E471F9">
        <w:rPr>
          <w:rFonts w:cs="Times New Roman"/>
        </w:rPr>
        <w:t xml:space="preserve">, </w:t>
      </w:r>
      <w:r w:rsidR="00853D44" w:rsidRPr="00E471F9">
        <w:rPr>
          <w:rFonts w:cs="Times New Roman"/>
        </w:rPr>
        <w:t>“Deed</w:t>
      </w:r>
      <w:r w:rsidRPr="00E471F9">
        <w:rPr>
          <w:rFonts w:cs="Times New Roman"/>
        </w:rPr>
        <w:t xml:space="preserve"> of </w:t>
      </w:r>
      <w:r w:rsidRPr="00E471F9">
        <w:rPr>
          <w:rFonts w:cs="Times New Roman"/>
        </w:rPr>
        <w:lastRenderedPageBreak/>
        <w:t xml:space="preserve">Suretyship for the performance in relation to the deed of settlement in the matter between </w:t>
      </w:r>
      <w:r w:rsidR="00853D44" w:rsidRPr="00E471F9">
        <w:rPr>
          <w:rFonts w:cs="Times New Roman"/>
        </w:rPr>
        <w:t>Tendayi Bernadette</w:t>
      </w:r>
      <w:r w:rsidRPr="00E471F9">
        <w:rPr>
          <w:rFonts w:cs="Times New Roman"/>
        </w:rPr>
        <w:t xml:space="preserve"> </w:t>
      </w:r>
      <w:r w:rsidR="00FD1C6C" w:rsidRPr="00E471F9">
        <w:rPr>
          <w:rFonts w:cs="Times New Roman"/>
        </w:rPr>
        <w:t>H</w:t>
      </w:r>
      <w:r w:rsidRPr="00E471F9">
        <w:rPr>
          <w:rFonts w:cs="Times New Roman"/>
        </w:rPr>
        <w:t xml:space="preserve">lupo vs </w:t>
      </w:r>
      <w:r w:rsidR="00FD1C6C" w:rsidRPr="00E471F9">
        <w:rPr>
          <w:rFonts w:cs="Times New Roman"/>
        </w:rPr>
        <w:t>D</w:t>
      </w:r>
      <w:r w:rsidRPr="00E471F9">
        <w:rPr>
          <w:rFonts w:cs="Times New Roman"/>
        </w:rPr>
        <w:t xml:space="preserve">ouglas </w:t>
      </w:r>
      <w:r w:rsidR="00FD1C6C" w:rsidRPr="00E471F9">
        <w:rPr>
          <w:rFonts w:cs="Times New Roman"/>
        </w:rPr>
        <w:t>M</w:t>
      </w:r>
      <w:r w:rsidRPr="00E471F9">
        <w:rPr>
          <w:rFonts w:cs="Times New Roman"/>
        </w:rPr>
        <w:t>amvur</w:t>
      </w:r>
      <w:r w:rsidR="00524618" w:rsidRPr="00E471F9">
        <w:rPr>
          <w:rFonts w:cs="Times New Roman"/>
        </w:rPr>
        <w:t>a</w:t>
      </w:r>
      <w:r w:rsidRPr="00E471F9">
        <w:rPr>
          <w:rFonts w:cs="Times New Roman"/>
        </w:rPr>
        <w:t xml:space="preserve"> case no. </w:t>
      </w:r>
      <w:r w:rsidR="00FD1C6C" w:rsidRPr="00E471F9">
        <w:rPr>
          <w:rFonts w:cs="Times New Roman"/>
        </w:rPr>
        <w:t>HC</w:t>
      </w:r>
      <w:r w:rsidRPr="00E471F9">
        <w:rPr>
          <w:rFonts w:cs="Times New Roman"/>
        </w:rPr>
        <w:t xml:space="preserve"> 7249/21</w:t>
      </w:r>
      <w:r w:rsidR="00FD1C6C" w:rsidRPr="00E471F9">
        <w:rPr>
          <w:rFonts w:cs="Times New Roman"/>
        </w:rPr>
        <w:t>,</w:t>
      </w:r>
      <w:r w:rsidRPr="00E471F9">
        <w:rPr>
          <w:rFonts w:cs="Times New Roman"/>
        </w:rPr>
        <w:t>”</w:t>
      </w:r>
      <w:r w:rsidR="00FD1C6C" w:rsidRPr="00E471F9">
        <w:rPr>
          <w:rFonts w:cs="Times New Roman"/>
        </w:rPr>
        <w:t xml:space="preserve"> disapproves that averment.</w:t>
      </w:r>
    </w:p>
    <w:p w:rsidR="00717B9D" w:rsidRPr="00E471F9" w:rsidRDefault="00717B9D" w:rsidP="00E471F9">
      <w:pPr>
        <w:spacing w:line="360" w:lineRule="auto"/>
        <w:jc w:val="both"/>
        <w:rPr>
          <w:rFonts w:cs="Times New Roman"/>
        </w:rPr>
      </w:pPr>
    </w:p>
    <w:p w:rsidR="00BC5B23" w:rsidRPr="00E471F9" w:rsidRDefault="00FD1C6C" w:rsidP="00A602F4">
      <w:pPr>
        <w:spacing w:line="360" w:lineRule="auto"/>
        <w:ind w:firstLine="709"/>
        <w:jc w:val="both"/>
        <w:rPr>
          <w:rFonts w:cs="Times New Roman"/>
        </w:rPr>
      </w:pPr>
      <w:r w:rsidRPr="00E471F9">
        <w:rPr>
          <w:rFonts w:cs="Times New Roman"/>
        </w:rPr>
        <w:t>What this means</w:t>
      </w:r>
      <w:r w:rsidR="00822639" w:rsidRPr="00E471F9">
        <w:rPr>
          <w:rFonts w:cs="Times New Roman"/>
        </w:rPr>
        <w:t xml:space="preserve"> is</w:t>
      </w:r>
      <w:r w:rsidRPr="00E471F9">
        <w:rPr>
          <w:rFonts w:cs="Times New Roman"/>
        </w:rPr>
        <w:t xml:space="preserve"> that, the waiver to be served with notice applied to them </w:t>
      </w:r>
      <w:r w:rsidRPr="00E471F9">
        <w:rPr>
          <w:rFonts w:cs="Times New Roman"/>
          <w:i/>
        </w:rPr>
        <w:t xml:space="preserve">mutatis mutandis. </w:t>
      </w:r>
      <w:r w:rsidRPr="00E471F9">
        <w:rPr>
          <w:rFonts w:cs="Times New Roman"/>
        </w:rPr>
        <w:t xml:space="preserve">It is not an excuse that the first applicant did not fulfil its part of the bargain in terms of a contract that was between themselves. The Deed of Surety should not have been released if its terms had not been fully complied with. Its release meant </w:t>
      </w:r>
      <w:r w:rsidR="00822639" w:rsidRPr="00E471F9">
        <w:rPr>
          <w:rFonts w:cs="Times New Roman"/>
        </w:rPr>
        <w:t xml:space="preserve">everything was </w:t>
      </w:r>
      <w:r w:rsidR="00717B9D" w:rsidRPr="00E471F9">
        <w:rPr>
          <w:rFonts w:cs="Times New Roman"/>
        </w:rPr>
        <w:t>i</w:t>
      </w:r>
      <w:r w:rsidR="00822639" w:rsidRPr="00E471F9">
        <w:rPr>
          <w:rFonts w:cs="Times New Roman"/>
        </w:rPr>
        <w:t xml:space="preserve">n order at the time.  Had the second responded not </w:t>
      </w:r>
      <w:r w:rsidR="00524618" w:rsidRPr="00E471F9">
        <w:rPr>
          <w:rFonts w:cs="Times New Roman"/>
        </w:rPr>
        <w:t>explicitly</w:t>
      </w:r>
      <w:r w:rsidR="00822639" w:rsidRPr="00E471F9">
        <w:rPr>
          <w:rFonts w:cs="Times New Roman"/>
        </w:rPr>
        <w:t xml:space="preserve"> associated themselves with the deed of </w:t>
      </w:r>
      <w:r w:rsidR="00524618" w:rsidRPr="00E471F9">
        <w:rPr>
          <w:rFonts w:cs="Times New Roman"/>
        </w:rPr>
        <w:t>settlement</w:t>
      </w:r>
      <w:r w:rsidR="00822639" w:rsidRPr="00E471F9">
        <w:rPr>
          <w:rFonts w:cs="Times New Roman"/>
        </w:rPr>
        <w:t xml:space="preserve"> then maybe they would have deserved the right to be given notice. However, they became part and parcel of the deed of settlement itself and cannot escape from joint liability.</w:t>
      </w:r>
    </w:p>
    <w:p w:rsidR="004C3A30" w:rsidRPr="00E471F9" w:rsidRDefault="004C3A30" w:rsidP="00E471F9">
      <w:pPr>
        <w:spacing w:line="360" w:lineRule="auto"/>
        <w:jc w:val="both"/>
        <w:rPr>
          <w:rFonts w:cs="Times New Roman"/>
        </w:rPr>
      </w:pPr>
    </w:p>
    <w:p w:rsidR="00524618" w:rsidRPr="00E471F9" w:rsidRDefault="00822639" w:rsidP="00A602F4">
      <w:pPr>
        <w:spacing w:line="360" w:lineRule="auto"/>
        <w:ind w:firstLine="709"/>
        <w:jc w:val="both"/>
        <w:rPr>
          <w:rFonts w:cs="Times New Roman"/>
        </w:rPr>
      </w:pPr>
      <w:r w:rsidRPr="00E471F9">
        <w:rPr>
          <w:rFonts w:cs="Times New Roman"/>
        </w:rPr>
        <w:t xml:space="preserve">As a </w:t>
      </w:r>
      <w:r w:rsidR="00853D44" w:rsidRPr="00E471F9">
        <w:rPr>
          <w:rFonts w:cs="Times New Roman"/>
        </w:rPr>
        <w:t>result, there</w:t>
      </w:r>
      <w:r w:rsidRPr="00E471F9">
        <w:rPr>
          <w:rFonts w:cs="Times New Roman"/>
        </w:rPr>
        <w:t xml:space="preserve"> was no error warranting rescission of the order in case HC</w:t>
      </w:r>
      <w:r w:rsidR="00524618" w:rsidRPr="00E471F9">
        <w:rPr>
          <w:rFonts w:cs="Times New Roman"/>
        </w:rPr>
        <w:t>2502/22 in terms of rule 29(1)(a) nor for the violation of rule 60(4)b of the high court rules, S.I 202 of 2021.</w:t>
      </w:r>
    </w:p>
    <w:p w:rsidR="00524618" w:rsidRPr="00E471F9" w:rsidRDefault="00524618" w:rsidP="00E471F9">
      <w:pPr>
        <w:spacing w:line="360" w:lineRule="auto"/>
        <w:jc w:val="both"/>
        <w:rPr>
          <w:rFonts w:cs="Times New Roman"/>
        </w:rPr>
      </w:pPr>
    </w:p>
    <w:p w:rsidR="00524618" w:rsidRPr="00E471F9" w:rsidRDefault="00524618" w:rsidP="00A602F4">
      <w:pPr>
        <w:spacing w:line="360" w:lineRule="auto"/>
        <w:ind w:firstLine="709"/>
        <w:jc w:val="both"/>
        <w:rPr>
          <w:rFonts w:cs="Times New Roman"/>
        </w:rPr>
      </w:pPr>
      <w:r w:rsidRPr="00E471F9">
        <w:rPr>
          <w:rFonts w:cs="Times New Roman"/>
        </w:rPr>
        <w:t>Accordingly, the application is dismissed with costs.</w:t>
      </w:r>
    </w:p>
    <w:p w:rsidR="00524618" w:rsidRPr="00E471F9" w:rsidRDefault="00524618" w:rsidP="00E471F9">
      <w:pPr>
        <w:spacing w:line="360" w:lineRule="auto"/>
        <w:jc w:val="both"/>
        <w:rPr>
          <w:rFonts w:cs="Times New Roman"/>
        </w:rPr>
      </w:pPr>
    </w:p>
    <w:p w:rsidR="0066714C" w:rsidRPr="00E471F9" w:rsidRDefault="00524618" w:rsidP="00E471F9">
      <w:pPr>
        <w:spacing w:line="360" w:lineRule="auto"/>
        <w:jc w:val="both"/>
        <w:rPr>
          <w:rFonts w:cs="Times New Roman"/>
        </w:rPr>
      </w:pPr>
      <w:r w:rsidRPr="00E471F9">
        <w:rPr>
          <w:rFonts w:cs="Times New Roman"/>
        </w:rPr>
        <w:t xml:space="preserve"> </w:t>
      </w:r>
    </w:p>
    <w:p w:rsidR="0066714C" w:rsidRPr="00E471F9" w:rsidRDefault="00524618" w:rsidP="003C4987">
      <w:pPr>
        <w:jc w:val="both"/>
        <w:rPr>
          <w:rFonts w:cs="Times New Roman"/>
        </w:rPr>
      </w:pPr>
      <w:r w:rsidRPr="00E471F9">
        <w:rPr>
          <w:rFonts w:cs="Times New Roman"/>
          <w:i/>
        </w:rPr>
        <w:t>Chitewe Law Practice</w:t>
      </w:r>
      <w:r w:rsidRPr="00E471F9">
        <w:rPr>
          <w:rFonts w:cs="Times New Roman"/>
        </w:rPr>
        <w:t>, Applicant’s Legal Practitioners</w:t>
      </w:r>
    </w:p>
    <w:p w:rsidR="00524618" w:rsidRPr="00E471F9" w:rsidRDefault="00524618" w:rsidP="003C4987">
      <w:pPr>
        <w:jc w:val="both"/>
        <w:rPr>
          <w:rFonts w:cs="Times New Roman"/>
        </w:rPr>
      </w:pPr>
      <w:r w:rsidRPr="00E471F9">
        <w:rPr>
          <w:rFonts w:cs="Times New Roman"/>
          <w:i/>
        </w:rPr>
        <w:t>Chitapi &amp; Associates</w:t>
      </w:r>
      <w:r w:rsidRPr="00E471F9">
        <w:rPr>
          <w:rFonts w:cs="Times New Roman"/>
        </w:rPr>
        <w:t xml:space="preserve"> first respondent’s Legal Practitioners</w:t>
      </w:r>
    </w:p>
    <w:p w:rsidR="00B50F32" w:rsidRPr="00E471F9" w:rsidRDefault="00524618" w:rsidP="003C4987">
      <w:pPr>
        <w:jc w:val="both"/>
        <w:rPr>
          <w:rFonts w:cs="Times New Roman"/>
        </w:rPr>
      </w:pPr>
      <w:r w:rsidRPr="00E471F9">
        <w:rPr>
          <w:rFonts w:cs="Times New Roman"/>
          <w:i/>
        </w:rPr>
        <w:t>Kantor &amp;Immerman Legal Practitioners</w:t>
      </w:r>
      <w:r w:rsidRPr="00E471F9">
        <w:rPr>
          <w:rFonts w:cs="Times New Roman"/>
        </w:rPr>
        <w:t>, 2</w:t>
      </w:r>
      <w:r w:rsidRPr="00E471F9">
        <w:rPr>
          <w:rFonts w:cs="Times New Roman"/>
          <w:vertAlign w:val="superscript"/>
        </w:rPr>
        <w:t>nd</w:t>
      </w:r>
      <w:r w:rsidRPr="00E471F9">
        <w:rPr>
          <w:rFonts w:cs="Times New Roman"/>
        </w:rPr>
        <w:t xml:space="preserve"> Respondent’s Legal Practitioners </w:t>
      </w:r>
    </w:p>
    <w:sectPr w:rsidR="00B50F32" w:rsidRPr="00E471F9">
      <w:head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A47" w:rsidRDefault="00E70A47" w:rsidP="00E471F9">
      <w:r>
        <w:separator/>
      </w:r>
    </w:p>
  </w:endnote>
  <w:endnote w:type="continuationSeparator" w:id="0">
    <w:p w:rsidR="00E70A47" w:rsidRDefault="00E70A47" w:rsidP="00E4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A47" w:rsidRDefault="00E70A47" w:rsidP="00E471F9">
      <w:r>
        <w:separator/>
      </w:r>
    </w:p>
  </w:footnote>
  <w:footnote w:type="continuationSeparator" w:id="0">
    <w:p w:rsidR="00E70A47" w:rsidRDefault="00E70A47" w:rsidP="00E471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659400"/>
      <w:docPartObj>
        <w:docPartGallery w:val="Page Numbers (Top of Page)"/>
        <w:docPartUnique/>
      </w:docPartObj>
    </w:sdtPr>
    <w:sdtEndPr>
      <w:rPr>
        <w:noProof/>
      </w:rPr>
    </w:sdtEndPr>
    <w:sdtContent>
      <w:p w:rsidR="00E471F9" w:rsidRDefault="00E471F9">
        <w:pPr>
          <w:pStyle w:val="Header"/>
          <w:jc w:val="right"/>
        </w:pPr>
      </w:p>
      <w:p w:rsidR="00E471F9" w:rsidRDefault="00E471F9">
        <w:pPr>
          <w:pStyle w:val="Header"/>
          <w:jc w:val="right"/>
        </w:pPr>
      </w:p>
      <w:p w:rsidR="00E471F9" w:rsidRDefault="00E471F9">
        <w:pPr>
          <w:pStyle w:val="Header"/>
          <w:jc w:val="right"/>
          <w:rPr>
            <w:noProof/>
          </w:rPr>
        </w:pPr>
        <w:r>
          <w:fldChar w:fldCharType="begin"/>
        </w:r>
        <w:r>
          <w:instrText xml:space="preserve"> PAGE   \* MERGEFORMAT </w:instrText>
        </w:r>
        <w:r>
          <w:fldChar w:fldCharType="separate"/>
        </w:r>
        <w:r w:rsidR="003E0B0F">
          <w:rPr>
            <w:noProof/>
          </w:rPr>
          <w:t>1</w:t>
        </w:r>
        <w:r>
          <w:rPr>
            <w:noProof/>
          </w:rPr>
          <w:fldChar w:fldCharType="end"/>
        </w:r>
      </w:p>
      <w:p w:rsidR="00E471F9" w:rsidRDefault="003C4987" w:rsidP="00E471F9">
        <w:pPr>
          <w:pStyle w:val="Header"/>
          <w:jc w:val="right"/>
        </w:pPr>
        <w:r>
          <w:t>HH89-</w:t>
        </w:r>
        <w:r w:rsidR="00E471F9">
          <w:t>23</w:t>
        </w:r>
      </w:p>
      <w:p w:rsidR="00E471F9" w:rsidRDefault="00E471F9" w:rsidP="00E471F9">
        <w:pPr>
          <w:pStyle w:val="Header"/>
          <w:jc w:val="right"/>
        </w:pPr>
        <w:r>
          <w:t>HC5715/22</w:t>
        </w:r>
      </w:p>
      <w:p w:rsidR="00E471F9" w:rsidRDefault="00E70A47">
        <w:pPr>
          <w:pStyle w:val="Header"/>
          <w:jc w:val="right"/>
        </w:pPr>
      </w:p>
    </w:sdtContent>
  </w:sdt>
  <w:p w:rsidR="00E471F9" w:rsidRDefault="00E471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C7A46"/>
    <w:multiLevelType w:val="hybridMultilevel"/>
    <w:tmpl w:val="DEA0548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C333817"/>
    <w:multiLevelType w:val="hybridMultilevel"/>
    <w:tmpl w:val="75F49438"/>
    <w:lvl w:ilvl="0" w:tplc="F32EAC7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6C948D0"/>
    <w:multiLevelType w:val="hybridMultilevel"/>
    <w:tmpl w:val="3CF02710"/>
    <w:lvl w:ilvl="0" w:tplc="93908D8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32"/>
    <w:rsid w:val="0001162A"/>
    <w:rsid w:val="00017600"/>
    <w:rsid w:val="00031DF3"/>
    <w:rsid w:val="000978DB"/>
    <w:rsid w:val="000A0F4F"/>
    <w:rsid w:val="000A1684"/>
    <w:rsid w:val="0013506D"/>
    <w:rsid w:val="00171EAE"/>
    <w:rsid w:val="001A570A"/>
    <w:rsid w:val="001D40B2"/>
    <w:rsid w:val="001D5C1E"/>
    <w:rsid w:val="00224A62"/>
    <w:rsid w:val="00251F17"/>
    <w:rsid w:val="002627B4"/>
    <w:rsid w:val="00276E69"/>
    <w:rsid w:val="00314B15"/>
    <w:rsid w:val="00340ACB"/>
    <w:rsid w:val="00376545"/>
    <w:rsid w:val="00391E3C"/>
    <w:rsid w:val="003A2E1D"/>
    <w:rsid w:val="003C4987"/>
    <w:rsid w:val="003E0B0F"/>
    <w:rsid w:val="00422785"/>
    <w:rsid w:val="00463A2B"/>
    <w:rsid w:val="00473FF9"/>
    <w:rsid w:val="00482ECC"/>
    <w:rsid w:val="004C3A30"/>
    <w:rsid w:val="0051213C"/>
    <w:rsid w:val="00524618"/>
    <w:rsid w:val="0057605F"/>
    <w:rsid w:val="0060467D"/>
    <w:rsid w:val="006374BC"/>
    <w:rsid w:val="0066714C"/>
    <w:rsid w:val="00690F65"/>
    <w:rsid w:val="006B64B0"/>
    <w:rsid w:val="00717B9D"/>
    <w:rsid w:val="00727ED1"/>
    <w:rsid w:val="00795777"/>
    <w:rsid w:val="00795A17"/>
    <w:rsid w:val="007D6813"/>
    <w:rsid w:val="00822184"/>
    <w:rsid w:val="00822639"/>
    <w:rsid w:val="00826267"/>
    <w:rsid w:val="00853D44"/>
    <w:rsid w:val="008B73F7"/>
    <w:rsid w:val="008D68A7"/>
    <w:rsid w:val="008F014C"/>
    <w:rsid w:val="00913070"/>
    <w:rsid w:val="00964243"/>
    <w:rsid w:val="00986C27"/>
    <w:rsid w:val="009D12DA"/>
    <w:rsid w:val="009E4758"/>
    <w:rsid w:val="00A0329C"/>
    <w:rsid w:val="00A14E6F"/>
    <w:rsid w:val="00A17362"/>
    <w:rsid w:val="00A32DEC"/>
    <w:rsid w:val="00A56B15"/>
    <w:rsid w:val="00A602F4"/>
    <w:rsid w:val="00A951DF"/>
    <w:rsid w:val="00B24A63"/>
    <w:rsid w:val="00B50F32"/>
    <w:rsid w:val="00B95360"/>
    <w:rsid w:val="00BC5B23"/>
    <w:rsid w:val="00BC65C7"/>
    <w:rsid w:val="00CA03A9"/>
    <w:rsid w:val="00CF4368"/>
    <w:rsid w:val="00D4670A"/>
    <w:rsid w:val="00D514B5"/>
    <w:rsid w:val="00DA647D"/>
    <w:rsid w:val="00DC073A"/>
    <w:rsid w:val="00DF097D"/>
    <w:rsid w:val="00E471F9"/>
    <w:rsid w:val="00E70A47"/>
    <w:rsid w:val="00EA0CD2"/>
    <w:rsid w:val="00EB0C58"/>
    <w:rsid w:val="00EF31BC"/>
    <w:rsid w:val="00F14B10"/>
    <w:rsid w:val="00F41052"/>
    <w:rsid w:val="00F4567C"/>
    <w:rsid w:val="00F67CE8"/>
    <w:rsid w:val="00F71D7E"/>
    <w:rsid w:val="00FD1C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0824"/>
  <w15:docId w15:val="{1145A93D-F513-41A9-9C18-361CF24A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kern w:val="2"/>
        <w:szCs w:val="24"/>
        <w:lang w:val="en-ZW"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473FF9"/>
    <w:pPr>
      <w:ind w:left="720"/>
      <w:contextualSpacing/>
    </w:pPr>
    <w:rPr>
      <w:rFonts w:cs="Mangal"/>
      <w:szCs w:val="21"/>
    </w:rPr>
  </w:style>
  <w:style w:type="paragraph" w:styleId="Header">
    <w:name w:val="header"/>
    <w:basedOn w:val="Normal"/>
    <w:link w:val="HeaderChar"/>
    <w:uiPriority w:val="99"/>
    <w:unhideWhenUsed/>
    <w:rsid w:val="00E471F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471F9"/>
    <w:rPr>
      <w:rFonts w:cs="Mangal"/>
      <w:sz w:val="24"/>
      <w:szCs w:val="21"/>
    </w:rPr>
  </w:style>
  <w:style w:type="paragraph" w:styleId="Footer">
    <w:name w:val="footer"/>
    <w:basedOn w:val="Normal"/>
    <w:link w:val="FooterChar"/>
    <w:uiPriority w:val="99"/>
    <w:unhideWhenUsed/>
    <w:rsid w:val="00E471F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471F9"/>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dc:description/>
  <cp:lastModifiedBy>JSC</cp:lastModifiedBy>
  <cp:revision>2</cp:revision>
  <dcterms:created xsi:type="dcterms:W3CDTF">2023-02-15T13:10:00Z</dcterms:created>
  <dcterms:modified xsi:type="dcterms:W3CDTF">2023-02-15T13:10:00Z</dcterms:modified>
  <dc:language>en-ZW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-1481118606</vt:i4>
  </property>
</Properties>
</file>