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C7C07" w14:textId="014B015E" w:rsidR="004C2668" w:rsidRPr="00F556CD" w:rsidRDefault="00BB339D" w:rsidP="003D3474">
      <w:pPr>
        <w:pStyle w:val="p1"/>
        <w:jc w:val="both"/>
        <w:rPr>
          <w:rStyle w:val="s1"/>
          <w:rFonts w:ascii="Times New Roman" w:hAnsi="Times New Roman"/>
          <w:sz w:val="24"/>
          <w:szCs w:val="24"/>
        </w:rPr>
      </w:pPr>
      <w:bookmarkStart w:id="0" w:name="_GoBack"/>
      <w:bookmarkEnd w:id="0"/>
      <w:r w:rsidRPr="00F556CD">
        <w:rPr>
          <w:rStyle w:val="s1"/>
          <w:rFonts w:ascii="Times New Roman" w:hAnsi="Times New Roman"/>
          <w:sz w:val="24"/>
          <w:szCs w:val="24"/>
        </w:rPr>
        <w:t>DINGANI LOVEMORE PAMBUKA</w:t>
      </w:r>
      <w:r w:rsidR="004C2668">
        <w:rPr>
          <w:rStyle w:val="s1"/>
          <w:rFonts w:ascii="Times New Roman" w:hAnsi="Times New Roman"/>
          <w:sz w:val="24"/>
          <w:szCs w:val="24"/>
        </w:rPr>
        <w:tab/>
      </w:r>
      <w:r w:rsidR="004C2668">
        <w:rPr>
          <w:rStyle w:val="s1"/>
          <w:rFonts w:ascii="Times New Roman" w:hAnsi="Times New Roman"/>
          <w:sz w:val="24"/>
          <w:szCs w:val="24"/>
        </w:rPr>
        <w:tab/>
      </w:r>
      <w:r w:rsidR="004C2668">
        <w:rPr>
          <w:rStyle w:val="s1"/>
          <w:rFonts w:ascii="Times New Roman" w:hAnsi="Times New Roman"/>
          <w:sz w:val="24"/>
          <w:szCs w:val="24"/>
        </w:rPr>
        <w:tab/>
      </w:r>
      <w:r w:rsidR="004C2668">
        <w:rPr>
          <w:rStyle w:val="s1"/>
          <w:rFonts w:ascii="Times New Roman" w:hAnsi="Times New Roman"/>
          <w:sz w:val="24"/>
          <w:szCs w:val="24"/>
        </w:rPr>
        <w:tab/>
      </w:r>
    </w:p>
    <w:p w14:paraId="2C5504B8" w14:textId="31323908" w:rsidR="009E49C0" w:rsidRPr="00F556CD" w:rsidRDefault="004C2668" w:rsidP="003D3474">
      <w:pPr>
        <w:pStyle w:val="p1"/>
        <w:jc w:val="both"/>
        <w:rPr>
          <w:rStyle w:val="s1"/>
          <w:rFonts w:ascii="Times New Roman" w:hAnsi="Times New Roman"/>
          <w:sz w:val="24"/>
          <w:szCs w:val="24"/>
        </w:rPr>
      </w:pPr>
      <w:r w:rsidRPr="00F556CD">
        <w:rPr>
          <w:rStyle w:val="s1"/>
          <w:rFonts w:ascii="Times New Roman" w:hAnsi="Times New Roman"/>
          <w:sz w:val="24"/>
          <w:szCs w:val="24"/>
        </w:rPr>
        <w:t>v</w:t>
      </w:r>
      <w:r>
        <w:rPr>
          <w:rStyle w:val="s1"/>
          <w:rFonts w:ascii="Times New Roman" w:hAnsi="Times New Roman"/>
          <w:sz w:val="24"/>
          <w:szCs w:val="24"/>
        </w:rPr>
        <w:t>ersus</w:t>
      </w:r>
    </w:p>
    <w:p w14:paraId="13B5F1F3" w14:textId="608C48F9" w:rsidR="00BB339D" w:rsidRPr="00F556CD" w:rsidRDefault="00BB339D" w:rsidP="003D3474">
      <w:pPr>
        <w:pStyle w:val="p1"/>
        <w:jc w:val="both"/>
        <w:rPr>
          <w:rStyle w:val="s1"/>
          <w:rFonts w:ascii="Times New Roman" w:hAnsi="Times New Roman"/>
          <w:sz w:val="24"/>
          <w:szCs w:val="24"/>
        </w:rPr>
      </w:pPr>
      <w:r w:rsidRPr="00F556CD">
        <w:rPr>
          <w:rStyle w:val="s1"/>
          <w:rFonts w:ascii="Times New Roman" w:hAnsi="Times New Roman"/>
          <w:sz w:val="24"/>
          <w:szCs w:val="24"/>
        </w:rPr>
        <w:t>DEBRA GWATI</w:t>
      </w:r>
      <w:r w:rsidR="004C2668">
        <w:rPr>
          <w:rStyle w:val="s1"/>
          <w:rFonts w:ascii="Times New Roman" w:hAnsi="Times New Roman"/>
          <w:sz w:val="24"/>
          <w:szCs w:val="24"/>
        </w:rPr>
        <w:tab/>
      </w:r>
      <w:r w:rsidR="004C2668">
        <w:rPr>
          <w:rStyle w:val="s1"/>
          <w:rFonts w:ascii="Times New Roman" w:hAnsi="Times New Roman"/>
          <w:sz w:val="24"/>
          <w:szCs w:val="24"/>
        </w:rPr>
        <w:tab/>
      </w:r>
      <w:r w:rsidR="004C2668">
        <w:rPr>
          <w:rStyle w:val="s1"/>
          <w:rFonts w:ascii="Times New Roman" w:hAnsi="Times New Roman"/>
          <w:sz w:val="24"/>
          <w:szCs w:val="24"/>
        </w:rPr>
        <w:tab/>
      </w:r>
      <w:r w:rsidR="004C2668">
        <w:rPr>
          <w:rStyle w:val="s1"/>
          <w:rFonts w:ascii="Times New Roman" w:hAnsi="Times New Roman"/>
          <w:sz w:val="24"/>
          <w:szCs w:val="24"/>
        </w:rPr>
        <w:tab/>
      </w:r>
      <w:r w:rsidR="004C2668">
        <w:rPr>
          <w:rStyle w:val="s1"/>
          <w:rFonts w:ascii="Times New Roman" w:hAnsi="Times New Roman"/>
          <w:sz w:val="24"/>
          <w:szCs w:val="24"/>
        </w:rPr>
        <w:tab/>
      </w:r>
      <w:r w:rsidR="004C2668">
        <w:rPr>
          <w:rStyle w:val="s1"/>
          <w:rFonts w:ascii="Times New Roman" w:hAnsi="Times New Roman"/>
          <w:sz w:val="24"/>
          <w:szCs w:val="24"/>
        </w:rPr>
        <w:tab/>
      </w:r>
      <w:r w:rsidR="004C2668">
        <w:rPr>
          <w:rStyle w:val="s1"/>
          <w:rFonts w:ascii="Times New Roman" w:hAnsi="Times New Roman"/>
          <w:sz w:val="24"/>
          <w:szCs w:val="24"/>
        </w:rPr>
        <w:tab/>
      </w:r>
    </w:p>
    <w:p w14:paraId="4ABC6818" w14:textId="3FEBB56E" w:rsidR="00BB339D" w:rsidRPr="00F556CD" w:rsidRDefault="004C2668" w:rsidP="003D3474">
      <w:pPr>
        <w:pStyle w:val="p1"/>
        <w:jc w:val="both"/>
        <w:rPr>
          <w:rStyle w:val="s1"/>
          <w:rFonts w:ascii="Times New Roman" w:hAnsi="Times New Roman"/>
          <w:sz w:val="24"/>
          <w:szCs w:val="24"/>
        </w:rPr>
      </w:pPr>
      <w:r w:rsidRPr="00F556CD">
        <w:rPr>
          <w:rStyle w:val="s1"/>
          <w:rFonts w:ascii="Times New Roman" w:hAnsi="Times New Roman"/>
          <w:sz w:val="24"/>
          <w:szCs w:val="24"/>
        </w:rPr>
        <w:t xml:space="preserve">and </w:t>
      </w:r>
    </w:p>
    <w:p w14:paraId="2585C65C" w14:textId="5575CAC5" w:rsidR="00BB339D" w:rsidRPr="00F556CD" w:rsidRDefault="00BB339D" w:rsidP="003D3474">
      <w:pPr>
        <w:pStyle w:val="p1"/>
        <w:jc w:val="both"/>
        <w:rPr>
          <w:rStyle w:val="s1"/>
          <w:rFonts w:ascii="Times New Roman" w:hAnsi="Times New Roman"/>
          <w:sz w:val="24"/>
          <w:szCs w:val="24"/>
        </w:rPr>
      </w:pPr>
      <w:r w:rsidRPr="00F556CD">
        <w:rPr>
          <w:rStyle w:val="s1"/>
          <w:rFonts w:ascii="Times New Roman" w:hAnsi="Times New Roman"/>
          <w:sz w:val="24"/>
          <w:szCs w:val="24"/>
        </w:rPr>
        <w:t>THE REGISTRAR OF DEEDS N.O</w:t>
      </w:r>
      <w:r w:rsidR="004C2668">
        <w:rPr>
          <w:rStyle w:val="s1"/>
          <w:rFonts w:ascii="Times New Roman" w:hAnsi="Times New Roman"/>
          <w:sz w:val="24"/>
          <w:szCs w:val="24"/>
        </w:rPr>
        <w:tab/>
      </w:r>
      <w:r w:rsidR="004C2668">
        <w:rPr>
          <w:rStyle w:val="s1"/>
          <w:rFonts w:ascii="Times New Roman" w:hAnsi="Times New Roman"/>
          <w:sz w:val="24"/>
          <w:szCs w:val="24"/>
        </w:rPr>
        <w:tab/>
      </w:r>
      <w:r w:rsidR="004C2668">
        <w:rPr>
          <w:rStyle w:val="s1"/>
          <w:rFonts w:ascii="Times New Roman" w:hAnsi="Times New Roman"/>
          <w:sz w:val="24"/>
          <w:szCs w:val="24"/>
        </w:rPr>
        <w:tab/>
      </w:r>
      <w:r w:rsidR="004C2668">
        <w:rPr>
          <w:rStyle w:val="s1"/>
          <w:rFonts w:ascii="Times New Roman" w:hAnsi="Times New Roman"/>
          <w:sz w:val="24"/>
          <w:szCs w:val="24"/>
        </w:rPr>
        <w:tab/>
      </w:r>
      <w:r w:rsidR="004C2668">
        <w:rPr>
          <w:rStyle w:val="s1"/>
          <w:rFonts w:ascii="Times New Roman" w:hAnsi="Times New Roman"/>
          <w:sz w:val="24"/>
          <w:szCs w:val="24"/>
        </w:rPr>
        <w:tab/>
      </w:r>
    </w:p>
    <w:p w14:paraId="27F5C5B9" w14:textId="0FCA40A6" w:rsidR="001616E6" w:rsidRPr="00F556CD" w:rsidRDefault="004C2668" w:rsidP="003D3474">
      <w:pPr>
        <w:pStyle w:val="p1"/>
        <w:jc w:val="both"/>
        <w:rPr>
          <w:rStyle w:val="s1"/>
          <w:rFonts w:ascii="Times New Roman" w:hAnsi="Times New Roman"/>
          <w:sz w:val="24"/>
          <w:szCs w:val="24"/>
        </w:rPr>
      </w:pPr>
      <w:r w:rsidRPr="00F556CD">
        <w:rPr>
          <w:rStyle w:val="s1"/>
          <w:rFonts w:ascii="Times New Roman" w:hAnsi="Times New Roman"/>
          <w:sz w:val="24"/>
          <w:szCs w:val="24"/>
        </w:rPr>
        <w:t>and</w:t>
      </w:r>
    </w:p>
    <w:p w14:paraId="4D288EE9" w14:textId="1BF82582" w:rsidR="001616E6" w:rsidRPr="00F556CD" w:rsidRDefault="001616E6" w:rsidP="003D3474">
      <w:pPr>
        <w:pStyle w:val="p1"/>
        <w:jc w:val="both"/>
        <w:rPr>
          <w:rStyle w:val="s1"/>
          <w:rFonts w:ascii="Times New Roman" w:hAnsi="Times New Roman"/>
          <w:sz w:val="24"/>
          <w:szCs w:val="24"/>
        </w:rPr>
      </w:pPr>
      <w:r w:rsidRPr="00F556CD">
        <w:rPr>
          <w:rStyle w:val="s1"/>
          <w:rFonts w:ascii="Times New Roman" w:hAnsi="Times New Roman"/>
          <w:sz w:val="24"/>
          <w:szCs w:val="24"/>
        </w:rPr>
        <w:t>DAVID NJABULO PAMBUKA</w:t>
      </w:r>
      <w:r w:rsidR="004C2668">
        <w:rPr>
          <w:rStyle w:val="s1"/>
          <w:rFonts w:ascii="Times New Roman" w:hAnsi="Times New Roman"/>
          <w:sz w:val="24"/>
          <w:szCs w:val="24"/>
        </w:rPr>
        <w:tab/>
      </w:r>
      <w:r w:rsidR="004C2668">
        <w:rPr>
          <w:rStyle w:val="s1"/>
          <w:rFonts w:ascii="Times New Roman" w:hAnsi="Times New Roman"/>
          <w:sz w:val="24"/>
          <w:szCs w:val="24"/>
        </w:rPr>
        <w:tab/>
      </w:r>
      <w:r w:rsidR="004C2668">
        <w:rPr>
          <w:rStyle w:val="s1"/>
          <w:rFonts w:ascii="Times New Roman" w:hAnsi="Times New Roman"/>
          <w:sz w:val="24"/>
          <w:szCs w:val="24"/>
        </w:rPr>
        <w:tab/>
      </w:r>
      <w:r w:rsidR="004C2668">
        <w:rPr>
          <w:rStyle w:val="s1"/>
          <w:rFonts w:ascii="Times New Roman" w:hAnsi="Times New Roman"/>
          <w:sz w:val="24"/>
          <w:szCs w:val="24"/>
        </w:rPr>
        <w:tab/>
      </w:r>
      <w:r w:rsidR="004C2668">
        <w:rPr>
          <w:rStyle w:val="s1"/>
          <w:rFonts w:ascii="Times New Roman" w:hAnsi="Times New Roman"/>
          <w:sz w:val="24"/>
          <w:szCs w:val="24"/>
        </w:rPr>
        <w:tab/>
      </w:r>
    </w:p>
    <w:p w14:paraId="7D0A1D93" w14:textId="77777777" w:rsidR="003D3474" w:rsidRDefault="003D3474" w:rsidP="003D3474">
      <w:pPr>
        <w:pStyle w:val="p1"/>
        <w:jc w:val="both"/>
        <w:rPr>
          <w:rStyle w:val="s1"/>
          <w:rFonts w:ascii="Times New Roman" w:hAnsi="Times New Roman"/>
          <w:sz w:val="24"/>
          <w:szCs w:val="24"/>
        </w:rPr>
      </w:pPr>
    </w:p>
    <w:p w14:paraId="26B77279" w14:textId="77777777" w:rsidR="004C2668" w:rsidRDefault="004C2668" w:rsidP="003D3474">
      <w:pPr>
        <w:pStyle w:val="p1"/>
        <w:jc w:val="both"/>
        <w:rPr>
          <w:rStyle w:val="s1"/>
          <w:rFonts w:ascii="Times New Roman" w:hAnsi="Times New Roman"/>
          <w:sz w:val="24"/>
          <w:szCs w:val="24"/>
        </w:rPr>
      </w:pPr>
    </w:p>
    <w:p w14:paraId="348483EE" w14:textId="55BADF01" w:rsidR="00BB4EF1" w:rsidRPr="00F556CD" w:rsidRDefault="00BB4EF1" w:rsidP="003D3474">
      <w:pPr>
        <w:pStyle w:val="p1"/>
        <w:jc w:val="both"/>
        <w:rPr>
          <w:rStyle w:val="s1"/>
          <w:rFonts w:ascii="Times New Roman" w:hAnsi="Times New Roman"/>
          <w:sz w:val="24"/>
          <w:szCs w:val="24"/>
        </w:rPr>
      </w:pPr>
      <w:r w:rsidRPr="00F556CD">
        <w:rPr>
          <w:rStyle w:val="s1"/>
          <w:rFonts w:ascii="Times New Roman" w:hAnsi="Times New Roman"/>
          <w:sz w:val="24"/>
          <w:szCs w:val="24"/>
        </w:rPr>
        <w:t>HIGH COURT OF ZIMBABWE</w:t>
      </w:r>
    </w:p>
    <w:p w14:paraId="419B8F1A" w14:textId="33A8C23B" w:rsidR="00BB4EF1" w:rsidRPr="00F556CD" w:rsidRDefault="00BB4EF1" w:rsidP="003D3474">
      <w:pPr>
        <w:pStyle w:val="p1"/>
        <w:jc w:val="both"/>
        <w:rPr>
          <w:rStyle w:val="s1"/>
          <w:rFonts w:ascii="Times New Roman" w:hAnsi="Times New Roman"/>
          <w:b/>
          <w:sz w:val="24"/>
          <w:szCs w:val="24"/>
        </w:rPr>
      </w:pPr>
      <w:r w:rsidRPr="00F556CD">
        <w:rPr>
          <w:rStyle w:val="s1"/>
          <w:rFonts w:ascii="Times New Roman" w:hAnsi="Times New Roman"/>
          <w:b/>
          <w:sz w:val="24"/>
          <w:szCs w:val="24"/>
        </w:rPr>
        <w:t>MUNGWARI J</w:t>
      </w:r>
    </w:p>
    <w:p w14:paraId="6C302CB2" w14:textId="3A3AB445" w:rsidR="00BB4EF1" w:rsidRPr="00F556CD" w:rsidRDefault="004C2668" w:rsidP="003D3474">
      <w:pPr>
        <w:pStyle w:val="p1"/>
        <w:jc w:val="both"/>
        <w:rPr>
          <w:rStyle w:val="s1"/>
          <w:rFonts w:ascii="Times New Roman" w:hAnsi="Times New Roman"/>
          <w:sz w:val="24"/>
          <w:szCs w:val="24"/>
        </w:rPr>
      </w:pPr>
      <w:r>
        <w:rPr>
          <w:rStyle w:val="s1"/>
          <w:rFonts w:ascii="Times New Roman" w:hAnsi="Times New Roman"/>
          <w:sz w:val="24"/>
          <w:szCs w:val="24"/>
        </w:rPr>
        <w:t xml:space="preserve">HARARE; </w:t>
      </w:r>
      <w:r w:rsidR="00AB2800">
        <w:rPr>
          <w:rStyle w:val="s1"/>
          <w:rFonts w:ascii="Times New Roman" w:hAnsi="Times New Roman"/>
          <w:sz w:val="24"/>
          <w:szCs w:val="24"/>
        </w:rPr>
        <w:t xml:space="preserve">28 May &amp; </w:t>
      </w:r>
      <w:r w:rsidR="0049175B">
        <w:rPr>
          <w:rStyle w:val="s1"/>
          <w:rFonts w:ascii="Times New Roman" w:hAnsi="Times New Roman"/>
          <w:sz w:val="24"/>
          <w:szCs w:val="24"/>
        </w:rPr>
        <w:t>19</w:t>
      </w:r>
      <w:r w:rsidR="00BB4EF1" w:rsidRPr="00F556CD">
        <w:rPr>
          <w:rStyle w:val="s1"/>
          <w:rFonts w:ascii="Times New Roman" w:hAnsi="Times New Roman"/>
          <w:sz w:val="24"/>
          <w:szCs w:val="24"/>
        </w:rPr>
        <w:t xml:space="preserve"> June 2025</w:t>
      </w:r>
    </w:p>
    <w:p w14:paraId="6FAC0E5D" w14:textId="77777777" w:rsidR="003D3474" w:rsidRDefault="003D3474" w:rsidP="004C2668">
      <w:pPr>
        <w:pStyle w:val="p1"/>
        <w:jc w:val="both"/>
        <w:rPr>
          <w:rStyle w:val="s1"/>
          <w:rFonts w:ascii="Times New Roman" w:hAnsi="Times New Roman"/>
          <w:sz w:val="24"/>
          <w:szCs w:val="24"/>
        </w:rPr>
      </w:pPr>
    </w:p>
    <w:p w14:paraId="56CB0E71" w14:textId="77777777" w:rsidR="004C2668" w:rsidRDefault="004C2668" w:rsidP="004C2668">
      <w:pPr>
        <w:pStyle w:val="p1"/>
        <w:jc w:val="both"/>
        <w:rPr>
          <w:rStyle w:val="s1"/>
          <w:rFonts w:ascii="Times New Roman" w:hAnsi="Times New Roman"/>
          <w:sz w:val="24"/>
          <w:szCs w:val="24"/>
        </w:rPr>
      </w:pPr>
    </w:p>
    <w:p w14:paraId="12EFCA09" w14:textId="081D860B" w:rsidR="00BB4EF1" w:rsidRPr="004C2668" w:rsidRDefault="00BB4EF1" w:rsidP="004C2668">
      <w:pPr>
        <w:pStyle w:val="p1"/>
        <w:jc w:val="both"/>
        <w:rPr>
          <w:rStyle w:val="s1"/>
          <w:rFonts w:ascii="Times New Roman" w:hAnsi="Times New Roman"/>
          <w:b/>
          <w:i/>
          <w:sz w:val="24"/>
          <w:szCs w:val="24"/>
        </w:rPr>
      </w:pPr>
      <w:r w:rsidRPr="004C2668">
        <w:rPr>
          <w:rStyle w:val="s1"/>
          <w:rFonts w:ascii="Times New Roman" w:hAnsi="Times New Roman"/>
          <w:b/>
          <w:i/>
          <w:sz w:val="24"/>
          <w:szCs w:val="24"/>
        </w:rPr>
        <w:t>Opposed Application</w:t>
      </w:r>
    </w:p>
    <w:p w14:paraId="74057C23" w14:textId="77777777" w:rsidR="004C2668" w:rsidRDefault="004C2668" w:rsidP="004C2668">
      <w:pPr>
        <w:pStyle w:val="p1"/>
        <w:jc w:val="both"/>
        <w:rPr>
          <w:rStyle w:val="s1"/>
          <w:rFonts w:ascii="Times New Roman" w:hAnsi="Times New Roman"/>
          <w:b/>
          <w:sz w:val="24"/>
          <w:szCs w:val="24"/>
        </w:rPr>
      </w:pPr>
    </w:p>
    <w:p w14:paraId="11783B2F" w14:textId="77777777" w:rsidR="004C2668" w:rsidRPr="00F556CD" w:rsidRDefault="004C2668" w:rsidP="004C2668">
      <w:pPr>
        <w:pStyle w:val="p1"/>
        <w:jc w:val="both"/>
        <w:rPr>
          <w:rStyle w:val="s1"/>
          <w:rFonts w:ascii="Times New Roman" w:hAnsi="Times New Roman"/>
          <w:b/>
          <w:sz w:val="24"/>
          <w:szCs w:val="24"/>
        </w:rPr>
      </w:pPr>
    </w:p>
    <w:p w14:paraId="268B9194" w14:textId="055559D6" w:rsidR="00BB4EF1" w:rsidRPr="00F556CD" w:rsidRDefault="00316405" w:rsidP="003D3474">
      <w:pPr>
        <w:pStyle w:val="p1"/>
        <w:jc w:val="both"/>
        <w:rPr>
          <w:rStyle w:val="s1"/>
          <w:rFonts w:ascii="Times New Roman" w:hAnsi="Times New Roman"/>
          <w:sz w:val="24"/>
          <w:szCs w:val="24"/>
        </w:rPr>
      </w:pPr>
      <w:r w:rsidRPr="00F556CD">
        <w:rPr>
          <w:rStyle w:val="s1"/>
          <w:rFonts w:ascii="Times New Roman" w:hAnsi="Times New Roman"/>
          <w:i/>
          <w:sz w:val="24"/>
          <w:szCs w:val="24"/>
        </w:rPr>
        <w:t>G Madzoke</w:t>
      </w:r>
      <w:r w:rsidR="00BB4EF1" w:rsidRPr="00F556CD">
        <w:rPr>
          <w:rStyle w:val="s1"/>
          <w:rFonts w:ascii="Times New Roman" w:hAnsi="Times New Roman"/>
          <w:i/>
          <w:sz w:val="24"/>
          <w:szCs w:val="24"/>
        </w:rPr>
        <w:t xml:space="preserve"> </w:t>
      </w:r>
      <w:r w:rsidR="00BB4EF1" w:rsidRPr="00F556CD">
        <w:rPr>
          <w:rStyle w:val="s1"/>
          <w:rFonts w:ascii="Times New Roman" w:hAnsi="Times New Roman"/>
          <w:sz w:val="24"/>
          <w:szCs w:val="24"/>
        </w:rPr>
        <w:t>for the applicant</w:t>
      </w:r>
    </w:p>
    <w:p w14:paraId="235B9E36" w14:textId="2A65A5E1" w:rsidR="00BB4EF1" w:rsidRPr="00F556CD" w:rsidRDefault="00BB4EF1" w:rsidP="003D3474">
      <w:pPr>
        <w:pStyle w:val="p1"/>
        <w:jc w:val="both"/>
        <w:rPr>
          <w:rStyle w:val="s1"/>
          <w:rFonts w:ascii="Times New Roman" w:hAnsi="Times New Roman"/>
          <w:sz w:val="24"/>
          <w:szCs w:val="24"/>
        </w:rPr>
      </w:pPr>
      <w:r w:rsidRPr="00F556CD">
        <w:rPr>
          <w:rStyle w:val="s1"/>
          <w:rFonts w:ascii="Times New Roman" w:hAnsi="Times New Roman"/>
          <w:i/>
          <w:sz w:val="24"/>
          <w:szCs w:val="24"/>
        </w:rPr>
        <w:t xml:space="preserve">T K Hove </w:t>
      </w:r>
      <w:r w:rsidRPr="00F556CD">
        <w:rPr>
          <w:rStyle w:val="s1"/>
          <w:rFonts w:ascii="Times New Roman" w:hAnsi="Times New Roman"/>
          <w:sz w:val="24"/>
          <w:szCs w:val="24"/>
        </w:rPr>
        <w:t>for the 1</w:t>
      </w:r>
      <w:r w:rsidRPr="00F556CD">
        <w:rPr>
          <w:rStyle w:val="s1"/>
          <w:rFonts w:ascii="Times New Roman" w:hAnsi="Times New Roman"/>
          <w:sz w:val="24"/>
          <w:szCs w:val="24"/>
          <w:vertAlign w:val="superscript"/>
        </w:rPr>
        <w:t>st</w:t>
      </w:r>
      <w:r w:rsidRPr="00F556CD">
        <w:rPr>
          <w:rStyle w:val="s1"/>
          <w:rFonts w:ascii="Times New Roman" w:hAnsi="Times New Roman"/>
          <w:sz w:val="24"/>
          <w:szCs w:val="24"/>
        </w:rPr>
        <w:t xml:space="preserve"> and 3</w:t>
      </w:r>
      <w:r w:rsidRPr="00F556CD">
        <w:rPr>
          <w:rStyle w:val="s1"/>
          <w:rFonts w:ascii="Times New Roman" w:hAnsi="Times New Roman"/>
          <w:sz w:val="24"/>
          <w:szCs w:val="24"/>
          <w:vertAlign w:val="superscript"/>
        </w:rPr>
        <w:t>rd</w:t>
      </w:r>
      <w:r w:rsidRPr="00F556CD">
        <w:rPr>
          <w:rStyle w:val="s1"/>
          <w:rFonts w:ascii="Times New Roman" w:hAnsi="Times New Roman"/>
          <w:sz w:val="24"/>
          <w:szCs w:val="24"/>
        </w:rPr>
        <w:t xml:space="preserve"> respondents</w:t>
      </w:r>
    </w:p>
    <w:p w14:paraId="18996FFF" w14:textId="3FDA1C24" w:rsidR="00BB4EF1" w:rsidRPr="003C6E13" w:rsidRDefault="00BB4EF1" w:rsidP="003D3474">
      <w:pPr>
        <w:pStyle w:val="p1"/>
        <w:jc w:val="both"/>
        <w:rPr>
          <w:rStyle w:val="s1"/>
          <w:rFonts w:ascii="Times New Roman" w:hAnsi="Times New Roman"/>
          <w:sz w:val="24"/>
          <w:szCs w:val="24"/>
        </w:rPr>
      </w:pPr>
      <w:r w:rsidRPr="003C6E13">
        <w:rPr>
          <w:rStyle w:val="s1"/>
          <w:rFonts w:ascii="Times New Roman" w:hAnsi="Times New Roman"/>
          <w:sz w:val="24"/>
          <w:szCs w:val="24"/>
        </w:rPr>
        <w:t>No appearance for the 2</w:t>
      </w:r>
      <w:r w:rsidRPr="003C6E13">
        <w:rPr>
          <w:rStyle w:val="s1"/>
          <w:rFonts w:ascii="Times New Roman" w:hAnsi="Times New Roman"/>
          <w:sz w:val="24"/>
          <w:szCs w:val="24"/>
          <w:vertAlign w:val="superscript"/>
        </w:rPr>
        <w:t>nd</w:t>
      </w:r>
      <w:r w:rsidRPr="003C6E13">
        <w:rPr>
          <w:rStyle w:val="s1"/>
          <w:rFonts w:ascii="Times New Roman" w:hAnsi="Times New Roman"/>
          <w:sz w:val="24"/>
          <w:szCs w:val="24"/>
        </w:rPr>
        <w:t xml:space="preserve"> respondent</w:t>
      </w:r>
    </w:p>
    <w:p w14:paraId="548FFBAF" w14:textId="77777777" w:rsidR="003D3474" w:rsidRDefault="003D3474" w:rsidP="004C2668">
      <w:pPr>
        <w:pStyle w:val="p1"/>
        <w:jc w:val="both"/>
        <w:rPr>
          <w:rStyle w:val="s1"/>
          <w:rFonts w:ascii="Times New Roman" w:hAnsi="Times New Roman"/>
          <w:sz w:val="24"/>
          <w:szCs w:val="24"/>
        </w:rPr>
      </w:pPr>
    </w:p>
    <w:p w14:paraId="68A5BDFC" w14:textId="77777777" w:rsidR="004C2668" w:rsidRDefault="004C2668" w:rsidP="004C2668">
      <w:pPr>
        <w:pStyle w:val="p1"/>
        <w:jc w:val="both"/>
        <w:rPr>
          <w:rStyle w:val="s1"/>
          <w:rFonts w:ascii="Times New Roman" w:hAnsi="Times New Roman"/>
          <w:sz w:val="24"/>
          <w:szCs w:val="24"/>
        </w:rPr>
      </w:pPr>
    </w:p>
    <w:p w14:paraId="160F816E" w14:textId="1BED11CA" w:rsidR="00C72504" w:rsidRPr="003C6E13" w:rsidRDefault="003C6E13" w:rsidP="004C2668">
      <w:pPr>
        <w:pStyle w:val="p1"/>
        <w:jc w:val="both"/>
        <w:rPr>
          <w:rStyle w:val="s1"/>
          <w:rFonts w:ascii="Times New Roman" w:hAnsi="Times New Roman"/>
          <w:sz w:val="24"/>
          <w:szCs w:val="24"/>
        </w:rPr>
      </w:pPr>
      <w:r>
        <w:rPr>
          <w:rStyle w:val="s1"/>
          <w:rFonts w:ascii="Times New Roman" w:hAnsi="Times New Roman"/>
          <w:sz w:val="24"/>
          <w:szCs w:val="24"/>
        </w:rPr>
        <w:tab/>
      </w:r>
      <w:r w:rsidR="00BB4EF1" w:rsidRPr="003C6E13">
        <w:rPr>
          <w:rStyle w:val="s1"/>
          <w:rFonts w:ascii="Times New Roman" w:hAnsi="Times New Roman"/>
          <w:sz w:val="24"/>
          <w:szCs w:val="24"/>
        </w:rPr>
        <w:t>MUNGWARI J</w:t>
      </w:r>
      <w:r w:rsidR="00C72504" w:rsidRPr="003C6E13">
        <w:rPr>
          <w:rStyle w:val="s1"/>
          <w:rFonts w:ascii="Times New Roman" w:hAnsi="Times New Roman"/>
          <w:sz w:val="24"/>
          <w:szCs w:val="24"/>
        </w:rPr>
        <w:t>:</w:t>
      </w:r>
    </w:p>
    <w:p w14:paraId="23E5C9B9" w14:textId="77777777" w:rsidR="004C2668" w:rsidRPr="003C6E13" w:rsidRDefault="004C2668" w:rsidP="004C2668">
      <w:pPr>
        <w:pStyle w:val="p1"/>
        <w:jc w:val="both"/>
        <w:rPr>
          <w:rStyle w:val="s1"/>
          <w:rFonts w:ascii="Times New Roman" w:hAnsi="Times New Roman"/>
          <w:sz w:val="24"/>
          <w:szCs w:val="24"/>
        </w:rPr>
      </w:pPr>
    </w:p>
    <w:p w14:paraId="41787F65" w14:textId="77777777" w:rsidR="004C2668" w:rsidRPr="00F556CD" w:rsidRDefault="004C2668" w:rsidP="004C2668">
      <w:pPr>
        <w:pStyle w:val="p1"/>
        <w:jc w:val="both"/>
        <w:rPr>
          <w:rStyle w:val="s1"/>
          <w:rFonts w:ascii="Times New Roman" w:hAnsi="Times New Roman"/>
          <w:b/>
          <w:sz w:val="24"/>
          <w:szCs w:val="24"/>
        </w:rPr>
      </w:pPr>
    </w:p>
    <w:p w14:paraId="291C0017" w14:textId="77777777" w:rsidR="00C72504" w:rsidRPr="00F556CD" w:rsidRDefault="00C72504" w:rsidP="003C6E13">
      <w:pPr>
        <w:pStyle w:val="p1"/>
        <w:spacing w:line="360" w:lineRule="auto"/>
        <w:ind w:firstLine="450"/>
        <w:jc w:val="both"/>
        <w:rPr>
          <w:rStyle w:val="s1"/>
          <w:rFonts w:ascii="Times New Roman" w:hAnsi="Times New Roman"/>
          <w:b/>
          <w:sz w:val="24"/>
          <w:szCs w:val="24"/>
          <w:u w:val="single"/>
        </w:rPr>
      </w:pPr>
      <w:r w:rsidRPr="00F556CD">
        <w:rPr>
          <w:rStyle w:val="s1"/>
          <w:rFonts w:ascii="Times New Roman" w:hAnsi="Times New Roman"/>
          <w:b/>
          <w:sz w:val="24"/>
          <w:szCs w:val="24"/>
          <w:u w:val="single"/>
        </w:rPr>
        <w:t>Introduction</w:t>
      </w:r>
    </w:p>
    <w:p w14:paraId="211AC837" w14:textId="54ECFAA3" w:rsidR="001F461E" w:rsidRDefault="00306E86" w:rsidP="004C2668">
      <w:pPr>
        <w:pStyle w:val="p1"/>
        <w:numPr>
          <w:ilvl w:val="0"/>
          <w:numId w:val="12"/>
        </w:numPr>
        <w:spacing w:line="360" w:lineRule="auto"/>
        <w:jc w:val="both"/>
        <w:rPr>
          <w:rStyle w:val="s1"/>
          <w:rFonts w:ascii="Times New Roman" w:hAnsi="Times New Roman"/>
          <w:sz w:val="24"/>
          <w:szCs w:val="24"/>
        </w:rPr>
      </w:pPr>
      <w:r w:rsidRPr="00F556CD">
        <w:rPr>
          <w:rStyle w:val="s1"/>
          <w:rFonts w:ascii="Times New Roman" w:hAnsi="Times New Roman"/>
          <w:sz w:val="24"/>
          <w:szCs w:val="24"/>
        </w:rPr>
        <w:t xml:space="preserve">The applicant and the </w:t>
      </w:r>
      <w:r w:rsidR="00335D2C">
        <w:rPr>
          <w:rStyle w:val="s1"/>
          <w:rFonts w:ascii="Times New Roman" w:hAnsi="Times New Roman"/>
          <w:sz w:val="24"/>
          <w:szCs w:val="24"/>
        </w:rPr>
        <w:t>first</w:t>
      </w:r>
      <w:r w:rsidR="00F556CD">
        <w:rPr>
          <w:rStyle w:val="s1"/>
          <w:rFonts w:ascii="Times New Roman" w:hAnsi="Times New Roman"/>
          <w:sz w:val="24"/>
          <w:szCs w:val="24"/>
        </w:rPr>
        <w:t xml:space="preserve"> </w:t>
      </w:r>
      <w:r w:rsidR="001F461E" w:rsidRPr="00F556CD">
        <w:rPr>
          <w:rStyle w:val="s1"/>
          <w:rFonts w:ascii="Times New Roman" w:hAnsi="Times New Roman"/>
          <w:sz w:val="24"/>
          <w:szCs w:val="24"/>
        </w:rPr>
        <w:t>respondent are divorced.</w:t>
      </w:r>
      <w:r w:rsidR="008A22A3" w:rsidRPr="00F556CD">
        <w:rPr>
          <w:rStyle w:val="s1"/>
          <w:rFonts w:ascii="Times New Roman" w:hAnsi="Times New Roman"/>
          <w:sz w:val="24"/>
          <w:szCs w:val="24"/>
        </w:rPr>
        <w:t xml:space="preserve"> </w:t>
      </w:r>
      <w:r w:rsidR="001F461E" w:rsidRPr="00F556CD">
        <w:rPr>
          <w:rStyle w:val="s1"/>
          <w:rFonts w:ascii="Times New Roman" w:hAnsi="Times New Roman"/>
          <w:sz w:val="24"/>
          <w:szCs w:val="24"/>
        </w:rPr>
        <w:t>They were previously married in terms of the laws of Zimbabwe.</w:t>
      </w:r>
      <w:r w:rsidR="008A22A3" w:rsidRPr="00F556CD">
        <w:rPr>
          <w:rStyle w:val="s1"/>
          <w:rFonts w:ascii="Times New Roman" w:hAnsi="Times New Roman"/>
          <w:sz w:val="24"/>
          <w:szCs w:val="24"/>
        </w:rPr>
        <w:t xml:space="preserve"> </w:t>
      </w:r>
      <w:r w:rsidR="001F461E" w:rsidRPr="00F556CD">
        <w:rPr>
          <w:rStyle w:val="s1"/>
          <w:rFonts w:ascii="Times New Roman" w:hAnsi="Times New Roman"/>
          <w:sz w:val="24"/>
          <w:szCs w:val="24"/>
        </w:rPr>
        <w:t>Their marriage was terminated by order of this court on 2</w:t>
      </w:r>
      <w:r w:rsidR="0004129C" w:rsidRPr="00F556CD">
        <w:rPr>
          <w:rStyle w:val="s1"/>
          <w:rFonts w:ascii="Times New Roman" w:hAnsi="Times New Roman"/>
          <w:sz w:val="24"/>
          <w:szCs w:val="24"/>
        </w:rPr>
        <w:t>8</w:t>
      </w:r>
      <w:r w:rsidRPr="00F556CD">
        <w:rPr>
          <w:rStyle w:val="s1"/>
          <w:rFonts w:ascii="Times New Roman" w:hAnsi="Times New Roman"/>
          <w:sz w:val="24"/>
          <w:szCs w:val="24"/>
        </w:rPr>
        <w:t xml:space="preserve"> July 2006.</w:t>
      </w:r>
      <w:r w:rsidR="00F556CD">
        <w:rPr>
          <w:rStyle w:val="s1"/>
          <w:rFonts w:ascii="Times New Roman" w:hAnsi="Times New Roman"/>
          <w:sz w:val="24"/>
          <w:szCs w:val="24"/>
        </w:rPr>
        <w:t xml:space="preserve"> </w:t>
      </w:r>
      <w:r w:rsidRPr="001258A7">
        <w:rPr>
          <w:rStyle w:val="s1"/>
          <w:rFonts w:ascii="Times New Roman" w:hAnsi="Times New Roman"/>
          <w:color w:val="000000" w:themeColor="text1"/>
          <w:sz w:val="24"/>
          <w:szCs w:val="24"/>
        </w:rPr>
        <w:t xml:space="preserve">The </w:t>
      </w:r>
      <w:r w:rsidR="00335D2C" w:rsidRPr="001258A7">
        <w:rPr>
          <w:rStyle w:val="s1"/>
          <w:rFonts w:ascii="Times New Roman" w:hAnsi="Times New Roman"/>
          <w:color w:val="000000" w:themeColor="text1"/>
          <w:sz w:val="24"/>
          <w:szCs w:val="24"/>
        </w:rPr>
        <w:t>third</w:t>
      </w:r>
      <w:r w:rsidR="001F461E" w:rsidRPr="001258A7">
        <w:rPr>
          <w:rStyle w:val="s1"/>
          <w:rFonts w:ascii="Times New Roman" w:hAnsi="Times New Roman"/>
          <w:color w:val="000000" w:themeColor="text1"/>
          <w:sz w:val="24"/>
          <w:szCs w:val="24"/>
        </w:rPr>
        <w:t xml:space="preserve"> respond</w:t>
      </w:r>
      <w:r w:rsidR="00C72504" w:rsidRPr="001258A7">
        <w:rPr>
          <w:rStyle w:val="s1"/>
          <w:rFonts w:ascii="Times New Roman" w:hAnsi="Times New Roman"/>
          <w:color w:val="000000" w:themeColor="text1"/>
          <w:sz w:val="24"/>
          <w:szCs w:val="24"/>
        </w:rPr>
        <w:t xml:space="preserve">ent is </w:t>
      </w:r>
      <w:r w:rsidR="00F349EA" w:rsidRPr="001258A7">
        <w:rPr>
          <w:rStyle w:val="s1"/>
          <w:rFonts w:ascii="Times New Roman" w:hAnsi="Times New Roman"/>
          <w:color w:val="000000" w:themeColor="text1"/>
          <w:sz w:val="24"/>
          <w:szCs w:val="24"/>
        </w:rPr>
        <w:t>their son</w:t>
      </w:r>
      <w:r w:rsidR="001F461E" w:rsidRPr="001258A7">
        <w:rPr>
          <w:rStyle w:val="s1"/>
          <w:rFonts w:ascii="Times New Roman" w:hAnsi="Times New Roman"/>
          <w:color w:val="000000" w:themeColor="text1"/>
          <w:sz w:val="24"/>
          <w:szCs w:val="24"/>
        </w:rPr>
        <w:t>.</w:t>
      </w:r>
      <w:r w:rsidR="008A22A3" w:rsidRPr="001258A7">
        <w:rPr>
          <w:rStyle w:val="s1"/>
          <w:rFonts w:ascii="Times New Roman" w:hAnsi="Times New Roman"/>
          <w:color w:val="000000" w:themeColor="text1"/>
          <w:sz w:val="24"/>
          <w:szCs w:val="24"/>
        </w:rPr>
        <w:t xml:space="preserve"> </w:t>
      </w:r>
      <w:r w:rsidR="001F461E" w:rsidRPr="00F556CD">
        <w:rPr>
          <w:rStyle w:val="s1"/>
          <w:rFonts w:ascii="Times New Roman" w:hAnsi="Times New Roman"/>
          <w:sz w:val="24"/>
          <w:szCs w:val="24"/>
        </w:rPr>
        <w:t>At the time of the divorce he was still a minor.</w:t>
      </w:r>
      <w:r w:rsidR="008A22A3" w:rsidRPr="00F556CD">
        <w:rPr>
          <w:rStyle w:val="s1"/>
          <w:rFonts w:ascii="Times New Roman" w:hAnsi="Times New Roman"/>
          <w:sz w:val="24"/>
          <w:szCs w:val="24"/>
        </w:rPr>
        <w:t xml:space="preserve"> </w:t>
      </w:r>
      <w:r w:rsidR="001F461E" w:rsidRPr="00F556CD">
        <w:rPr>
          <w:rStyle w:val="s1"/>
          <w:rFonts w:ascii="Times New Roman" w:hAnsi="Times New Roman"/>
          <w:sz w:val="24"/>
          <w:szCs w:val="24"/>
        </w:rPr>
        <w:t>He has since attained majority status and has through an order of this court been joined to these proceedings.</w:t>
      </w:r>
      <w:r w:rsidR="008A22A3" w:rsidRPr="00F556CD">
        <w:rPr>
          <w:rStyle w:val="s1"/>
          <w:rFonts w:ascii="Times New Roman" w:hAnsi="Times New Roman"/>
          <w:sz w:val="24"/>
          <w:szCs w:val="24"/>
        </w:rPr>
        <w:t xml:space="preserve"> </w:t>
      </w:r>
      <w:r w:rsidRPr="00F556CD">
        <w:rPr>
          <w:rStyle w:val="s1"/>
          <w:rFonts w:ascii="Times New Roman" w:hAnsi="Times New Roman"/>
          <w:sz w:val="24"/>
          <w:szCs w:val="24"/>
        </w:rPr>
        <w:t xml:space="preserve">The </w:t>
      </w:r>
      <w:r w:rsidR="00335D2C">
        <w:rPr>
          <w:rStyle w:val="s1"/>
          <w:rFonts w:ascii="Times New Roman" w:hAnsi="Times New Roman"/>
          <w:sz w:val="24"/>
          <w:szCs w:val="24"/>
        </w:rPr>
        <w:t>second</w:t>
      </w:r>
      <w:r w:rsidR="001F461E" w:rsidRPr="00F556CD">
        <w:rPr>
          <w:rStyle w:val="s1"/>
          <w:rFonts w:ascii="Times New Roman" w:hAnsi="Times New Roman"/>
          <w:sz w:val="24"/>
          <w:szCs w:val="24"/>
        </w:rPr>
        <w:t xml:space="preserve"> respondent is cited in his official capacity as </w:t>
      </w:r>
      <w:r w:rsidR="008A22A3" w:rsidRPr="00F556CD">
        <w:rPr>
          <w:rStyle w:val="s1"/>
          <w:rFonts w:ascii="Times New Roman" w:hAnsi="Times New Roman"/>
          <w:sz w:val="24"/>
          <w:szCs w:val="24"/>
        </w:rPr>
        <w:t>t</w:t>
      </w:r>
      <w:r w:rsidR="001F461E" w:rsidRPr="00F556CD">
        <w:rPr>
          <w:rStyle w:val="s1"/>
          <w:rFonts w:ascii="Times New Roman" w:hAnsi="Times New Roman"/>
          <w:sz w:val="24"/>
          <w:szCs w:val="24"/>
        </w:rPr>
        <w:t>he authority respo</w:t>
      </w:r>
      <w:r w:rsidR="008A22A3" w:rsidRPr="00F556CD">
        <w:rPr>
          <w:rStyle w:val="s1"/>
          <w:rFonts w:ascii="Times New Roman" w:hAnsi="Times New Roman"/>
          <w:sz w:val="24"/>
          <w:szCs w:val="24"/>
        </w:rPr>
        <w:t>nsible for registration,</w:t>
      </w:r>
      <w:r w:rsidR="00F556CD">
        <w:rPr>
          <w:rStyle w:val="s1"/>
          <w:rFonts w:ascii="Times New Roman" w:hAnsi="Times New Roman"/>
          <w:sz w:val="24"/>
          <w:szCs w:val="24"/>
        </w:rPr>
        <w:t xml:space="preserve"> </w:t>
      </w:r>
      <w:r w:rsidR="008A22A3" w:rsidRPr="00F556CD">
        <w:rPr>
          <w:rStyle w:val="s1"/>
          <w:rFonts w:ascii="Times New Roman" w:hAnsi="Times New Roman"/>
          <w:sz w:val="24"/>
          <w:szCs w:val="24"/>
        </w:rPr>
        <w:t>deregistration</w:t>
      </w:r>
      <w:r w:rsidR="00F556CD">
        <w:rPr>
          <w:rStyle w:val="s1"/>
          <w:rFonts w:ascii="Times New Roman" w:hAnsi="Times New Roman"/>
          <w:sz w:val="24"/>
          <w:szCs w:val="24"/>
        </w:rPr>
        <w:t>,</w:t>
      </w:r>
      <w:r w:rsidR="008A22A3" w:rsidRPr="00F556CD">
        <w:rPr>
          <w:rStyle w:val="s1"/>
          <w:rFonts w:ascii="Times New Roman" w:hAnsi="Times New Roman"/>
          <w:sz w:val="24"/>
          <w:szCs w:val="24"/>
        </w:rPr>
        <w:t xml:space="preserve"> endorsements of Deed of Transfers and mortgage bonds and monitoring the Deeds registry in Zimbabwe.</w:t>
      </w:r>
    </w:p>
    <w:p w14:paraId="63CFD219" w14:textId="3C6F3C21" w:rsidR="00C72504" w:rsidRPr="004C2668" w:rsidRDefault="003C6E13" w:rsidP="00A0599A">
      <w:pPr>
        <w:pStyle w:val="p1"/>
        <w:spacing w:line="360" w:lineRule="auto"/>
        <w:ind w:left="180" w:firstLine="270"/>
        <w:jc w:val="both"/>
        <w:rPr>
          <w:rStyle w:val="s1"/>
          <w:rFonts w:ascii="Times New Roman" w:hAnsi="Times New Roman"/>
          <w:b/>
          <w:sz w:val="24"/>
          <w:szCs w:val="24"/>
          <w:u w:val="single"/>
        </w:rPr>
      </w:pPr>
      <w:r w:rsidRPr="004C2668">
        <w:rPr>
          <w:rStyle w:val="s1"/>
          <w:rFonts w:ascii="Times New Roman" w:hAnsi="Times New Roman"/>
          <w:b/>
          <w:sz w:val="24"/>
          <w:szCs w:val="24"/>
          <w:u w:val="single"/>
        </w:rPr>
        <w:t>Background Facts</w:t>
      </w:r>
    </w:p>
    <w:p w14:paraId="78416BE5" w14:textId="13D5B6E3" w:rsidR="0004129C" w:rsidRPr="00F556CD" w:rsidRDefault="0004129C" w:rsidP="006A1333">
      <w:pPr>
        <w:pStyle w:val="p1"/>
        <w:numPr>
          <w:ilvl w:val="0"/>
          <w:numId w:val="12"/>
        </w:numPr>
        <w:spacing w:after="240" w:line="360" w:lineRule="auto"/>
        <w:jc w:val="both"/>
        <w:rPr>
          <w:rStyle w:val="s1"/>
          <w:rFonts w:ascii="Times New Roman" w:hAnsi="Times New Roman"/>
          <w:sz w:val="24"/>
          <w:szCs w:val="24"/>
        </w:rPr>
      </w:pPr>
      <w:r w:rsidRPr="00F556CD">
        <w:rPr>
          <w:rStyle w:val="s1"/>
          <w:rFonts w:ascii="Times New Roman" w:hAnsi="Times New Roman"/>
          <w:sz w:val="24"/>
          <w:szCs w:val="24"/>
        </w:rPr>
        <w:t>During the subsisten</w:t>
      </w:r>
      <w:r w:rsidR="00B01FFF" w:rsidRPr="00F556CD">
        <w:rPr>
          <w:rStyle w:val="s1"/>
          <w:rFonts w:ascii="Times New Roman" w:hAnsi="Times New Roman"/>
          <w:sz w:val="24"/>
          <w:szCs w:val="24"/>
        </w:rPr>
        <w:t xml:space="preserve">ce of their </w:t>
      </w:r>
      <w:r w:rsidR="00306E86" w:rsidRPr="00F556CD">
        <w:rPr>
          <w:rStyle w:val="s1"/>
          <w:rFonts w:ascii="Times New Roman" w:hAnsi="Times New Roman"/>
          <w:sz w:val="24"/>
          <w:szCs w:val="24"/>
        </w:rPr>
        <w:t xml:space="preserve">marriage the applicant and the first </w:t>
      </w:r>
      <w:r w:rsidR="00B01FFF" w:rsidRPr="00F556CD">
        <w:rPr>
          <w:rStyle w:val="s1"/>
          <w:rFonts w:ascii="Times New Roman" w:hAnsi="Times New Roman"/>
          <w:sz w:val="24"/>
          <w:szCs w:val="24"/>
        </w:rPr>
        <w:t xml:space="preserve">respondent </w:t>
      </w:r>
      <w:r w:rsidRPr="00F556CD">
        <w:rPr>
          <w:rStyle w:val="s1"/>
          <w:rFonts w:ascii="Times New Roman" w:hAnsi="Times New Roman"/>
          <w:sz w:val="24"/>
          <w:szCs w:val="24"/>
        </w:rPr>
        <w:t xml:space="preserve">acquired immovable property which included a certain piece of land called </w:t>
      </w:r>
      <w:bookmarkStart w:id="1" w:name="_Hlk201248875"/>
      <w:r w:rsidR="00335D2C">
        <w:rPr>
          <w:rStyle w:val="s1"/>
          <w:rFonts w:ascii="Times New Roman" w:hAnsi="Times New Roman"/>
          <w:sz w:val="24"/>
          <w:szCs w:val="24"/>
        </w:rPr>
        <w:t>S</w:t>
      </w:r>
      <w:r w:rsidRPr="00F556CD">
        <w:rPr>
          <w:rStyle w:val="s1"/>
          <w:rFonts w:ascii="Times New Roman" w:hAnsi="Times New Roman"/>
          <w:sz w:val="24"/>
          <w:szCs w:val="24"/>
        </w:rPr>
        <w:t>tand 274 Quinnington Township 11 of Lot DC Quinnington</w:t>
      </w:r>
      <w:r w:rsidR="00335D2C">
        <w:rPr>
          <w:rStyle w:val="s1"/>
          <w:rFonts w:ascii="Times New Roman" w:hAnsi="Times New Roman"/>
          <w:sz w:val="24"/>
          <w:szCs w:val="24"/>
        </w:rPr>
        <w:t>,</w:t>
      </w:r>
      <w:r w:rsidRPr="00F556CD">
        <w:rPr>
          <w:rStyle w:val="s1"/>
          <w:rFonts w:ascii="Times New Roman" w:hAnsi="Times New Roman"/>
          <w:sz w:val="24"/>
          <w:szCs w:val="24"/>
        </w:rPr>
        <w:t xml:space="preserve"> measuring 4242 square metres and held under </w:t>
      </w:r>
      <w:r w:rsidR="00335D2C">
        <w:rPr>
          <w:rStyle w:val="s1"/>
          <w:rFonts w:ascii="Times New Roman" w:hAnsi="Times New Roman"/>
          <w:sz w:val="24"/>
          <w:szCs w:val="24"/>
        </w:rPr>
        <w:t>D</w:t>
      </w:r>
      <w:r w:rsidRPr="00F556CD">
        <w:rPr>
          <w:rStyle w:val="s1"/>
          <w:rFonts w:ascii="Times New Roman" w:hAnsi="Times New Roman"/>
          <w:sz w:val="24"/>
          <w:szCs w:val="24"/>
        </w:rPr>
        <w:t xml:space="preserve">eed of </w:t>
      </w:r>
      <w:r w:rsidR="00335D2C">
        <w:rPr>
          <w:rStyle w:val="s1"/>
          <w:rFonts w:ascii="Times New Roman" w:hAnsi="Times New Roman"/>
          <w:sz w:val="24"/>
          <w:szCs w:val="24"/>
        </w:rPr>
        <w:t>T</w:t>
      </w:r>
      <w:r w:rsidRPr="00F556CD">
        <w:rPr>
          <w:rStyle w:val="s1"/>
          <w:rFonts w:ascii="Times New Roman" w:hAnsi="Times New Roman"/>
          <w:sz w:val="24"/>
          <w:szCs w:val="24"/>
        </w:rPr>
        <w:t>ransfer Reg</w:t>
      </w:r>
      <w:r w:rsidR="00335D2C">
        <w:rPr>
          <w:rStyle w:val="s1"/>
          <w:rFonts w:ascii="Times New Roman" w:hAnsi="Times New Roman"/>
          <w:sz w:val="24"/>
          <w:szCs w:val="24"/>
        </w:rPr>
        <w:t>istration</w:t>
      </w:r>
      <w:r w:rsidRPr="00F556CD">
        <w:rPr>
          <w:rStyle w:val="s1"/>
          <w:rFonts w:ascii="Times New Roman" w:hAnsi="Times New Roman"/>
          <w:sz w:val="24"/>
          <w:szCs w:val="24"/>
        </w:rPr>
        <w:t xml:space="preserve"> N</w:t>
      </w:r>
      <w:r w:rsidR="00335D2C">
        <w:rPr>
          <w:rStyle w:val="s1"/>
          <w:rFonts w:ascii="Times New Roman" w:hAnsi="Times New Roman"/>
          <w:sz w:val="24"/>
          <w:szCs w:val="24"/>
        </w:rPr>
        <w:t>umber</w:t>
      </w:r>
      <w:r w:rsidRPr="00F556CD">
        <w:rPr>
          <w:rStyle w:val="s1"/>
          <w:rFonts w:ascii="Times New Roman" w:hAnsi="Times New Roman"/>
          <w:sz w:val="24"/>
          <w:szCs w:val="24"/>
        </w:rPr>
        <w:t xml:space="preserve"> 2370/</w:t>
      </w:r>
      <w:r w:rsidR="009072B1" w:rsidRPr="00F556CD">
        <w:rPr>
          <w:rStyle w:val="s1"/>
          <w:rFonts w:ascii="Times New Roman" w:hAnsi="Times New Roman"/>
          <w:sz w:val="24"/>
          <w:szCs w:val="24"/>
        </w:rPr>
        <w:t>84.</w:t>
      </w:r>
      <w:r w:rsidR="00335D2C">
        <w:rPr>
          <w:rStyle w:val="s1"/>
          <w:rFonts w:ascii="Times New Roman" w:hAnsi="Times New Roman"/>
          <w:sz w:val="24"/>
          <w:szCs w:val="24"/>
        </w:rPr>
        <w:t xml:space="preserve"> </w:t>
      </w:r>
      <w:bookmarkEnd w:id="1"/>
      <w:r w:rsidR="009072B1" w:rsidRPr="00F556CD">
        <w:rPr>
          <w:rStyle w:val="s1"/>
          <w:rFonts w:ascii="Times New Roman" w:hAnsi="Times New Roman"/>
          <w:sz w:val="24"/>
          <w:szCs w:val="24"/>
        </w:rPr>
        <w:t xml:space="preserve">The property was registered </w:t>
      </w:r>
      <w:r w:rsidRPr="00F556CD">
        <w:rPr>
          <w:rStyle w:val="s1"/>
          <w:rFonts w:ascii="Times New Roman" w:hAnsi="Times New Roman"/>
          <w:sz w:val="24"/>
          <w:szCs w:val="24"/>
        </w:rPr>
        <w:t>in the applicant’s name.</w:t>
      </w:r>
      <w:r w:rsidR="009072B1" w:rsidRPr="00F556CD">
        <w:rPr>
          <w:rStyle w:val="s1"/>
          <w:rFonts w:ascii="Times New Roman" w:hAnsi="Times New Roman"/>
          <w:sz w:val="24"/>
          <w:szCs w:val="24"/>
        </w:rPr>
        <w:t xml:space="preserve"> </w:t>
      </w:r>
      <w:r w:rsidRPr="00F556CD">
        <w:rPr>
          <w:rStyle w:val="s1"/>
          <w:rFonts w:ascii="Times New Roman" w:hAnsi="Times New Roman"/>
          <w:sz w:val="24"/>
          <w:szCs w:val="24"/>
        </w:rPr>
        <w:t>Prior to formalising</w:t>
      </w:r>
      <w:r w:rsidR="00F349EA">
        <w:rPr>
          <w:rStyle w:val="s1"/>
          <w:rFonts w:ascii="Times New Roman" w:hAnsi="Times New Roman"/>
          <w:sz w:val="24"/>
          <w:szCs w:val="24"/>
        </w:rPr>
        <w:t xml:space="preserve"> their</w:t>
      </w:r>
      <w:r w:rsidRPr="00F556CD">
        <w:rPr>
          <w:rStyle w:val="s1"/>
          <w:rFonts w:ascii="Times New Roman" w:hAnsi="Times New Roman"/>
          <w:sz w:val="24"/>
          <w:szCs w:val="24"/>
        </w:rPr>
        <w:t xml:space="preserve"> divorce and for reasons unknown to this </w:t>
      </w:r>
      <w:r w:rsidR="00335D2C">
        <w:rPr>
          <w:rStyle w:val="s1"/>
          <w:rFonts w:ascii="Times New Roman" w:hAnsi="Times New Roman"/>
          <w:sz w:val="24"/>
          <w:szCs w:val="24"/>
        </w:rPr>
        <w:t>C</w:t>
      </w:r>
      <w:r w:rsidRPr="00F556CD">
        <w:rPr>
          <w:rStyle w:val="s1"/>
          <w:rFonts w:ascii="Times New Roman" w:hAnsi="Times New Roman"/>
          <w:sz w:val="24"/>
          <w:szCs w:val="24"/>
        </w:rPr>
        <w:t>ourt,</w:t>
      </w:r>
      <w:r w:rsidR="009072B1" w:rsidRPr="00F556CD">
        <w:rPr>
          <w:rStyle w:val="s1"/>
          <w:rFonts w:ascii="Times New Roman" w:hAnsi="Times New Roman"/>
          <w:sz w:val="24"/>
          <w:szCs w:val="24"/>
        </w:rPr>
        <w:t xml:space="preserve"> </w:t>
      </w:r>
      <w:r w:rsidR="00306E86" w:rsidRPr="00F556CD">
        <w:rPr>
          <w:rStyle w:val="s1"/>
          <w:rFonts w:ascii="Times New Roman" w:hAnsi="Times New Roman"/>
          <w:sz w:val="24"/>
          <w:szCs w:val="24"/>
        </w:rPr>
        <w:t>the first</w:t>
      </w:r>
      <w:r w:rsidR="00B01FFF" w:rsidRPr="00F556CD">
        <w:rPr>
          <w:rStyle w:val="s1"/>
          <w:rFonts w:ascii="Times New Roman" w:hAnsi="Times New Roman"/>
          <w:sz w:val="24"/>
          <w:szCs w:val="24"/>
        </w:rPr>
        <w:t xml:space="preserve"> respondent </w:t>
      </w:r>
      <w:r w:rsidR="00306E86" w:rsidRPr="00F556CD">
        <w:rPr>
          <w:rStyle w:val="s1"/>
          <w:rFonts w:ascii="Times New Roman" w:hAnsi="Times New Roman"/>
          <w:sz w:val="24"/>
          <w:szCs w:val="24"/>
        </w:rPr>
        <w:t>caused the second</w:t>
      </w:r>
      <w:r w:rsidRPr="00F556CD">
        <w:rPr>
          <w:rStyle w:val="s1"/>
          <w:rFonts w:ascii="Times New Roman" w:hAnsi="Times New Roman"/>
          <w:sz w:val="24"/>
          <w:szCs w:val="24"/>
        </w:rPr>
        <w:t xml:space="preserve"> respondent to register a </w:t>
      </w:r>
      <w:r w:rsidRPr="00F556CD">
        <w:rPr>
          <w:rStyle w:val="s1"/>
          <w:rFonts w:ascii="Times New Roman" w:hAnsi="Times New Roman"/>
          <w:sz w:val="24"/>
          <w:szCs w:val="24"/>
        </w:rPr>
        <w:lastRenderedPageBreak/>
        <w:t xml:space="preserve">caveat </w:t>
      </w:r>
      <w:r w:rsidR="00335D2C">
        <w:rPr>
          <w:rStyle w:val="s1"/>
          <w:rFonts w:ascii="Times New Roman" w:hAnsi="Times New Roman"/>
          <w:sz w:val="24"/>
          <w:szCs w:val="24"/>
        </w:rPr>
        <w:t xml:space="preserve">under </w:t>
      </w:r>
      <w:r w:rsidRPr="00F556CD">
        <w:rPr>
          <w:rStyle w:val="s1"/>
          <w:rFonts w:ascii="Times New Roman" w:hAnsi="Times New Roman"/>
          <w:sz w:val="24"/>
          <w:szCs w:val="24"/>
        </w:rPr>
        <w:t>Reg</w:t>
      </w:r>
      <w:r w:rsidR="00335D2C">
        <w:rPr>
          <w:rStyle w:val="s1"/>
          <w:rFonts w:ascii="Times New Roman" w:hAnsi="Times New Roman"/>
          <w:sz w:val="24"/>
          <w:szCs w:val="24"/>
        </w:rPr>
        <w:t>istration</w:t>
      </w:r>
      <w:r w:rsidRPr="00F556CD">
        <w:rPr>
          <w:rStyle w:val="s1"/>
          <w:rFonts w:ascii="Times New Roman" w:hAnsi="Times New Roman"/>
          <w:sz w:val="24"/>
          <w:szCs w:val="24"/>
        </w:rPr>
        <w:t xml:space="preserve"> N</w:t>
      </w:r>
      <w:r w:rsidR="00335D2C">
        <w:rPr>
          <w:rStyle w:val="s1"/>
          <w:rFonts w:ascii="Times New Roman" w:hAnsi="Times New Roman"/>
          <w:sz w:val="24"/>
          <w:szCs w:val="24"/>
        </w:rPr>
        <w:t>umber</w:t>
      </w:r>
      <w:r w:rsidRPr="00F556CD">
        <w:rPr>
          <w:rStyle w:val="s1"/>
          <w:rFonts w:ascii="Times New Roman" w:hAnsi="Times New Roman"/>
          <w:sz w:val="24"/>
          <w:szCs w:val="24"/>
        </w:rPr>
        <w:t xml:space="preserve"> 36/2004 by order of court.</w:t>
      </w:r>
      <w:r w:rsidR="00335D2C">
        <w:rPr>
          <w:rStyle w:val="s1"/>
          <w:rFonts w:ascii="Times New Roman" w:hAnsi="Times New Roman"/>
          <w:sz w:val="24"/>
          <w:szCs w:val="24"/>
        </w:rPr>
        <w:t xml:space="preserve"> </w:t>
      </w:r>
      <w:r w:rsidR="00F349EA">
        <w:rPr>
          <w:rStyle w:val="s1"/>
          <w:rFonts w:ascii="Times New Roman" w:hAnsi="Times New Roman"/>
          <w:sz w:val="24"/>
          <w:szCs w:val="24"/>
        </w:rPr>
        <w:t xml:space="preserve">I </w:t>
      </w:r>
      <w:r w:rsidRPr="00F556CD">
        <w:rPr>
          <w:rStyle w:val="s1"/>
          <w:rFonts w:ascii="Times New Roman" w:hAnsi="Times New Roman"/>
          <w:sz w:val="24"/>
          <w:szCs w:val="24"/>
        </w:rPr>
        <w:t xml:space="preserve">can only speculate that the reason might have been to secure the property pending the finalisation </w:t>
      </w:r>
      <w:r w:rsidRPr="009E49C0">
        <w:rPr>
          <w:rStyle w:val="s1"/>
          <w:rFonts w:ascii="Times New Roman" w:hAnsi="Times New Roman"/>
          <w:color w:val="0D0D0D" w:themeColor="text1" w:themeTint="F2"/>
          <w:sz w:val="24"/>
          <w:szCs w:val="24"/>
        </w:rPr>
        <w:t xml:space="preserve">of the divorce </w:t>
      </w:r>
      <w:r w:rsidR="009B3157" w:rsidRPr="009E49C0">
        <w:rPr>
          <w:rStyle w:val="s1"/>
          <w:rFonts w:ascii="Times New Roman" w:hAnsi="Times New Roman"/>
          <w:color w:val="0D0D0D" w:themeColor="text1" w:themeTint="F2"/>
          <w:sz w:val="24"/>
          <w:szCs w:val="24"/>
        </w:rPr>
        <w:t>because</w:t>
      </w:r>
      <w:r w:rsidRPr="009E49C0">
        <w:rPr>
          <w:rStyle w:val="s1"/>
          <w:rFonts w:ascii="Times New Roman" w:hAnsi="Times New Roman"/>
          <w:color w:val="0D0D0D" w:themeColor="text1" w:themeTint="F2"/>
          <w:sz w:val="24"/>
          <w:szCs w:val="24"/>
        </w:rPr>
        <w:t xml:space="preserve"> the property had been listed as matrimonial property in the divorce matter.</w:t>
      </w:r>
      <w:r w:rsidR="009072B1" w:rsidRPr="009E49C0">
        <w:rPr>
          <w:rStyle w:val="s1"/>
          <w:rFonts w:ascii="Times New Roman" w:hAnsi="Times New Roman"/>
          <w:color w:val="0D0D0D" w:themeColor="text1" w:themeTint="F2"/>
          <w:sz w:val="24"/>
          <w:szCs w:val="24"/>
        </w:rPr>
        <w:t xml:space="preserve"> </w:t>
      </w:r>
      <w:r w:rsidR="00306E86" w:rsidRPr="009E49C0">
        <w:rPr>
          <w:rStyle w:val="s1"/>
          <w:rFonts w:ascii="Times New Roman" w:hAnsi="Times New Roman"/>
          <w:color w:val="0D0D0D" w:themeColor="text1" w:themeTint="F2"/>
          <w:sz w:val="24"/>
          <w:szCs w:val="24"/>
        </w:rPr>
        <w:t>On 30 January 2004</w:t>
      </w:r>
      <w:r w:rsidR="00335D2C" w:rsidRPr="009E49C0">
        <w:rPr>
          <w:rStyle w:val="s1"/>
          <w:rFonts w:ascii="Times New Roman" w:hAnsi="Times New Roman"/>
          <w:color w:val="0D0D0D" w:themeColor="text1" w:themeTint="F2"/>
          <w:sz w:val="24"/>
          <w:szCs w:val="24"/>
        </w:rPr>
        <w:t>,</w:t>
      </w:r>
      <w:r w:rsidR="00306E86" w:rsidRPr="009E49C0">
        <w:rPr>
          <w:rStyle w:val="s1"/>
          <w:rFonts w:ascii="Times New Roman" w:hAnsi="Times New Roman"/>
          <w:color w:val="0D0D0D" w:themeColor="text1" w:themeTint="F2"/>
          <w:sz w:val="24"/>
          <w:szCs w:val="24"/>
        </w:rPr>
        <w:t xml:space="preserve"> the second</w:t>
      </w:r>
      <w:r w:rsidRPr="009E49C0">
        <w:rPr>
          <w:rStyle w:val="s1"/>
          <w:rFonts w:ascii="Times New Roman" w:hAnsi="Times New Roman"/>
          <w:color w:val="0D0D0D" w:themeColor="text1" w:themeTint="F2"/>
          <w:sz w:val="24"/>
          <w:szCs w:val="24"/>
        </w:rPr>
        <w:t xml:space="preserve"> respondent registered the said </w:t>
      </w:r>
      <w:r w:rsidR="009072B1" w:rsidRPr="009E49C0">
        <w:rPr>
          <w:rStyle w:val="s1"/>
          <w:rFonts w:ascii="Times New Roman" w:hAnsi="Times New Roman"/>
          <w:color w:val="0D0D0D" w:themeColor="text1" w:themeTint="F2"/>
          <w:sz w:val="24"/>
          <w:szCs w:val="24"/>
        </w:rPr>
        <w:t xml:space="preserve">caveat. The provisional order interdicted any disposal or transfer of the property pending the resolution of the matrimonial dispute between the parties. The marriage was </w:t>
      </w:r>
      <w:r w:rsidR="0000492A" w:rsidRPr="009E49C0">
        <w:rPr>
          <w:rStyle w:val="s1"/>
          <w:rFonts w:ascii="Times New Roman" w:hAnsi="Times New Roman"/>
          <w:color w:val="0D0D0D" w:themeColor="text1" w:themeTint="F2"/>
          <w:sz w:val="24"/>
          <w:szCs w:val="24"/>
        </w:rPr>
        <w:t xml:space="preserve">subsequently </w:t>
      </w:r>
      <w:r w:rsidR="009072B1" w:rsidRPr="009E49C0">
        <w:rPr>
          <w:rStyle w:val="s1"/>
          <w:rFonts w:ascii="Times New Roman" w:hAnsi="Times New Roman"/>
          <w:color w:val="0D0D0D" w:themeColor="text1" w:themeTint="F2"/>
          <w:sz w:val="24"/>
          <w:szCs w:val="24"/>
        </w:rPr>
        <w:t xml:space="preserve">dissolved by </w:t>
      </w:r>
      <w:r w:rsidR="00E36833" w:rsidRPr="00F556CD">
        <w:rPr>
          <w:rStyle w:val="s1"/>
          <w:rFonts w:ascii="Times New Roman" w:hAnsi="Times New Roman"/>
          <w:sz w:val="24"/>
          <w:szCs w:val="24"/>
        </w:rPr>
        <w:t xml:space="preserve">this court per </w:t>
      </w:r>
      <w:r w:rsidR="006A1333" w:rsidRPr="006A1333">
        <w:rPr>
          <w:rStyle w:val="s1"/>
          <w:rFonts w:ascii="Times New Roman" w:hAnsi="Times New Roman"/>
          <w:smallCaps/>
          <w:sz w:val="24"/>
          <w:szCs w:val="24"/>
        </w:rPr>
        <w:t>Bhunu J</w:t>
      </w:r>
      <w:r w:rsidR="00335D2C">
        <w:rPr>
          <w:rStyle w:val="s1"/>
          <w:rFonts w:ascii="Times New Roman" w:hAnsi="Times New Roman"/>
          <w:sz w:val="24"/>
          <w:szCs w:val="24"/>
        </w:rPr>
        <w:t>,</w:t>
      </w:r>
      <w:r w:rsidR="009072B1" w:rsidRPr="00F556CD">
        <w:rPr>
          <w:rStyle w:val="s1"/>
          <w:rFonts w:ascii="Times New Roman" w:hAnsi="Times New Roman"/>
          <w:sz w:val="24"/>
          <w:szCs w:val="24"/>
        </w:rPr>
        <w:t xml:space="preserve"> </w:t>
      </w:r>
      <w:r w:rsidR="00F349EA">
        <w:rPr>
          <w:rStyle w:val="s1"/>
          <w:rFonts w:ascii="Times New Roman" w:hAnsi="Times New Roman"/>
          <w:sz w:val="24"/>
          <w:szCs w:val="24"/>
        </w:rPr>
        <w:t>(</w:t>
      </w:r>
      <w:r w:rsidR="009072B1" w:rsidRPr="00F556CD">
        <w:rPr>
          <w:rStyle w:val="s1"/>
          <w:rFonts w:ascii="Times New Roman" w:hAnsi="Times New Roman"/>
          <w:sz w:val="24"/>
          <w:szCs w:val="24"/>
        </w:rPr>
        <w:t>as he then was</w:t>
      </w:r>
      <w:r w:rsidR="00F349EA">
        <w:rPr>
          <w:rStyle w:val="s1"/>
          <w:rFonts w:ascii="Times New Roman" w:hAnsi="Times New Roman"/>
          <w:sz w:val="24"/>
          <w:szCs w:val="24"/>
        </w:rPr>
        <w:t>)</w:t>
      </w:r>
      <w:r w:rsidR="00335D2C">
        <w:rPr>
          <w:rStyle w:val="s1"/>
          <w:rFonts w:ascii="Times New Roman" w:hAnsi="Times New Roman"/>
          <w:sz w:val="24"/>
          <w:szCs w:val="24"/>
        </w:rPr>
        <w:t>,</w:t>
      </w:r>
      <w:r w:rsidR="009072B1" w:rsidRPr="00F556CD">
        <w:rPr>
          <w:rStyle w:val="s1"/>
          <w:rFonts w:ascii="Times New Roman" w:hAnsi="Times New Roman"/>
          <w:sz w:val="24"/>
          <w:szCs w:val="24"/>
        </w:rPr>
        <w:t xml:space="preserve"> under case HC 4824/05.</w:t>
      </w:r>
      <w:r w:rsidR="0000492A">
        <w:rPr>
          <w:rStyle w:val="s1"/>
          <w:rFonts w:ascii="Times New Roman" w:hAnsi="Times New Roman"/>
          <w:sz w:val="24"/>
          <w:szCs w:val="24"/>
        </w:rPr>
        <w:t xml:space="preserve"> The court’s order</w:t>
      </w:r>
      <w:r w:rsidR="00E36833" w:rsidRPr="00F556CD">
        <w:rPr>
          <w:rStyle w:val="s1"/>
          <w:rFonts w:ascii="Times New Roman" w:hAnsi="Times New Roman"/>
          <w:sz w:val="24"/>
          <w:szCs w:val="24"/>
        </w:rPr>
        <w:t xml:space="preserve"> </w:t>
      </w:r>
      <w:r w:rsidR="0000492A">
        <w:rPr>
          <w:rStyle w:val="s1"/>
          <w:rFonts w:ascii="Times New Roman" w:hAnsi="Times New Roman"/>
          <w:sz w:val="24"/>
          <w:szCs w:val="24"/>
        </w:rPr>
        <w:t>directed as</w:t>
      </w:r>
      <w:r w:rsidR="00E36833" w:rsidRPr="00F556CD">
        <w:rPr>
          <w:rStyle w:val="s1"/>
          <w:rFonts w:ascii="Times New Roman" w:hAnsi="Times New Roman"/>
          <w:sz w:val="24"/>
          <w:szCs w:val="24"/>
        </w:rPr>
        <w:t xml:space="preserve"> follow</w:t>
      </w:r>
      <w:r w:rsidR="0000492A">
        <w:rPr>
          <w:rStyle w:val="s1"/>
          <w:rFonts w:ascii="Times New Roman" w:hAnsi="Times New Roman"/>
          <w:sz w:val="24"/>
          <w:szCs w:val="24"/>
        </w:rPr>
        <w:t>s</w:t>
      </w:r>
      <w:r w:rsidR="00E36833" w:rsidRPr="00F556CD">
        <w:rPr>
          <w:rStyle w:val="s1"/>
          <w:rFonts w:ascii="Times New Roman" w:hAnsi="Times New Roman"/>
          <w:sz w:val="24"/>
          <w:szCs w:val="24"/>
        </w:rPr>
        <w:t>:</w:t>
      </w:r>
    </w:p>
    <w:p w14:paraId="203C4392" w14:textId="369B9840" w:rsidR="000B01A5" w:rsidRPr="00A0599A" w:rsidRDefault="006A1333" w:rsidP="006A1333">
      <w:pPr>
        <w:pStyle w:val="NormalWeb"/>
        <w:spacing w:before="0" w:beforeAutospacing="0" w:after="0" w:afterAutospacing="0" w:line="360" w:lineRule="auto"/>
        <w:ind w:left="720"/>
        <w:jc w:val="both"/>
        <w:rPr>
          <w:b/>
          <w:color w:val="000000"/>
          <w:sz w:val="22"/>
        </w:rPr>
      </w:pPr>
      <w:r w:rsidRPr="00A0599A">
        <w:rPr>
          <w:b/>
          <w:color w:val="000000"/>
          <w:sz w:val="22"/>
        </w:rPr>
        <w:t>“</w:t>
      </w:r>
      <w:r w:rsidR="000B01A5" w:rsidRPr="00A0599A">
        <w:rPr>
          <w:b/>
          <w:color w:val="000000"/>
          <w:sz w:val="22"/>
        </w:rPr>
        <w:t>IT IS ORDERED: BY CONSENT:</w:t>
      </w:r>
    </w:p>
    <w:p w14:paraId="19638D2D" w14:textId="1FD76171" w:rsidR="006A1333" w:rsidRPr="006A1333" w:rsidRDefault="000B01A5" w:rsidP="006A1333">
      <w:pPr>
        <w:pStyle w:val="NormalWeb"/>
        <w:numPr>
          <w:ilvl w:val="0"/>
          <w:numId w:val="34"/>
        </w:numPr>
        <w:spacing w:before="0" w:beforeAutospacing="0" w:after="0" w:afterAutospacing="0"/>
        <w:ind w:left="1440"/>
        <w:jc w:val="both"/>
        <w:rPr>
          <w:color w:val="000000"/>
          <w:sz w:val="22"/>
        </w:rPr>
      </w:pPr>
      <w:r w:rsidRPr="006A1333">
        <w:rPr>
          <w:color w:val="000000"/>
          <w:sz w:val="22"/>
        </w:rPr>
        <w:t>That a decree of divorce be, and is hereby, granted.</w:t>
      </w:r>
    </w:p>
    <w:p w14:paraId="0BFE43C2" w14:textId="77777777" w:rsidR="006A1333" w:rsidRPr="006A1333" w:rsidRDefault="005A0A86" w:rsidP="006A1333">
      <w:pPr>
        <w:pStyle w:val="NormalWeb"/>
        <w:numPr>
          <w:ilvl w:val="0"/>
          <w:numId w:val="34"/>
        </w:numPr>
        <w:spacing w:before="0" w:beforeAutospacing="0" w:after="0" w:afterAutospacing="0"/>
        <w:ind w:left="1440"/>
        <w:jc w:val="both"/>
        <w:rPr>
          <w:color w:val="000000"/>
          <w:sz w:val="22"/>
        </w:rPr>
      </w:pPr>
      <w:r w:rsidRPr="006A1333">
        <w:rPr>
          <w:color w:val="000000"/>
          <w:sz w:val="22"/>
        </w:rPr>
        <w:t>That sta</w:t>
      </w:r>
      <w:r w:rsidR="000B01A5" w:rsidRPr="006A1333">
        <w:rPr>
          <w:color w:val="000000"/>
          <w:sz w:val="22"/>
        </w:rPr>
        <w:t>nd 274 Quinnington Borrowdale be sold on the open market and to the best advantage of the parties through Knight Frank and Rutley</w:t>
      </w:r>
      <w:r w:rsidR="00335D2C" w:rsidRPr="006A1333">
        <w:rPr>
          <w:color w:val="000000"/>
          <w:sz w:val="22"/>
        </w:rPr>
        <w:t>.</w:t>
      </w:r>
    </w:p>
    <w:p w14:paraId="6B339E5F" w14:textId="347A2259" w:rsidR="005A0A86" w:rsidRPr="006A1333" w:rsidRDefault="005A0A86" w:rsidP="006A1333">
      <w:pPr>
        <w:pStyle w:val="NormalWeb"/>
        <w:numPr>
          <w:ilvl w:val="0"/>
          <w:numId w:val="34"/>
        </w:numPr>
        <w:spacing w:before="0" w:beforeAutospacing="0" w:after="0" w:afterAutospacing="0"/>
        <w:ind w:left="1440"/>
        <w:jc w:val="both"/>
        <w:rPr>
          <w:color w:val="000000"/>
          <w:sz w:val="22"/>
        </w:rPr>
      </w:pPr>
      <w:r w:rsidRPr="006A1333">
        <w:rPr>
          <w:color w:val="000000"/>
          <w:sz w:val="22"/>
        </w:rPr>
        <w:t>a)</w:t>
      </w:r>
      <w:r w:rsidR="00335D2C" w:rsidRPr="006A1333">
        <w:rPr>
          <w:color w:val="000000"/>
          <w:sz w:val="22"/>
        </w:rPr>
        <w:t xml:space="preserve"> </w:t>
      </w:r>
      <w:r w:rsidRPr="006A1333">
        <w:rPr>
          <w:color w:val="000000"/>
          <w:sz w:val="22"/>
        </w:rPr>
        <w:t xml:space="preserve">That Plaintiff </w:t>
      </w:r>
      <w:r w:rsidR="000B01A5" w:rsidRPr="006A1333">
        <w:rPr>
          <w:color w:val="000000"/>
          <w:sz w:val="22"/>
        </w:rPr>
        <w:t>shall be entitled to 50% of the proceeds from the sale of stand 274 Quinnington</w:t>
      </w:r>
      <w:r w:rsidR="00335D2C" w:rsidRPr="006A1333">
        <w:rPr>
          <w:color w:val="000000"/>
          <w:sz w:val="22"/>
        </w:rPr>
        <w:t>,</w:t>
      </w:r>
      <w:r w:rsidR="000B01A5" w:rsidRPr="006A1333">
        <w:rPr>
          <w:color w:val="000000"/>
          <w:sz w:val="22"/>
        </w:rPr>
        <w:t xml:space="preserve"> Borrowdale.</w:t>
      </w:r>
    </w:p>
    <w:p w14:paraId="50F79D81" w14:textId="7DC0FAF6" w:rsidR="000B01A5" w:rsidRPr="006A1333" w:rsidRDefault="006A1333" w:rsidP="006A1333">
      <w:pPr>
        <w:pStyle w:val="NormalWeb"/>
        <w:spacing w:before="0" w:beforeAutospacing="0" w:after="0" w:afterAutospacing="0"/>
        <w:ind w:left="720"/>
        <w:jc w:val="both"/>
        <w:rPr>
          <w:color w:val="000000"/>
          <w:sz w:val="22"/>
        </w:rPr>
      </w:pPr>
      <w:r w:rsidRPr="006A1333">
        <w:rPr>
          <w:color w:val="000000"/>
          <w:sz w:val="22"/>
        </w:rPr>
        <w:tab/>
      </w:r>
      <w:r w:rsidR="000B01A5" w:rsidRPr="006A1333">
        <w:rPr>
          <w:color w:val="000000"/>
          <w:sz w:val="22"/>
        </w:rPr>
        <w:t>b)</w:t>
      </w:r>
      <w:r w:rsidR="00335D2C" w:rsidRPr="006A1333">
        <w:rPr>
          <w:color w:val="000000"/>
          <w:sz w:val="22"/>
        </w:rPr>
        <w:t xml:space="preserve"> </w:t>
      </w:r>
      <w:r w:rsidR="000B01A5" w:rsidRPr="006A1333">
        <w:rPr>
          <w:color w:val="000000"/>
          <w:sz w:val="22"/>
        </w:rPr>
        <w:t>i. That Defendant shall be entitled to 30% of the proceeds fr</w:t>
      </w:r>
      <w:r w:rsidR="005A0A86" w:rsidRPr="006A1333">
        <w:rPr>
          <w:color w:val="000000"/>
          <w:sz w:val="22"/>
        </w:rPr>
        <w:t xml:space="preserve">om the sale of stand 274 </w:t>
      </w:r>
      <w:r w:rsidRPr="006A1333">
        <w:rPr>
          <w:color w:val="000000"/>
          <w:sz w:val="22"/>
        </w:rPr>
        <w:tab/>
      </w:r>
      <w:r w:rsidR="005A0A86" w:rsidRPr="006A1333">
        <w:rPr>
          <w:color w:val="000000"/>
          <w:sz w:val="22"/>
        </w:rPr>
        <w:t>Quinni</w:t>
      </w:r>
      <w:r w:rsidR="00335D2C" w:rsidRPr="006A1333">
        <w:rPr>
          <w:color w:val="000000"/>
          <w:sz w:val="22"/>
        </w:rPr>
        <w:t>n</w:t>
      </w:r>
      <w:r w:rsidR="000B01A5" w:rsidRPr="006A1333">
        <w:rPr>
          <w:color w:val="000000"/>
          <w:sz w:val="22"/>
        </w:rPr>
        <w:t>gton</w:t>
      </w:r>
      <w:r w:rsidR="00335D2C" w:rsidRPr="006A1333">
        <w:rPr>
          <w:color w:val="000000"/>
          <w:sz w:val="22"/>
        </w:rPr>
        <w:t>,</w:t>
      </w:r>
      <w:r w:rsidR="000B01A5" w:rsidRPr="006A1333">
        <w:rPr>
          <w:color w:val="000000"/>
          <w:sz w:val="22"/>
        </w:rPr>
        <w:t xml:space="preserve"> Borrowdale.</w:t>
      </w:r>
    </w:p>
    <w:p w14:paraId="46624A49" w14:textId="1E46C43C" w:rsidR="000B01A5" w:rsidRPr="006A1333" w:rsidRDefault="006A1333" w:rsidP="006A1333">
      <w:pPr>
        <w:pStyle w:val="NormalWeb"/>
        <w:spacing w:before="0" w:beforeAutospacing="0" w:after="0" w:afterAutospacing="0"/>
        <w:ind w:left="720"/>
        <w:jc w:val="both"/>
        <w:rPr>
          <w:color w:val="000000"/>
          <w:sz w:val="22"/>
        </w:rPr>
      </w:pPr>
      <w:r w:rsidRPr="006A1333">
        <w:rPr>
          <w:color w:val="000000"/>
          <w:sz w:val="22"/>
        </w:rPr>
        <w:tab/>
      </w:r>
      <w:r w:rsidR="000B01A5" w:rsidRPr="006A1333">
        <w:rPr>
          <w:color w:val="000000"/>
          <w:sz w:val="22"/>
        </w:rPr>
        <w:t>ii. The Defendant shall have the right of occ</w:t>
      </w:r>
      <w:r w:rsidR="005A0A86" w:rsidRPr="006A1333">
        <w:rPr>
          <w:color w:val="000000"/>
          <w:sz w:val="22"/>
        </w:rPr>
        <w:t>upation of stand 274 Quinni</w:t>
      </w:r>
      <w:r w:rsidR="00335D2C" w:rsidRPr="006A1333">
        <w:rPr>
          <w:color w:val="000000"/>
          <w:sz w:val="22"/>
        </w:rPr>
        <w:t>n</w:t>
      </w:r>
      <w:r w:rsidR="005A0A86" w:rsidRPr="006A1333">
        <w:rPr>
          <w:color w:val="000000"/>
          <w:sz w:val="22"/>
        </w:rPr>
        <w:t xml:space="preserve">gton until </w:t>
      </w:r>
      <w:r w:rsidRPr="006A1333">
        <w:rPr>
          <w:color w:val="000000"/>
          <w:sz w:val="22"/>
        </w:rPr>
        <w:tab/>
      </w:r>
      <w:r w:rsidR="005A0A86" w:rsidRPr="006A1333">
        <w:rPr>
          <w:color w:val="000000"/>
          <w:sz w:val="22"/>
        </w:rPr>
        <w:t>Dece</w:t>
      </w:r>
      <w:r w:rsidR="000B01A5" w:rsidRPr="006A1333">
        <w:rPr>
          <w:color w:val="000000"/>
          <w:sz w:val="22"/>
        </w:rPr>
        <w:t>mber 2006</w:t>
      </w:r>
    </w:p>
    <w:p w14:paraId="43C8A5FD" w14:textId="6F6AFCFF" w:rsidR="000B01A5" w:rsidRPr="006A1333" w:rsidRDefault="006A1333" w:rsidP="006A1333">
      <w:pPr>
        <w:pStyle w:val="NormalWeb"/>
        <w:spacing w:before="0" w:beforeAutospacing="0" w:after="0" w:afterAutospacing="0"/>
        <w:ind w:left="720"/>
        <w:jc w:val="both"/>
        <w:rPr>
          <w:color w:val="000000"/>
          <w:sz w:val="22"/>
        </w:rPr>
      </w:pPr>
      <w:r w:rsidRPr="006A1333">
        <w:rPr>
          <w:color w:val="000000"/>
          <w:sz w:val="22"/>
        </w:rPr>
        <w:tab/>
      </w:r>
      <w:r w:rsidR="000B01A5" w:rsidRPr="006A1333">
        <w:rPr>
          <w:color w:val="000000"/>
          <w:sz w:val="22"/>
        </w:rPr>
        <w:t xml:space="preserve">c. That 20% of the proceeds be deposited in the Guardian Fund by the estate agent for </w:t>
      </w:r>
      <w:r w:rsidRPr="006A1333">
        <w:rPr>
          <w:color w:val="000000"/>
          <w:sz w:val="22"/>
        </w:rPr>
        <w:tab/>
      </w:r>
      <w:r w:rsidR="000B01A5" w:rsidRPr="006A1333">
        <w:rPr>
          <w:color w:val="000000"/>
          <w:sz w:val="22"/>
        </w:rPr>
        <w:t>the benefit of the minor child David</w:t>
      </w:r>
      <w:r w:rsidR="00335D2C" w:rsidRPr="006A1333">
        <w:rPr>
          <w:color w:val="000000"/>
          <w:sz w:val="22"/>
        </w:rPr>
        <w:t>.</w:t>
      </w:r>
    </w:p>
    <w:p w14:paraId="53C2E655" w14:textId="77777777" w:rsidR="006A1333" w:rsidRPr="006A1333" w:rsidRDefault="005A0A86" w:rsidP="006A1333">
      <w:pPr>
        <w:pStyle w:val="NormalWeb"/>
        <w:numPr>
          <w:ilvl w:val="0"/>
          <w:numId w:val="34"/>
        </w:numPr>
        <w:spacing w:before="0" w:beforeAutospacing="0" w:after="0" w:afterAutospacing="0"/>
        <w:ind w:left="1440"/>
        <w:jc w:val="both"/>
        <w:rPr>
          <w:color w:val="000000"/>
          <w:sz w:val="22"/>
        </w:rPr>
      </w:pPr>
      <w:r w:rsidRPr="006A1333">
        <w:rPr>
          <w:color w:val="000000"/>
          <w:sz w:val="22"/>
        </w:rPr>
        <w:t>That the parties shal</w:t>
      </w:r>
      <w:r w:rsidR="000B01A5" w:rsidRPr="006A1333">
        <w:rPr>
          <w:color w:val="000000"/>
          <w:sz w:val="22"/>
        </w:rPr>
        <w:t xml:space="preserve">l have the option to buy each other out with the Defendant having the first option to </w:t>
      </w:r>
      <w:r w:rsidR="00766225" w:rsidRPr="006A1333">
        <w:rPr>
          <w:color w:val="000000"/>
          <w:sz w:val="22"/>
        </w:rPr>
        <w:t xml:space="preserve">be exercised within one month of the price being determined. </w:t>
      </w:r>
      <w:r w:rsidR="003325AE" w:rsidRPr="006A1333">
        <w:rPr>
          <w:color w:val="000000"/>
          <w:sz w:val="22"/>
        </w:rPr>
        <w:t xml:space="preserve"> </w:t>
      </w:r>
    </w:p>
    <w:p w14:paraId="7A971D32" w14:textId="77777777" w:rsidR="006A1333" w:rsidRPr="006A1333" w:rsidRDefault="005A0A86" w:rsidP="006A1333">
      <w:pPr>
        <w:pStyle w:val="NormalWeb"/>
        <w:numPr>
          <w:ilvl w:val="0"/>
          <w:numId w:val="34"/>
        </w:numPr>
        <w:spacing w:after="0" w:afterAutospacing="0"/>
        <w:ind w:left="1440"/>
        <w:jc w:val="both"/>
        <w:rPr>
          <w:color w:val="000000"/>
          <w:sz w:val="22"/>
        </w:rPr>
      </w:pPr>
      <w:r w:rsidRPr="006A1333">
        <w:rPr>
          <w:color w:val="000000"/>
          <w:sz w:val="22"/>
        </w:rPr>
        <w:t>In the event tha</w:t>
      </w:r>
      <w:r w:rsidR="000B01A5" w:rsidRPr="006A1333">
        <w:rPr>
          <w:color w:val="000000"/>
          <w:sz w:val="22"/>
        </w:rPr>
        <w:t>t trust funds are ex</w:t>
      </w:r>
      <w:r w:rsidRPr="006A1333">
        <w:rPr>
          <w:color w:val="000000"/>
          <w:sz w:val="22"/>
        </w:rPr>
        <w:t>hausted the question of maintena</w:t>
      </w:r>
      <w:r w:rsidR="000B01A5" w:rsidRPr="006A1333">
        <w:rPr>
          <w:color w:val="000000"/>
          <w:sz w:val="22"/>
        </w:rPr>
        <w:t>nce for the minor child David Njabulo</w:t>
      </w:r>
      <w:r w:rsidR="000A6F4B" w:rsidRPr="006A1333">
        <w:rPr>
          <w:color w:val="000000"/>
          <w:sz w:val="22"/>
        </w:rPr>
        <w:t>,</w:t>
      </w:r>
      <w:r w:rsidR="000B01A5" w:rsidRPr="006A1333">
        <w:rPr>
          <w:color w:val="000000"/>
          <w:sz w:val="22"/>
        </w:rPr>
        <w:t xml:space="preserve"> shall be determined by the maintenance court in the event of a dispute arising between the parties.</w:t>
      </w:r>
    </w:p>
    <w:p w14:paraId="686113F9" w14:textId="77777777" w:rsidR="006A1333" w:rsidRPr="006A1333" w:rsidRDefault="000B01A5" w:rsidP="006A1333">
      <w:pPr>
        <w:pStyle w:val="NormalWeb"/>
        <w:numPr>
          <w:ilvl w:val="0"/>
          <w:numId w:val="34"/>
        </w:numPr>
        <w:spacing w:after="0" w:afterAutospacing="0"/>
        <w:ind w:left="1440"/>
        <w:jc w:val="both"/>
        <w:rPr>
          <w:color w:val="000000"/>
          <w:sz w:val="22"/>
        </w:rPr>
      </w:pPr>
      <w:r w:rsidRPr="006A1333">
        <w:rPr>
          <w:color w:val="000000"/>
          <w:sz w:val="22"/>
        </w:rPr>
        <w:t>That in the inte</w:t>
      </w:r>
      <w:r w:rsidR="005A0A86" w:rsidRPr="006A1333">
        <w:rPr>
          <w:color w:val="000000"/>
          <w:sz w:val="22"/>
        </w:rPr>
        <w:t>rim the Plaintiff shall pay main</w:t>
      </w:r>
      <w:r w:rsidRPr="006A1333">
        <w:rPr>
          <w:color w:val="000000"/>
          <w:sz w:val="22"/>
        </w:rPr>
        <w:t xml:space="preserve">tenance to the Defendant for the minor child David at the rate of $7 million per month until stand 274 Quinnington is sold and the monies deposited in the Guardian Fund in terms of </w:t>
      </w:r>
      <w:r w:rsidR="000A6F4B" w:rsidRPr="006A1333">
        <w:rPr>
          <w:color w:val="000000"/>
          <w:sz w:val="22"/>
        </w:rPr>
        <w:t>C</w:t>
      </w:r>
      <w:r w:rsidRPr="006A1333">
        <w:rPr>
          <w:color w:val="000000"/>
          <w:sz w:val="22"/>
        </w:rPr>
        <w:t>lause 3(c) of this order.</w:t>
      </w:r>
    </w:p>
    <w:p w14:paraId="37A04C66" w14:textId="6F48375B" w:rsidR="000A6F4B" w:rsidRPr="006A1333" w:rsidRDefault="000B01A5" w:rsidP="006A1333">
      <w:pPr>
        <w:pStyle w:val="NormalWeb"/>
        <w:numPr>
          <w:ilvl w:val="0"/>
          <w:numId w:val="34"/>
        </w:numPr>
        <w:spacing w:before="0" w:beforeAutospacing="0" w:after="0" w:afterAutospacing="0"/>
        <w:ind w:left="1440"/>
        <w:jc w:val="both"/>
        <w:rPr>
          <w:color w:val="000000"/>
          <w:sz w:val="22"/>
        </w:rPr>
      </w:pPr>
      <w:r w:rsidRPr="006A1333">
        <w:rPr>
          <w:color w:val="000000"/>
          <w:sz w:val="22"/>
        </w:rPr>
        <w:t>The Plaintiff shall have the Dining Room suit</w:t>
      </w:r>
      <w:r w:rsidR="0000492A" w:rsidRPr="006A1333">
        <w:rPr>
          <w:color w:val="000000"/>
          <w:sz w:val="22"/>
        </w:rPr>
        <w:t>e</w:t>
      </w:r>
      <w:r w:rsidRPr="006A1333">
        <w:rPr>
          <w:color w:val="000000"/>
          <w:sz w:val="22"/>
        </w:rPr>
        <w:t xml:space="preserve"> and the Defendant</w:t>
      </w:r>
      <w:r w:rsidR="00BB799C" w:rsidRPr="006A1333">
        <w:rPr>
          <w:color w:val="000000"/>
          <w:sz w:val="22"/>
        </w:rPr>
        <w:t xml:space="preserve"> t</w:t>
      </w:r>
      <w:r w:rsidRPr="006A1333">
        <w:rPr>
          <w:color w:val="000000"/>
          <w:sz w:val="22"/>
        </w:rPr>
        <w:t>he</w:t>
      </w:r>
      <w:r w:rsidR="00BB799C" w:rsidRPr="006A1333">
        <w:rPr>
          <w:color w:val="000000"/>
          <w:sz w:val="22"/>
        </w:rPr>
        <w:t xml:space="preserve"> </w:t>
      </w:r>
      <w:r w:rsidRPr="006A1333">
        <w:rPr>
          <w:color w:val="000000"/>
          <w:sz w:val="22"/>
        </w:rPr>
        <w:t xml:space="preserve">remainder of all the movables. </w:t>
      </w:r>
    </w:p>
    <w:p w14:paraId="7E5C69C9" w14:textId="6E511865" w:rsidR="00DD1F25" w:rsidRPr="006A1333" w:rsidRDefault="000B01A5" w:rsidP="006A1333">
      <w:pPr>
        <w:pStyle w:val="NormalWeb"/>
        <w:spacing w:before="0" w:beforeAutospacing="0" w:after="0" w:afterAutospacing="0"/>
        <w:ind w:left="720"/>
        <w:jc w:val="both"/>
        <w:rPr>
          <w:color w:val="000000"/>
          <w:sz w:val="22"/>
        </w:rPr>
      </w:pPr>
      <w:r w:rsidRPr="006A1333">
        <w:rPr>
          <w:color w:val="000000"/>
          <w:sz w:val="22"/>
        </w:rPr>
        <w:t>Thus</w:t>
      </w:r>
      <w:r w:rsidR="00335D2C" w:rsidRPr="006A1333">
        <w:rPr>
          <w:color w:val="000000"/>
          <w:sz w:val="22"/>
        </w:rPr>
        <w:t>,</w:t>
      </w:r>
      <w:r w:rsidRPr="006A1333">
        <w:rPr>
          <w:color w:val="000000"/>
          <w:sz w:val="22"/>
        </w:rPr>
        <w:t xml:space="preserve"> done and signed at Harare on this 28th day of July 2006</w:t>
      </w:r>
      <w:r w:rsidR="000A6F4B" w:rsidRPr="006A1333">
        <w:rPr>
          <w:color w:val="000000"/>
          <w:sz w:val="22"/>
        </w:rPr>
        <w:t>.</w:t>
      </w:r>
      <w:r w:rsidR="006A1333" w:rsidRPr="006A1333">
        <w:rPr>
          <w:color w:val="000000"/>
          <w:sz w:val="22"/>
        </w:rPr>
        <w:t>”</w:t>
      </w:r>
    </w:p>
    <w:p w14:paraId="788C1461" w14:textId="35AB950A" w:rsidR="00E36833" w:rsidRPr="00F556CD" w:rsidRDefault="00306E86" w:rsidP="006A1333">
      <w:pPr>
        <w:pStyle w:val="NormalWeb"/>
        <w:numPr>
          <w:ilvl w:val="0"/>
          <w:numId w:val="12"/>
        </w:numPr>
        <w:spacing w:after="0" w:afterAutospacing="0" w:line="360" w:lineRule="auto"/>
        <w:jc w:val="both"/>
        <w:rPr>
          <w:color w:val="000000"/>
        </w:rPr>
      </w:pPr>
      <w:r w:rsidRPr="00F556CD">
        <w:rPr>
          <w:color w:val="000000"/>
        </w:rPr>
        <w:t>T</w:t>
      </w:r>
      <w:r w:rsidR="00500DB1" w:rsidRPr="00F556CD">
        <w:rPr>
          <w:color w:val="000000"/>
        </w:rPr>
        <w:t xml:space="preserve">he parties did not comply </w:t>
      </w:r>
      <w:r w:rsidRPr="00F556CD">
        <w:rPr>
          <w:color w:val="000000"/>
        </w:rPr>
        <w:t>with the specifications of the divorce</w:t>
      </w:r>
      <w:r w:rsidR="00500DB1" w:rsidRPr="00F556CD">
        <w:rPr>
          <w:color w:val="000000"/>
        </w:rPr>
        <w:t xml:space="preserve"> order.</w:t>
      </w:r>
      <w:r w:rsidRPr="00F556CD">
        <w:rPr>
          <w:color w:val="000000"/>
        </w:rPr>
        <w:t xml:space="preserve"> </w:t>
      </w:r>
      <w:r w:rsidR="00500DB1" w:rsidRPr="00F556CD">
        <w:rPr>
          <w:color w:val="000000"/>
        </w:rPr>
        <w:t>The respondent did not vacate the property in quest</w:t>
      </w:r>
      <w:r w:rsidR="00E36833" w:rsidRPr="00F556CD">
        <w:rPr>
          <w:color w:val="000000"/>
        </w:rPr>
        <w:t>ion as instructed but remained o</w:t>
      </w:r>
      <w:r w:rsidR="00500DB1" w:rsidRPr="00F556CD">
        <w:rPr>
          <w:color w:val="000000"/>
        </w:rPr>
        <w:t>n the property</w:t>
      </w:r>
      <w:r w:rsidRPr="00F556CD">
        <w:rPr>
          <w:color w:val="000000"/>
        </w:rPr>
        <w:t>.</w:t>
      </w:r>
      <w:r w:rsidR="000A6F4B">
        <w:rPr>
          <w:color w:val="000000"/>
        </w:rPr>
        <w:t xml:space="preserve"> </w:t>
      </w:r>
      <w:r w:rsidRPr="00F556CD">
        <w:rPr>
          <w:color w:val="000000"/>
        </w:rPr>
        <w:t>Up to this day,</w:t>
      </w:r>
      <w:r w:rsidR="000A6F4B">
        <w:rPr>
          <w:color w:val="000000"/>
        </w:rPr>
        <w:t xml:space="preserve"> </w:t>
      </w:r>
      <w:r w:rsidRPr="00F556CD">
        <w:rPr>
          <w:color w:val="000000"/>
        </w:rPr>
        <w:t>she still resides at the property in question.</w:t>
      </w:r>
      <w:r w:rsidR="00B01FFF" w:rsidRPr="00F556CD">
        <w:rPr>
          <w:color w:val="000000"/>
        </w:rPr>
        <w:t xml:space="preserve"> </w:t>
      </w:r>
      <w:r w:rsidR="004222E6" w:rsidRPr="00F556CD">
        <w:rPr>
          <w:color w:val="000000"/>
        </w:rPr>
        <w:t>The property was not</w:t>
      </w:r>
      <w:r w:rsidR="00E36833" w:rsidRPr="00F556CD">
        <w:rPr>
          <w:color w:val="000000"/>
        </w:rPr>
        <w:t xml:space="preserve"> sold</w:t>
      </w:r>
      <w:r w:rsidR="004222E6" w:rsidRPr="00F556CD">
        <w:rPr>
          <w:color w:val="000000"/>
        </w:rPr>
        <w:t xml:space="preserve"> and </w:t>
      </w:r>
      <w:r w:rsidR="0000492A">
        <w:rPr>
          <w:color w:val="000000"/>
        </w:rPr>
        <w:t>needless to state,</w:t>
      </w:r>
      <w:r w:rsidR="004222E6" w:rsidRPr="00F556CD">
        <w:rPr>
          <w:color w:val="000000"/>
        </w:rPr>
        <w:t xml:space="preserve"> </w:t>
      </w:r>
      <w:r w:rsidR="0000492A">
        <w:rPr>
          <w:color w:val="000000"/>
        </w:rPr>
        <w:t>no deposit was ever made into the</w:t>
      </w:r>
      <w:r w:rsidR="00500DB1" w:rsidRPr="00F556CD">
        <w:rPr>
          <w:color w:val="000000"/>
        </w:rPr>
        <w:t xml:space="preserve"> </w:t>
      </w:r>
      <w:r w:rsidR="0000492A">
        <w:rPr>
          <w:color w:val="000000"/>
        </w:rPr>
        <w:t>G</w:t>
      </w:r>
      <w:r w:rsidR="00500DB1" w:rsidRPr="00F556CD">
        <w:rPr>
          <w:color w:val="000000"/>
        </w:rPr>
        <w:t>uardian</w:t>
      </w:r>
      <w:r w:rsidR="0000492A">
        <w:rPr>
          <w:color w:val="000000"/>
        </w:rPr>
        <w:t>’s</w:t>
      </w:r>
      <w:r w:rsidR="00500DB1" w:rsidRPr="00F556CD">
        <w:rPr>
          <w:color w:val="000000"/>
        </w:rPr>
        <w:t xml:space="preserve"> </w:t>
      </w:r>
      <w:r w:rsidR="0000492A">
        <w:rPr>
          <w:color w:val="000000"/>
        </w:rPr>
        <w:t>F</w:t>
      </w:r>
      <w:r w:rsidR="00500DB1" w:rsidRPr="00F556CD">
        <w:rPr>
          <w:color w:val="000000"/>
        </w:rPr>
        <w:t xml:space="preserve">und for the </w:t>
      </w:r>
      <w:r w:rsidR="0000492A">
        <w:rPr>
          <w:color w:val="000000"/>
        </w:rPr>
        <w:t xml:space="preserve">benefit of the </w:t>
      </w:r>
      <w:r w:rsidR="00500DB1" w:rsidRPr="00F556CD">
        <w:rPr>
          <w:color w:val="000000"/>
        </w:rPr>
        <w:t xml:space="preserve">minor child </w:t>
      </w:r>
      <w:r w:rsidR="00DA1420">
        <w:rPr>
          <w:color w:val="000000"/>
        </w:rPr>
        <w:t xml:space="preserve">because there were no </w:t>
      </w:r>
      <w:r w:rsidR="00500DB1" w:rsidRPr="00F556CD">
        <w:rPr>
          <w:color w:val="000000"/>
        </w:rPr>
        <w:t xml:space="preserve">proceeds </w:t>
      </w:r>
      <w:r w:rsidR="00DA1420">
        <w:rPr>
          <w:color w:val="000000"/>
        </w:rPr>
        <w:t>from the</w:t>
      </w:r>
      <w:r w:rsidR="00500DB1" w:rsidRPr="00F556CD">
        <w:rPr>
          <w:color w:val="000000"/>
        </w:rPr>
        <w:t xml:space="preserve"> sale of the hou</w:t>
      </w:r>
      <w:r w:rsidR="00DA1420">
        <w:rPr>
          <w:color w:val="000000"/>
        </w:rPr>
        <w:t>se</w:t>
      </w:r>
      <w:r w:rsidR="00500DB1" w:rsidRPr="00F556CD">
        <w:rPr>
          <w:color w:val="000000"/>
        </w:rPr>
        <w:t>.</w:t>
      </w:r>
      <w:r w:rsidR="00E36833" w:rsidRPr="00F556CD">
        <w:rPr>
          <w:color w:val="000000"/>
        </w:rPr>
        <w:t xml:space="preserve"> </w:t>
      </w:r>
    </w:p>
    <w:p w14:paraId="474C9632" w14:textId="053472C9" w:rsidR="00433E78" w:rsidRPr="00F556CD" w:rsidRDefault="00D03240" w:rsidP="006A1333">
      <w:pPr>
        <w:pStyle w:val="NormalWeb"/>
        <w:numPr>
          <w:ilvl w:val="0"/>
          <w:numId w:val="12"/>
        </w:numPr>
        <w:spacing w:before="0" w:beforeAutospacing="0" w:after="0" w:afterAutospacing="0" w:line="360" w:lineRule="auto"/>
        <w:jc w:val="both"/>
        <w:rPr>
          <w:color w:val="000000"/>
        </w:rPr>
      </w:pPr>
      <w:r w:rsidRPr="00E43A70">
        <w:rPr>
          <w:color w:val="000000" w:themeColor="text1"/>
        </w:rPr>
        <w:t>In 2010, about</w:t>
      </w:r>
      <w:r w:rsidR="00306E86" w:rsidRPr="00E43A70">
        <w:rPr>
          <w:color w:val="000000" w:themeColor="text1"/>
        </w:rPr>
        <w:t xml:space="preserve"> four years </w:t>
      </w:r>
      <w:r w:rsidRPr="00E43A70">
        <w:rPr>
          <w:color w:val="000000" w:themeColor="text1"/>
        </w:rPr>
        <w:t>after the granting of the decree of divorce and the ancillary relief,</w:t>
      </w:r>
      <w:r w:rsidR="000A6F4B" w:rsidRPr="00E43A70">
        <w:rPr>
          <w:color w:val="000000" w:themeColor="text1"/>
        </w:rPr>
        <w:t xml:space="preserve"> </w:t>
      </w:r>
      <w:r w:rsidRPr="00E43A70">
        <w:rPr>
          <w:color w:val="000000" w:themeColor="text1"/>
        </w:rPr>
        <w:t>the first respondent tried</w:t>
      </w:r>
      <w:r w:rsidR="004222E6" w:rsidRPr="00E43A70">
        <w:rPr>
          <w:color w:val="000000" w:themeColor="text1"/>
        </w:rPr>
        <w:t xml:space="preserve"> to </w:t>
      </w:r>
      <w:r w:rsidR="00306E86" w:rsidRPr="00E43A70">
        <w:rPr>
          <w:color w:val="000000" w:themeColor="text1"/>
        </w:rPr>
        <w:t xml:space="preserve">sell the house. </w:t>
      </w:r>
      <w:r w:rsidRPr="00E43A70">
        <w:rPr>
          <w:color w:val="000000" w:themeColor="text1"/>
        </w:rPr>
        <w:t xml:space="preserve">In doing so, </w:t>
      </w:r>
      <w:r w:rsidR="004222E6" w:rsidRPr="00E43A70">
        <w:rPr>
          <w:color w:val="000000" w:themeColor="text1"/>
        </w:rPr>
        <w:t>she did not utilise t</w:t>
      </w:r>
      <w:r w:rsidR="00306E86" w:rsidRPr="00E43A70">
        <w:rPr>
          <w:color w:val="000000" w:themeColor="text1"/>
        </w:rPr>
        <w:t>he agents specified in the divorce</w:t>
      </w:r>
      <w:r w:rsidR="004222E6" w:rsidRPr="00E43A70">
        <w:rPr>
          <w:color w:val="000000" w:themeColor="text1"/>
        </w:rPr>
        <w:t xml:space="preserve"> order</w:t>
      </w:r>
      <w:r w:rsidRPr="00E43A70">
        <w:rPr>
          <w:color w:val="000000" w:themeColor="text1"/>
        </w:rPr>
        <w:t>. I</w:t>
      </w:r>
      <w:r w:rsidR="004222E6" w:rsidRPr="00E43A70">
        <w:rPr>
          <w:color w:val="000000" w:themeColor="text1"/>
        </w:rPr>
        <w:t>nstead</w:t>
      </w:r>
      <w:r w:rsidRPr="00E43A70">
        <w:rPr>
          <w:color w:val="000000" w:themeColor="text1"/>
        </w:rPr>
        <w:t>, she</w:t>
      </w:r>
      <w:r w:rsidR="004222E6" w:rsidRPr="00E43A70">
        <w:rPr>
          <w:color w:val="000000" w:themeColor="text1"/>
        </w:rPr>
        <w:t xml:space="preserve"> </w:t>
      </w:r>
      <w:r w:rsidRPr="00E43A70">
        <w:rPr>
          <w:color w:val="000000" w:themeColor="text1"/>
        </w:rPr>
        <w:t>unilaterally chose</w:t>
      </w:r>
      <w:r w:rsidR="00306E86" w:rsidRPr="00E43A70">
        <w:rPr>
          <w:color w:val="000000" w:themeColor="text1"/>
        </w:rPr>
        <w:t xml:space="preserve"> </w:t>
      </w:r>
      <w:r w:rsidR="004222E6" w:rsidRPr="00E43A70">
        <w:rPr>
          <w:color w:val="000000" w:themeColor="text1"/>
        </w:rPr>
        <w:t xml:space="preserve">Stohill </w:t>
      </w:r>
      <w:r w:rsidRPr="00E43A70">
        <w:rPr>
          <w:color w:val="000000" w:themeColor="text1"/>
        </w:rPr>
        <w:t>P</w:t>
      </w:r>
      <w:r w:rsidR="004222E6" w:rsidRPr="00E43A70">
        <w:rPr>
          <w:color w:val="000000" w:themeColor="text1"/>
        </w:rPr>
        <w:t xml:space="preserve">roperties </w:t>
      </w:r>
      <w:r w:rsidRPr="00E43A70">
        <w:rPr>
          <w:color w:val="000000" w:themeColor="text1"/>
        </w:rPr>
        <w:t xml:space="preserve">(Stohill) </w:t>
      </w:r>
      <w:r w:rsidR="004222E6" w:rsidRPr="00E43A70">
        <w:rPr>
          <w:color w:val="000000" w:themeColor="text1"/>
        </w:rPr>
        <w:t>and instructed the</w:t>
      </w:r>
      <w:r w:rsidR="00E36833" w:rsidRPr="00E43A70">
        <w:rPr>
          <w:color w:val="000000" w:themeColor="text1"/>
        </w:rPr>
        <w:t>m to sell the pr</w:t>
      </w:r>
      <w:r w:rsidR="00306E86" w:rsidRPr="00E43A70">
        <w:rPr>
          <w:color w:val="000000" w:themeColor="text1"/>
        </w:rPr>
        <w:t xml:space="preserve">operty on the family’s behalf. </w:t>
      </w:r>
      <w:r w:rsidR="00306E86" w:rsidRPr="00F556CD">
        <w:rPr>
          <w:color w:val="000000"/>
        </w:rPr>
        <w:t xml:space="preserve">In pursuit of </w:t>
      </w:r>
      <w:r w:rsidR="00306E86" w:rsidRPr="00F556CD">
        <w:rPr>
          <w:color w:val="000000"/>
        </w:rPr>
        <w:lastRenderedPageBreak/>
        <w:t>the mandate they had been favoured with, Stohill valua</w:t>
      </w:r>
      <w:r w:rsidR="0091752E" w:rsidRPr="00F556CD">
        <w:rPr>
          <w:color w:val="000000"/>
        </w:rPr>
        <w:t xml:space="preserve">ted the property and pegged the </w:t>
      </w:r>
      <w:r w:rsidR="00306E86" w:rsidRPr="00F556CD">
        <w:rPr>
          <w:color w:val="000000"/>
        </w:rPr>
        <w:t>selling price at</w:t>
      </w:r>
      <w:r w:rsidR="00E36833" w:rsidRPr="00F556CD">
        <w:rPr>
          <w:color w:val="000000"/>
        </w:rPr>
        <w:t xml:space="preserve"> around</w:t>
      </w:r>
      <w:r w:rsidR="004222E6" w:rsidRPr="00F556CD">
        <w:rPr>
          <w:color w:val="000000"/>
        </w:rPr>
        <w:t xml:space="preserve"> </w:t>
      </w:r>
      <w:r w:rsidR="00306E86" w:rsidRPr="00F556CD">
        <w:rPr>
          <w:color w:val="000000"/>
        </w:rPr>
        <w:t>USD</w:t>
      </w:r>
      <w:r>
        <w:rPr>
          <w:color w:val="000000"/>
        </w:rPr>
        <w:t>$</w:t>
      </w:r>
      <w:r w:rsidR="00306E86" w:rsidRPr="00F556CD">
        <w:rPr>
          <w:color w:val="000000"/>
        </w:rPr>
        <w:t>160</w:t>
      </w:r>
      <w:r w:rsidR="009E49C0">
        <w:rPr>
          <w:color w:val="000000"/>
        </w:rPr>
        <w:t xml:space="preserve"> </w:t>
      </w:r>
      <w:r w:rsidR="00306E86" w:rsidRPr="00F556CD">
        <w:rPr>
          <w:color w:val="000000"/>
        </w:rPr>
        <w:t>000</w:t>
      </w:r>
      <w:r w:rsidR="004222E6" w:rsidRPr="00F556CD">
        <w:rPr>
          <w:color w:val="000000"/>
        </w:rPr>
        <w:t>.</w:t>
      </w:r>
      <w:r w:rsidR="000A6F4B">
        <w:rPr>
          <w:color w:val="000000"/>
        </w:rPr>
        <w:t xml:space="preserve"> </w:t>
      </w:r>
      <w:r w:rsidR="004222E6" w:rsidRPr="00F556CD">
        <w:rPr>
          <w:color w:val="000000"/>
        </w:rPr>
        <w:t>S</w:t>
      </w:r>
      <w:r w:rsidR="0091752E" w:rsidRPr="00F556CD">
        <w:rPr>
          <w:color w:val="000000"/>
        </w:rPr>
        <w:t>tohill held on to the mandate and the first respondent</w:t>
      </w:r>
      <w:r w:rsidR="004222E6" w:rsidRPr="00F556CD">
        <w:rPr>
          <w:color w:val="000000"/>
        </w:rPr>
        <w:t xml:space="preserve"> </w:t>
      </w:r>
      <w:r>
        <w:rPr>
          <w:color w:val="000000"/>
        </w:rPr>
        <w:t>never</w:t>
      </w:r>
      <w:r w:rsidR="004222E6" w:rsidRPr="00F556CD">
        <w:rPr>
          <w:color w:val="000000"/>
        </w:rPr>
        <w:t xml:space="preserve"> revoke</w:t>
      </w:r>
      <w:r>
        <w:rPr>
          <w:color w:val="000000"/>
        </w:rPr>
        <w:t>d</w:t>
      </w:r>
      <w:r w:rsidR="004222E6" w:rsidRPr="00F556CD">
        <w:rPr>
          <w:color w:val="000000"/>
        </w:rPr>
        <w:t xml:space="preserve"> Stohill’s mandate to sell the property.</w:t>
      </w:r>
      <w:r w:rsidR="0091752E" w:rsidRPr="00F556CD">
        <w:rPr>
          <w:color w:val="000000"/>
        </w:rPr>
        <w:t xml:space="preserve"> </w:t>
      </w:r>
      <w:r w:rsidR="004222E6" w:rsidRPr="00F556CD">
        <w:rPr>
          <w:color w:val="000000"/>
        </w:rPr>
        <w:t>In 2023,</w:t>
      </w:r>
      <w:r w:rsidR="000A6F4B">
        <w:rPr>
          <w:color w:val="000000"/>
        </w:rPr>
        <w:t xml:space="preserve"> </w:t>
      </w:r>
      <w:r w:rsidR="004222E6" w:rsidRPr="00F556CD">
        <w:rPr>
          <w:color w:val="000000"/>
        </w:rPr>
        <w:t xml:space="preserve">Stohill acting on the instructions of the applicant managed to find a </w:t>
      </w:r>
      <w:r>
        <w:rPr>
          <w:color w:val="000000"/>
        </w:rPr>
        <w:t>purchaser</w:t>
      </w:r>
      <w:r w:rsidR="004222E6" w:rsidRPr="00F556CD">
        <w:rPr>
          <w:color w:val="000000"/>
        </w:rPr>
        <w:t xml:space="preserve"> for the proper</w:t>
      </w:r>
      <w:r w:rsidR="0091752E" w:rsidRPr="00F556CD">
        <w:rPr>
          <w:color w:val="000000"/>
        </w:rPr>
        <w:t>ty</w:t>
      </w:r>
      <w:r w:rsidR="000A6F4B">
        <w:rPr>
          <w:color w:val="000000"/>
        </w:rPr>
        <w:t xml:space="preserve"> </w:t>
      </w:r>
      <w:r w:rsidR="009E49C0">
        <w:rPr>
          <w:color w:val="000000"/>
        </w:rPr>
        <w:t>for USD</w:t>
      </w:r>
      <w:r>
        <w:rPr>
          <w:color w:val="000000"/>
        </w:rPr>
        <w:t>$</w:t>
      </w:r>
      <w:r w:rsidR="0091752E" w:rsidRPr="00F556CD">
        <w:rPr>
          <w:color w:val="000000"/>
        </w:rPr>
        <w:t>350</w:t>
      </w:r>
      <w:r w:rsidR="009E49C0">
        <w:rPr>
          <w:color w:val="000000"/>
        </w:rPr>
        <w:t xml:space="preserve"> </w:t>
      </w:r>
      <w:r w:rsidR="0091752E" w:rsidRPr="00F556CD">
        <w:rPr>
          <w:color w:val="000000"/>
        </w:rPr>
        <w:t>000</w:t>
      </w:r>
      <w:r w:rsidR="004222E6" w:rsidRPr="00F556CD">
        <w:rPr>
          <w:color w:val="000000"/>
        </w:rPr>
        <w:t>.</w:t>
      </w:r>
    </w:p>
    <w:p w14:paraId="0480AA12" w14:textId="38C61951" w:rsidR="00433E78" w:rsidRPr="006A1333" w:rsidRDefault="00000886" w:rsidP="00A0599A">
      <w:pPr>
        <w:pStyle w:val="NormalWeb"/>
        <w:spacing w:before="0" w:beforeAutospacing="0" w:after="0" w:afterAutospacing="0" w:line="360" w:lineRule="auto"/>
        <w:ind w:left="90" w:firstLine="360"/>
        <w:jc w:val="both"/>
        <w:rPr>
          <w:b/>
          <w:color w:val="000000"/>
          <w:u w:val="single"/>
        </w:rPr>
      </w:pPr>
      <w:r w:rsidRPr="006A1333">
        <w:rPr>
          <w:b/>
          <w:color w:val="000000"/>
          <w:u w:val="single"/>
        </w:rPr>
        <w:t>Applicant</w:t>
      </w:r>
      <w:r w:rsidR="006A1333" w:rsidRPr="006A1333">
        <w:rPr>
          <w:b/>
          <w:color w:val="000000"/>
          <w:u w:val="single"/>
        </w:rPr>
        <w:t>’</w:t>
      </w:r>
      <w:r w:rsidR="006A1333">
        <w:rPr>
          <w:b/>
          <w:color w:val="000000"/>
          <w:u w:val="single"/>
        </w:rPr>
        <w:t>s C</w:t>
      </w:r>
      <w:r w:rsidRPr="006A1333">
        <w:rPr>
          <w:b/>
          <w:color w:val="000000"/>
          <w:u w:val="single"/>
        </w:rPr>
        <w:t>ase</w:t>
      </w:r>
    </w:p>
    <w:p w14:paraId="411D093F" w14:textId="77777777" w:rsidR="003A1D97" w:rsidRDefault="00D03240" w:rsidP="006A1333">
      <w:pPr>
        <w:pStyle w:val="NormalWeb"/>
        <w:numPr>
          <w:ilvl w:val="0"/>
          <w:numId w:val="12"/>
        </w:numPr>
        <w:spacing w:before="0" w:beforeAutospacing="0" w:after="0" w:afterAutospacing="0" w:line="360" w:lineRule="auto"/>
        <w:jc w:val="both"/>
        <w:rPr>
          <w:color w:val="000000"/>
        </w:rPr>
      </w:pPr>
      <w:r>
        <w:rPr>
          <w:color w:val="000000"/>
        </w:rPr>
        <w:t>The applicant alleges that, i</w:t>
      </w:r>
      <w:r w:rsidR="00433E78" w:rsidRPr="00F556CD">
        <w:rPr>
          <w:color w:val="000000"/>
        </w:rPr>
        <w:t>n pursu</w:t>
      </w:r>
      <w:r>
        <w:rPr>
          <w:color w:val="000000"/>
        </w:rPr>
        <w:t>ance of</w:t>
      </w:r>
      <w:r w:rsidR="00433E78" w:rsidRPr="00F556CD">
        <w:rPr>
          <w:color w:val="000000"/>
        </w:rPr>
        <w:t xml:space="preserve"> the </w:t>
      </w:r>
      <w:r>
        <w:rPr>
          <w:color w:val="000000"/>
        </w:rPr>
        <w:t xml:space="preserve">conclusion of the </w:t>
      </w:r>
      <w:r w:rsidR="00433E78" w:rsidRPr="00F556CD">
        <w:rPr>
          <w:color w:val="000000"/>
        </w:rPr>
        <w:t>sale,</w:t>
      </w:r>
      <w:r w:rsidR="00F73C31" w:rsidRPr="00F556CD">
        <w:rPr>
          <w:color w:val="000000"/>
        </w:rPr>
        <w:t xml:space="preserve"> </w:t>
      </w:r>
      <w:r w:rsidR="00433E78" w:rsidRPr="00F556CD">
        <w:rPr>
          <w:color w:val="000000"/>
        </w:rPr>
        <w:t>t</w:t>
      </w:r>
      <w:r w:rsidR="004222E6" w:rsidRPr="00F556CD">
        <w:rPr>
          <w:color w:val="000000"/>
        </w:rPr>
        <w:t>he</w:t>
      </w:r>
      <w:r w:rsidR="00433E78" w:rsidRPr="00F556CD">
        <w:rPr>
          <w:color w:val="000000"/>
        </w:rPr>
        <w:t xml:space="preserve"> purchaser </w:t>
      </w:r>
      <w:r w:rsidR="004222E6" w:rsidRPr="00F556CD">
        <w:rPr>
          <w:color w:val="000000"/>
        </w:rPr>
        <w:t>deposited</w:t>
      </w:r>
      <w:r>
        <w:rPr>
          <w:color w:val="000000"/>
        </w:rPr>
        <w:t xml:space="preserve"> the agreed purchase price</w:t>
      </w:r>
      <w:r w:rsidR="00F66F59" w:rsidRPr="00F556CD">
        <w:rPr>
          <w:color w:val="000000"/>
        </w:rPr>
        <w:t xml:space="preserve"> into the applicant’s </w:t>
      </w:r>
      <w:r>
        <w:rPr>
          <w:color w:val="000000"/>
        </w:rPr>
        <w:t>legal practitioner</w:t>
      </w:r>
      <w:r w:rsidR="0091752E" w:rsidRPr="00F556CD">
        <w:rPr>
          <w:color w:val="000000"/>
        </w:rPr>
        <w:t>s</w:t>
      </w:r>
      <w:r>
        <w:rPr>
          <w:color w:val="000000"/>
        </w:rPr>
        <w:t>’</w:t>
      </w:r>
      <w:r w:rsidR="0091752E" w:rsidRPr="00F556CD">
        <w:rPr>
          <w:color w:val="000000"/>
        </w:rPr>
        <w:t xml:space="preserve"> account</w:t>
      </w:r>
      <w:r>
        <w:rPr>
          <w:color w:val="000000"/>
        </w:rPr>
        <w:t>. T</w:t>
      </w:r>
      <w:r w:rsidR="0091752E" w:rsidRPr="00F556CD">
        <w:rPr>
          <w:color w:val="000000"/>
        </w:rPr>
        <w:t xml:space="preserve">he first </w:t>
      </w:r>
      <w:r w:rsidR="00F66F59" w:rsidRPr="00F556CD">
        <w:rPr>
          <w:color w:val="000000"/>
        </w:rPr>
        <w:t>respondent was informed and instructed to collect her share</w:t>
      </w:r>
      <w:r w:rsidR="00433E78" w:rsidRPr="00F556CD">
        <w:rPr>
          <w:color w:val="000000"/>
        </w:rPr>
        <w:t xml:space="preserve"> of the proceeds of the sale</w:t>
      </w:r>
      <w:r>
        <w:rPr>
          <w:color w:val="000000"/>
        </w:rPr>
        <w:t xml:space="preserve"> but she </w:t>
      </w:r>
      <w:r w:rsidR="00433E78" w:rsidRPr="00F556CD">
        <w:rPr>
          <w:color w:val="000000"/>
        </w:rPr>
        <w:t>refused</w:t>
      </w:r>
      <w:r>
        <w:rPr>
          <w:color w:val="000000"/>
        </w:rPr>
        <w:t xml:space="preserve">. Her </w:t>
      </w:r>
      <w:r w:rsidR="00433E78" w:rsidRPr="00F556CD">
        <w:rPr>
          <w:color w:val="000000"/>
        </w:rPr>
        <w:t>claim</w:t>
      </w:r>
      <w:r w:rsidR="003A1D97">
        <w:rPr>
          <w:color w:val="000000"/>
        </w:rPr>
        <w:t xml:space="preserve"> was</w:t>
      </w:r>
      <w:r w:rsidR="00433E78" w:rsidRPr="00F556CD">
        <w:rPr>
          <w:color w:val="000000"/>
        </w:rPr>
        <w:t xml:space="preserve"> that the applicant had breached a court order that only allowed him to sell the pr</w:t>
      </w:r>
      <w:r w:rsidR="0091752E" w:rsidRPr="00F556CD">
        <w:rPr>
          <w:color w:val="000000"/>
        </w:rPr>
        <w:t>operty with the consent of the first</w:t>
      </w:r>
      <w:r w:rsidR="00433E78" w:rsidRPr="00F556CD">
        <w:rPr>
          <w:color w:val="000000"/>
        </w:rPr>
        <w:t xml:space="preserve"> respondent.</w:t>
      </w:r>
      <w:r w:rsidR="00F73C31" w:rsidRPr="00F556CD">
        <w:rPr>
          <w:color w:val="000000"/>
        </w:rPr>
        <w:t xml:space="preserve">  </w:t>
      </w:r>
      <w:r w:rsidR="00433E78" w:rsidRPr="00F556CD">
        <w:rPr>
          <w:color w:val="000000"/>
        </w:rPr>
        <w:t>Furthermore</w:t>
      </w:r>
      <w:r w:rsidR="000A6F4B">
        <w:rPr>
          <w:color w:val="000000"/>
        </w:rPr>
        <w:t>,</w:t>
      </w:r>
      <w:r w:rsidR="00433E78" w:rsidRPr="00F556CD">
        <w:rPr>
          <w:color w:val="000000"/>
        </w:rPr>
        <w:t xml:space="preserve"> </w:t>
      </w:r>
      <w:r w:rsidR="003A1D97">
        <w:rPr>
          <w:color w:val="000000"/>
        </w:rPr>
        <w:t xml:space="preserve">she said </w:t>
      </w:r>
      <w:r w:rsidR="00433E78" w:rsidRPr="00F556CD">
        <w:rPr>
          <w:color w:val="000000"/>
        </w:rPr>
        <w:t>an injustice was occasioned by the sale as the property was sold at a low price and to her prejudice</w:t>
      </w:r>
      <w:r w:rsidR="003A1D97">
        <w:rPr>
          <w:color w:val="000000"/>
        </w:rPr>
        <w:t>.</w:t>
      </w:r>
    </w:p>
    <w:p w14:paraId="554E11DD" w14:textId="07F9474E" w:rsidR="00F66F59" w:rsidRPr="003A1D97" w:rsidRDefault="00F66F59" w:rsidP="006A1333">
      <w:pPr>
        <w:pStyle w:val="NormalWeb"/>
        <w:numPr>
          <w:ilvl w:val="0"/>
          <w:numId w:val="12"/>
        </w:numPr>
        <w:spacing w:before="0" w:beforeAutospacing="0" w:after="240" w:afterAutospacing="0" w:line="360" w:lineRule="auto"/>
        <w:jc w:val="both"/>
        <w:rPr>
          <w:color w:val="000000"/>
        </w:rPr>
      </w:pPr>
      <w:r w:rsidRPr="003A1D97">
        <w:rPr>
          <w:color w:val="000000"/>
        </w:rPr>
        <w:t>T</w:t>
      </w:r>
      <w:r w:rsidR="00F73C31" w:rsidRPr="003A1D97">
        <w:rPr>
          <w:color w:val="000000"/>
        </w:rPr>
        <w:t>he applicant</w:t>
      </w:r>
      <w:r w:rsidR="0091752E" w:rsidRPr="003A1D97">
        <w:rPr>
          <w:color w:val="000000"/>
        </w:rPr>
        <w:t>’s l</w:t>
      </w:r>
      <w:r w:rsidR="003A1D97">
        <w:rPr>
          <w:color w:val="000000"/>
        </w:rPr>
        <w:t xml:space="preserve">egal practitioners </w:t>
      </w:r>
      <w:r w:rsidR="0091752E" w:rsidRPr="003A1D97">
        <w:rPr>
          <w:color w:val="000000"/>
        </w:rPr>
        <w:t>wrote to the second</w:t>
      </w:r>
      <w:r w:rsidR="00E36833" w:rsidRPr="003A1D97">
        <w:rPr>
          <w:color w:val="000000"/>
        </w:rPr>
        <w:t xml:space="preserve"> respondent requesting for the</w:t>
      </w:r>
      <w:r w:rsidR="00D13E68" w:rsidRPr="003A1D97">
        <w:rPr>
          <w:color w:val="000000"/>
        </w:rPr>
        <w:t xml:space="preserve"> uplift</w:t>
      </w:r>
      <w:r w:rsidR="00E36833" w:rsidRPr="003A1D97">
        <w:rPr>
          <w:color w:val="000000"/>
        </w:rPr>
        <w:t>ment of</w:t>
      </w:r>
      <w:r w:rsidR="00D13E68" w:rsidRPr="003A1D97">
        <w:rPr>
          <w:color w:val="000000"/>
        </w:rPr>
        <w:t xml:space="preserve"> the caveat as according to the applicant it was no longer serving its purpose.</w:t>
      </w:r>
      <w:r w:rsidR="00B01FFF" w:rsidRPr="003A1D97">
        <w:rPr>
          <w:color w:val="000000"/>
        </w:rPr>
        <w:t xml:space="preserve"> </w:t>
      </w:r>
      <w:r w:rsidR="0091752E" w:rsidRPr="003A1D97">
        <w:rPr>
          <w:color w:val="000000"/>
        </w:rPr>
        <w:t xml:space="preserve">The second </w:t>
      </w:r>
      <w:r w:rsidR="00D13E68" w:rsidRPr="003A1D97">
        <w:rPr>
          <w:color w:val="000000"/>
        </w:rPr>
        <w:t>respondent asked for uplift</w:t>
      </w:r>
      <w:r w:rsidR="003A1D97">
        <w:rPr>
          <w:color w:val="000000"/>
        </w:rPr>
        <w:t>ment</w:t>
      </w:r>
      <w:r w:rsidR="00D13E68" w:rsidRPr="003A1D97">
        <w:rPr>
          <w:color w:val="000000"/>
        </w:rPr>
        <w:t xml:space="preserve"> fees </w:t>
      </w:r>
      <w:r w:rsidR="003A1D97">
        <w:rPr>
          <w:color w:val="000000"/>
        </w:rPr>
        <w:t>which</w:t>
      </w:r>
      <w:r w:rsidR="00D13E68" w:rsidRPr="003A1D97">
        <w:rPr>
          <w:color w:val="000000"/>
        </w:rPr>
        <w:t xml:space="preserve"> were duly pa</w:t>
      </w:r>
      <w:r w:rsidR="0091752E" w:rsidRPr="003A1D97">
        <w:rPr>
          <w:color w:val="000000"/>
        </w:rPr>
        <w:t>id on 18 July 2024.</w:t>
      </w:r>
      <w:r w:rsidR="000A6F4B" w:rsidRPr="003A1D97">
        <w:rPr>
          <w:color w:val="000000"/>
        </w:rPr>
        <w:t xml:space="preserve"> </w:t>
      </w:r>
      <w:r w:rsidR="0091752E" w:rsidRPr="003A1D97">
        <w:rPr>
          <w:color w:val="000000"/>
        </w:rPr>
        <w:t>However</w:t>
      </w:r>
      <w:r w:rsidR="000A6F4B" w:rsidRPr="003A1D97">
        <w:rPr>
          <w:color w:val="000000"/>
        </w:rPr>
        <w:t>,</w:t>
      </w:r>
      <w:r w:rsidR="0091752E" w:rsidRPr="003A1D97">
        <w:rPr>
          <w:color w:val="000000"/>
        </w:rPr>
        <w:t xml:space="preserve"> the second</w:t>
      </w:r>
      <w:r w:rsidR="00D13E68" w:rsidRPr="003A1D97">
        <w:rPr>
          <w:color w:val="000000"/>
        </w:rPr>
        <w:t xml:space="preserve"> respondent did not uplift the caveat but instead requested</w:t>
      </w:r>
      <w:r w:rsidR="0091752E" w:rsidRPr="003A1D97">
        <w:rPr>
          <w:color w:val="000000"/>
        </w:rPr>
        <w:t xml:space="preserve"> for proof of consent from the second </w:t>
      </w:r>
      <w:r w:rsidR="00D13E68" w:rsidRPr="003A1D97">
        <w:rPr>
          <w:color w:val="000000"/>
        </w:rPr>
        <w:t>respondent.</w:t>
      </w:r>
      <w:r w:rsidR="00F73C31" w:rsidRPr="003A1D97">
        <w:rPr>
          <w:color w:val="000000"/>
        </w:rPr>
        <w:t xml:space="preserve"> </w:t>
      </w:r>
      <w:r w:rsidR="00E36833" w:rsidRPr="003A1D97">
        <w:rPr>
          <w:color w:val="000000"/>
        </w:rPr>
        <w:t>Dissatisfied, t</w:t>
      </w:r>
      <w:r w:rsidR="00D13E68" w:rsidRPr="003A1D97">
        <w:rPr>
          <w:color w:val="000000"/>
        </w:rPr>
        <w:t>he ap</w:t>
      </w:r>
      <w:r w:rsidR="00B01FFF" w:rsidRPr="003A1D97">
        <w:rPr>
          <w:color w:val="000000"/>
        </w:rPr>
        <w:t>plicant has approached</w:t>
      </w:r>
      <w:r w:rsidR="00D13E68" w:rsidRPr="003A1D97">
        <w:rPr>
          <w:color w:val="000000"/>
        </w:rPr>
        <w:t xml:space="preserve"> this</w:t>
      </w:r>
      <w:r w:rsidR="00B01FFF" w:rsidRPr="003A1D97">
        <w:rPr>
          <w:color w:val="000000"/>
        </w:rPr>
        <w:t xml:space="preserve"> court seeking for an</w:t>
      </w:r>
      <w:r w:rsidR="00D13E68" w:rsidRPr="003A1D97">
        <w:rPr>
          <w:color w:val="000000"/>
        </w:rPr>
        <w:t xml:space="preserve"> order</w:t>
      </w:r>
      <w:r w:rsidR="00B01FFF" w:rsidRPr="003A1D97">
        <w:rPr>
          <w:color w:val="000000"/>
        </w:rPr>
        <w:t xml:space="preserve"> on the following terms</w:t>
      </w:r>
      <w:r w:rsidR="00D13E68" w:rsidRPr="003A1D97">
        <w:rPr>
          <w:color w:val="000000"/>
        </w:rPr>
        <w:t>:</w:t>
      </w:r>
    </w:p>
    <w:p w14:paraId="279B284C" w14:textId="53B0355F" w:rsidR="0034050F" w:rsidRPr="006A1333" w:rsidRDefault="006A1333" w:rsidP="006A1333">
      <w:pPr>
        <w:pStyle w:val="NormalWeb"/>
        <w:spacing w:before="0" w:beforeAutospacing="0" w:after="0" w:afterAutospacing="0" w:line="360" w:lineRule="auto"/>
        <w:ind w:firstLine="720"/>
        <w:jc w:val="both"/>
        <w:rPr>
          <w:color w:val="000000"/>
          <w:sz w:val="22"/>
          <w:szCs w:val="22"/>
        </w:rPr>
      </w:pPr>
      <w:r w:rsidRPr="006A1333">
        <w:rPr>
          <w:color w:val="000000"/>
          <w:sz w:val="22"/>
          <w:szCs w:val="22"/>
        </w:rPr>
        <w:t>“</w:t>
      </w:r>
      <w:r w:rsidR="0034050F" w:rsidRPr="006A1333">
        <w:rPr>
          <w:color w:val="000000"/>
          <w:sz w:val="22"/>
          <w:szCs w:val="22"/>
        </w:rPr>
        <w:t xml:space="preserve">It is ordered that: </w:t>
      </w:r>
    </w:p>
    <w:p w14:paraId="06068893" w14:textId="09905F58" w:rsidR="0034050F" w:rsidRPr="006A1333" w:rsidRDefault="0034050F" w:rsidP="006A1333">
      <w:pPr>
        <w:pStyle w:val="NormalWeb"/>
        <w:numPr>
          <w:ilvl w:val="0"/>
          <w:numId w:val="4"/>
        </w:numPr>
        <w:spacing w:before="0" w:beforeAutospacing="0" w:after="0" w:afterAutospacing="0"/>
        <w:jc w:val="both"/>
        <w:rPr>
          <w:color w:val="000000"/>
          <w:sz w:val="22"/>
          <w:szCs w:val="22"/>
        </w:rPr>
      </w:pPr>
      <w:r w:rsidRPr="006A1333">
        <w:rPr>
          <w:color w:val="000000"/>
          <w:sz w:val="22"/>
          <w:szCs w:val="22"/>
        </w:rPr>
        <w:t xml:space="preserve">An application for the upliftment of </w:t>
      </w:r>
      <w:r w:rsidR="00A17ABC" w:rsidRPr="006A1333">
        <w:rPr>
          <w:color w:val="000000"/>
          <w:sz w:val="22"/>
          <w:szCs w:val="22"/>
        </w:rPr>
        <w:t>ca</w:t>
      </w:r>
      <w:r w:rsidRPr="006A1333">
        <w:rPr>
          <w:color w:val="000000"/>
          <w:sz w:val="22"/>
          <w:szCs w:val="22"/>
        </w:rPr>
        <w:t>veat be and is hereby granted</w:t>
      </w:r>
      <w:r w:rsidR="00A17ABC" w:rsidRPr="006A1333">
        <w:rPr>
          <w:color w:val="000000"/>
          <w:sz w:val="22"/>
          <w:szCs w:val="22"/>
        </w:rPr>
        <w:t>.</w:t>
      </w:r>
    </w:p>
    <w:p w14:paraId="51AE452A" w14:textId="4AE6B2F8" w:rsidR="0034050F" w:rsidRPr="006A1333" w:rsidRDefault="0034050F" w:rsidP="006A1333">
      <w:pPr>
        <w:pStyle w:val="NormalWeb"/>
        <w:numPr>
          <w:ilvl w:val="0"/>
          <w:numId w:val="4"/>
        </w:numPr>
        <w:spacing w:before="0" w:beforeAutospacing="0" w:after="0" w:afterAutospacing="0"/>
        <w:jc w:val="both"/>
        <w:rPr>
          <w:color w:val="000000"/>
          <w:sz w:val="22"/>
          <w:szCs w:val="22"/>
        </w:rPr>
      </w:pPr>
      <w:r w:rsidRPr="006A1333">
        <w:rPr>
          <w:color w:val="000000"/>
          <w:sz w:val="22"/>
          <w:szCs w:val="22"/>
        </w:rPr>
        <w:t xml:space="preserve">The </w:t>
      </w:r>
      <w:r w:rsidR="00A17ABC" w:rsidRPr="006A1333">
        <w:rPr>
          <w:color w:val="000000"/>
          <w:sz w:val="22"/>
          <w:szCs w:val="22"/>
        </w:rPr>
        <w:t>second r</w:t>
      </w:r>
      <w:r w:rsidRPr="006A1333">
        <w:rPr>
          <w:color w:val="000000"/>
          <w:sz w:val="22"/>
          <w:szCs w:val="22"/>
        </w:rPr>
        <w:t xml:space="preserve">espondent be and is hereby ordered to uplift the Caveat No. 36/2004 within 14 days of granting this order. </w:t>
      </w:r>
    </w:p>
    <w:p w14:paraId="07E73660" w14:textId="5065D10A" w:rsidR="0034050F" w:rsidRPr="006A1333" w:rsidRDefault="0034050F" w:rsidP="006A1333">
      <w:pPr>
        <w:pStyle w:val="NormalWeb"/>
        <w:numPr>
          <w:ilvl w:val="0"/>
          <w:numId w:val="4"/>
        </w:numPr>
        <w:spacing w:before="0" w:beforeAutospacing="0" w:after="240" w:afterAutospacing="0"/>
        <w:jc w:val="both"/>
        <w:rPr>
          <w:color w:val="000000"/>
          <w:sz w:val="22"/>
          <w:szCs w:val="22"/>
        </w:rPr>
      </w:pPr>
      <w:r w:rsidRPr="006A1333">
        <w:rPr>
          <w:color w:val="000000"/>
          <w:sz w:val="22"/>
          <w:szCs w:val="22"/>
        </w:rPr>
        <w:t>The respondents shall pay costs of suit on an attorney client scale if they oppose this application</w:t>
      </w:r>
      <w:r w:rsidR="00A17ABC" w:rsidRPr="006A1333">
        <w:rPr>
          <w:color w:val="000000"/>
          <w:sz w:val="22"/>
          <w:szCs w:val="22"/>
        </w:rPr>
        <w:t>.</w:t>
      </w:r>
      <w:r w:rsidR="006A1333" w:rsidRPr="006A1333">
        <w:rPr>
          <w:color w:val="000000"/>
          <w:sz w:val="22"/>
          <w:szCs w:val="22"/>
        </w:rPr>
        <w:t>”</w:t>
      </w:r>
    </w:p>
    <w:p w14:paraId="6EDC1D7A" w14:textId="5A18E537" w:rsidR="003A1D97" w:rsidRPr="009E49C0" w:rsidRDefault="0034050F" w:rsidP="003D3474">
      <w:pPr>
        <w:pStyle w:val="p1"/>
        <w:numPr>
          <w:ilvl w:val="0"/>
          <w:numId w:val="12"/>
        </w:numPr>
        <w:spacing w:after="240" w:line="360" w:lineRule="auto"/>
        <w:jc w:val="both"/>
        <w:rPr>
          <w:rFonts w:ascii="Times New Roman" w:hAnsi="Times New Roman"/>
          <w:color w:val="0D0D0D" w:themeColor="text1" w:themeTint="F2"/>
          <w:sz w:val="24"/>
          <w:szCs w:val="24"/>
        </w:rPr>
      </w:pPr>
      <w:r w:rsidRPr="009E49C0">
        <w:rPr>
          <w:rFonts w:ascii="Times New Roman" w:hAnsi="Times New Roman"/>
          <w:color w:val="0D0D0D" w:themeColor="text1" w:themeTint="F2"/>
          <w:sz w:val="24"/>
          <w:szCs w:val="24"/>
        </w:rPr>
        <w:t>The applicant</w:t>
      </w:r>
      <w:r w:rsidR="003A1D97" w:rsidRPr="009E49C0">
        <w:rPr>
          <w:rFonts w:ascii="Times New Roman" w:hAnsi="Times New Roman"/>
          <w:color w:val="0D0D0D" w:themeColor="text1" w:themeTint="F2"/>
          <w:sz w:val="24"/>
          <w:szCs w:val="24"/>
        </w:rPr>
        <w:t xml:space="preserve">’s argument </w:t>
      </w:r>
      <w:r w:rsidRPr="009E49C0">
        <w:rPr>
          <w:rFonts w:ascii="Times New Roman" w:hAnsi="Times New Roman"/>
          <w:color w:val="0D0D0D" w:themeColor="text1" w:themeTint="F2"/>
          <w:sz w:val="24"/>
          <w:szCs w:val="24"/>
        </w:rPr>
        <w:t xml:space="preserve">is that </w:t>
      </w:r>
      <w:r w:rsidR="00B01FFF" w:rsidRPr="009E49C0">
        <w:rPr>
          <w:rFonts w:ascii="Times New Roman" w:hAnsi="Times New Roman"/>
          <w:color w:val="0D0D0D" w:themeColor="text1" w:themeTint="F2"/>
          <w:sz w:val="24"/>
          <w:szCs w:val="24"/>
        </w:rPr>
        <w:t>the order of the High Court on 16 January 2004 under</w:t>
      </w:r>
      <w:r w:rsidR="00B01FFF" w:rsidRPr="009E49C0">
        <w:rPr>
          <w:rStyle w:val="s1"/>
          <w:rFonts w:ascii="Times New Roman" w:eastAsia="Times New Roman" w:hAnsi="Times New Roman"/>
          <w:color w:val="0D0D0D" w:themeColor="text1" w:themeTint="F2"/>
          <w:sz w:val="24"/>
          <w:szCs w:val="24"/>
        </w:rPr>
        <w:t xml:space="preserve"> HC 100/0</w:t>
      </w:r>
      <w:r w:rsidR="0091752E" w:rsidRPr="009E49C0">
        <w:rPr>
          <w:rStyle w:val="s1"/>
          <w:rFonts w:ascii="Times New Roman" w:eastAsia="Times New Roman" w:hAnsi="Times New Roman"/>
          <w:color w:val="0D0D0D" w:themeColor="text1" w:themeTint="F2"/>
          <w:sz w:val="24"/>
          <w:szCs w:val="24"/>
        </w:rPr>
        <w:t xml:space="preserve">4 </w:t>
      </w:r>
      <w:r w:rsidR="003A1D97" w:rsidRPr="009E49C0">
        <w:rPr>
          <w:rStyle w:val="s1"/>
          <w:rFonts w:ascii="Times New Roman" w:eastAsia="Times New Roman" w:hAnsi="Times New Roman"/>
          <w:color w:val="0D0D0D" w:themeColor="text1" w:themeTint="F2"/>
          <w:sz w:val="24"/>
          <w:szCs w:val="24"/>
        </w:rPr>
        <w:t xml:space="preserve">was </w:t>
      </w:r>
      <w:r w:rsidR="0091752E" w:rsidRPr="009E49C0">
        <w:rPr>
          <w:rStyle w:val="s1"/>
          <w:rFonts w:ascii="Times New Roman" w:eastAsia="Times New Roman" w:hAnsi="Times New Roman"/>
          <w:color w:val="0D0D0D" w:themeColor="text1" w:themeTint="F2"/>
          <w:sz w:val="24"/>
          <w:szCs w:val="24"/>
        </w:rPr>
        <w:t>a provisional order in favour of the first r</w:t>
      </w:r>
      <w:r w:rsidR="00B01FFF" w:rsidRPr="009E49C0">
        <w:rPr>
          <w:rStyle w:val="s1"/>
          <w:rFonts w:ascii="Times New Roman" w:eastAsia="Times New Roman" w:hAnsi="Times New Roman"/>
          <w:color w:val="0D0D0D" w:themeColor="text1" w:themeTint="F2"/>
          <w:sz w:val="24"/>
          <w:szCs w:val="24"/>
        </w:rPr>
        <w:t>espondent</w:t>
      </w:r>
      <w:r w:rsidR="0091752E" w:rsidRPr="009E49C0">
        <w:rPr>
          <w:rStyle w:val="s1"/>
          <w:rFonts w:ascii="Times New Roman" w:eastAsia="Times New Roman" w:hAnsi="Times New Roman"/>
          <w:color w:val="0D0D0D" w:themeColor="text1" w:themeTint="F2"/>
          <w:sz w:val="24"/>
          <w:szCs w:val="24"/>
        </w:rPr>
        <w:t>, prohibiting the second r</w:t>
      </w:r>
      <w:r w:rsidR="00B01FFF" w:rsidRPr="009E49C0">
        <w:rPr>
          <w:rStyle w:val="s1"/>
          <w:rFonts w:ascii="Times New Roman" w:eastAsia="Times New Roman" w:hAnsi="Times New Roman"/>
          <w:color w:val="0D0D0D" w:themeColor="text1" w:themeTint="F2"/>
          <w:sz w:val="24"/>
          <w:szCs w:val="24"/>
        </w:rPr>
        <w:t>espondent from</w:t>
      </w:r>
      <w:r w:rsidR="00A17ABC" w:rsidRPr="009E49C0">
        <w:rPr>
          <w:rStyle w:val="s1"/>
          <w:rFonts w:ascii="Times New Roman" w:eastAsia="Times New Roman" w:hAnsi="Times New Roman"/>
          <w:color w:val="0D0D0D" w:themeColor="text1" w:themeTint="F2"/>
          <w:sz w:val="24"/>
          <w:szCs w:val="24"/>
        </w:rPr>
        <w:t>,</w:t>
      </w:r>
      <w:r w:rsidR="00B01FFF" w:rsidRPr="009E49C0">
        <w:rPr>
          <w:rStyle w:val="s1"/>
          <w:rFonts w:ascii="Times New Roman" w:eastAsia="Times New Roman" w:hAnsi="Times New Roman"/>
          <w:color w:val="0D0D0D" w:themeColor="text1" w:themeTint="F2"/>
          <w:sz w:val="24"/>
          <w:szCs w:val="24"/>
        </w:rPr>
        <w:t xml:space="preserve"> "transferring or encumbering in any way property number 5 Waxbill Way, Borrowdale Harare" registered in the applicant's name</w:t>
      </w:r>
      <w:r w:rsidR="003A1D97" w:rsidRPr="009E49C0">
        <w:rPr>
          <w:rStyle w:val="s1"/>
          <w:rFonts w:ascii="Times New Roman" w:eastAsia="Times New Roman" w:hAnsi="Times New Roman"/>
          <w:color w:val="0D0D0D" w:themeColor="text1" w:themeTint="F2"/>
          <w:sz w:val="24"/>
          <w:szCs w:val="24"/>
        </w:rPr>
        <w:t xml:space="preserve"> pending the finalisation of the matrimonial dispute between the parties</w:t>
      </w:r>
      <w:r w:rsidR="00B01FFF" w:rsidRPr="009E49C0">
        <w:rPr>
          <w:rStyle w:val="s1"/>
          <w:rFonts w:ascii="Times New Roman" w:eastAsia="Times New Roman" w:hAnsi="Times New Roman"/>
          <w:color w:val="0D0D0D" w:themeColor="text1" w:themeTint="F2"/>
          <w:sz w:val="24"/>
          <w:szCs w:val="24"/>
        </w:rPr>
        <w:t xml:space="preserve">. </w:t>
      </w:r>
      <w:r w:rsidR="003A1D97" w:rsidRPr="009E49C0">
        <w:rPr>
          <w:rStyle w:val="s1"/>
          <w:rFonts w:ascii="Times New Roman" w:eastAsia="Times New Roman" w:hAnsi="Times New Roman"/>
          <w:color w:val="0D0D0D" w:themeColor="text1" w:themeTint="F2"/>
          <w:sz w:val="24"/>
          <w:szCs w:val="24"/>
        </w:rPr>
        <w:t>By that order a</w:t>
      </w:r>
      <w:r w:rsidR="00B01FFF" w:rsidRPr="009E49C0">
        <w:rPr>
          <w:rStyle w:val="s1"/>
          <w:rFonts w:ascii="Times New Roman" w:eastAsia="Times New Roman" w:hAnsi="Times New Roman"/>
          <w:color w:val="0D0D0D" w:themeColor="text1" w:themeTint="F2"/>
          <w:sz w:val="24"/>
          <w:szCs w:val="24"/>
        </w:rPr>
        <w:t>ny transaction involving the property was "ordered stayed forthwith pending the resolution of a matrimonial dispute" betw</w:t>
      </w:r>
      <w:r w:rsidR="0091752E" w:rsidRPr="009E49C0">
        <w:rPr>
          <w:rStyle w:val="s1"/>
          <w:rFonts w:ascii="Times New Roman" w:eastAsia="Times New Roman" w:hAnsi="Times New Roman"/>
          <w:color w:val="0D0D0D" w:themeColor="text1" w:themeTint="F2"/>
          <w:sz w:val="24"/>
          <w:szCs w:val="24"/>
        </w:rPr>
        <w:t>een the applicant and first r</w:t>
      </w:r>
      <w:r w:rsidR="00B01FFF" w:rsidRPr="009E49C0">
        <w:rPr>
          <w:rStyle w:val="s1"/>
          <w:rFonts w:ascii="Times New Roman" w:eastAsia="Times New Roman" w:hAnsi="Times New Roman"/>
          <w:color w:val="0D0D0D" w:themeColor="text1" w:themeTint="F2"/>
          <w:sz w:val="24"/>
          <w:szCs w:val="24"/>
        </w:rPr>
        <w:t>espondent.</w:t>
      </w:r>
      <w:r w:rsidR="00B01FFF" w:rsidRPr="009E49C0">
        <w:rPr>
          <w:rStyle w:val="s1"/>
          <w:rFonts w:ascii="Times New Roman" w:hAnsi="Times New Roman"/>
          <w:color w:val="0D0D0D" w:themeColor="text1" w:themeTint="F2"/>
          <w:sz w:val="24"/>
          <w:szCs w:val="24"/>
        </w:rPr>
        <w:t xml:space="preserve"> </w:t>
      </w:r>
      <w:r w:rsidR="003A1D97" w:rsidRPr="009E49C0">
        <w:rPr>
          <w:rStyle w:val="s1"/>
          <w:rFonts w:ascii="Times New Roman" w:hAnsi="Times New Roman"/>
          <w:color w:val="0D0D0D" w:themeColor="text1" w:themeTint="F2"/>
          <w:sz w:val="24"/>
          <w:szCs w:val="24"/>
        </w:rPr>
        <w:t>In line with</w:t>
      </w:r>
      <w:r w:rsidR="0091752E" w:rsidRPr="009E49C0">
        <w:rPr>
          <w:rStyle w:val="s1"/>
          <w:rFonts w:ascii="Times New Roman" w:hAnsi="Times New Roman"/>
          <w:color w:val="0D0D0D" w:themeColor="text1" w:themeTint="F2"/>
          <w:sz w:val="24"/>
          <w:szCs w:val="24"/>
        </w:rPr>
        <w:t xml:space="preserve"> </w:t>
      </w:r>
      <w:r w:rsidR="00B01FFF" w:rsidRPr="009E49C0">
        <w:rPr>
          <w:rStyle w:val="s1"/>
          <w:rFonts w:ascii="Times New Roman" w:hAnsi="Times New Roman"/>
          <w:color w:val="0D0D0D" w:themeColor="text1" w:themeTint="F2"/>
          <w:sz w:val="24"/>
          <w:szCs w:val="24"/>
        </w:rPr>
        <w:t xml:space="preserve">the </w:t>
      </w:r>
      <w:r w:rsidR="0091752E" w:rsidRPr="009E49C0">
        <w:rPr>
          <w:rStyle w:val="s1"/>
          <w:rFonts w:ascii="Times New Roman" w:hAnsi="Times New Roman"/>
          <w:color w:val="0D0D0D" w:themeColor="text1" w:themeTint="F2"/>
          <w:sz w:val="24"/>
          <w:szCs w:val="24"/>
        </w:rPr>
        <w:t xml:space="preserve">dictates of the </w:t>
      </w:r>
      <w:r w:rsidR="00B01FFF" w:rsidRPr="009E49C0">
        <w:rPr>
          <w:rStyle w:val="s1"/>
          <w:rFonts w:ascii="Times New Roman" w:hAnsi="Times New Roman"/>
          <w:color w:val="0D0D0D" w:themeColor="text1" w:themeTint="F2"/>
          <w:sz w:val="24"/>
          <w:szCs w:val="24"/>
        </w:rPr>
        <w:t>provisional order,</w:t>
      </w:r>
      <w:r w:rsidR="00A17ABC" w:rsidRPr="009E49C0">
        <w:rPr>
          <w:rStyle w:val="s1"/>
          <w:rFonts w:ascii="Times New Roman" w:hAnsi="Times New Roman"/>
          <w:color w:val="0D0D0D" w:themeColor="text1" w:themeTint="F2"/>
          <w:sz w:val="24"/>
          <w:szCs w:val="24"/>
        </w:rPr>
        <w:t xml:space="preserve"> </w:t>
      </w:r>
      <w:r w:rsidR="00B01FFF" w:rsidRPr="009E49C0">
        <w:rPr>
          <w:rStyle w:val="s1"/>
          <w:rFonts w:ascii="Times New Roman" w:hAnsi="Times New Roman"/>
          <w:color w:val="0D0D0D" w:themeColor="text1" w:themeTint="F2"/>
          <w:sz w:val="24"/>
          <w:szCs w:val="24"/>
        </w:rPr>
        <w:t>on 30 January 2005, t</w:t>
      </w:r>
      <w:r w:rsidR="0091752E" w:rsidRPr="009E49C0">
        <w:rPr>
          <w:rStyle w:val="s1"/>
          <w:rFonts w:ascii="Times New Roman" w:hAnsi="Times New Roman"/>
          <w:color w:val="0D0D0D" w:themeColor="text1" w:themeTint="F2"/>
          <w:sz w:val="24"/>
          <w:szCs w:val="24"/>
        </w:rPr>
        <w:t>he second r</w:t>
      </w:r>
      <w:r w:rsidR="00B01FFF" w:rsidRPr="009E49C0">
        <w:rPr>
          <w:rStyle w:val="s1"/>
          <w:rFonts w:ascii="Times New Roman" w:hAnsi="Times New Roman"/>
          <w:color w:val="0D0D0D" w:themeColor="text1" w:themeTint="F2"/>
          <w:sz w:val="24"/>
          <w:szCs w:val="24"/>
        </w:rPr>
        <w:t xml:space="preserve">espondent </w:t>
      </w:r>
      <w:r w:rsidR="0091752E" w:rsidRPr="009E49C0">
        <w:rPr>
          <w:rStyle w:val="s1"/>
          <w:rFonts w:ascii="Times New Roman" w:hAnsi="Times New Roman"/>
          <w:color w:val="0D0D0D" w:themeColor="text1" w:themeTint="F2"/>
          <w:sz w:val="24"/>
          <w:szCs w:val="24"/>
        </w:rPr>
        <w:t xml:space="preserve">registered a </w:t>
      </w:r>
      <w:r w:rsidR="00B01FFF" w:rsidRPr="009E49C0">
        <w:rPr>
          <w:rStyle w:val="s1"/>
          <w:rFonts w:ascii="Times New Roman" w:hAnsi="Times New Roman"/>
          <w:color w:val="0D0D0D" w:themeColor="text1" w:themeTint="F2"/>
          <w:sz w:val="24"/>
          <w:szCs w:val="24"/>
        </w:rPr>
        <w:t>caveat against the title deed to the property.</w:t>
      </w:r>
    </w:p>
    <w:p w14:paraId="7C619935" w14:textId="77777777" w:rsidR="003A1D97" w:rsidRDefault="00B01FFF" w:rsidP="006A1333">
      <w:pPr>
        <w:pStyle w:val="p1"/>
        <w:numPr>
          <w:ilvl w:val="0"/>
          <w:numId w:val="12"/>
        </w:numPr>
        <w:spacing w:line="360" w:lineRule="auto"/>
        <w:jc w:val="both"/>
        <w:rPr>
          <w:rStyle w:val="s1"/>
          <w:rFonts w:ascii="Times New Roman" w:hAnsi="Times New Roman"/>
          <w:sz w:val="24"/>
          <w:szCs w:val="24"/>
        </w:rPr>
      </w:pPr>
      <w:r w:rsidRPr="003A1D97">
        <w:rPr>
          <w:rStyle w:val="s1"/>
          <w:rFonts w:ascii="Times New Roman" w:eastAsia="Times New Roman" w:hAnsi="Times New Roman"/>
          <w:sz w:val="24"/>
          <w:szCs w:val="24"/>
        </w:rPr>
        <w:lastRenderedPageBreak/>
        <w:t>The provisional order in HC 100/04 was subsequently confirmed on 19 May 2004. In effect, the conf</w:t>
      </w:r>
      <w:r w:rsidR="0091752E" w:rsidRPr="003A1D97">
        <w:rPr>
          <w:rStyle w:val="s1"/>
          <w:rFonts w:ascii="Times New Roman" w:eastAsia="Times New Roman" w:hAnsi="Times New Roman"/>
          <w:sz w:val="24"/>
          <w:szCs w:val="24"/>
        </w:rPr>
        <w:t>irmed relief interdicted the second</w:t>
      </w:r>
      <w:r w:rsidRPr="003A1D97">
        <w:rPr>
          <w:rStyle w:val="s1"/>
          <w:rFonts w:ascii="Times New Roman" w:eastAsia="Times New Roman" w:hAnsi="Times New Roman"/>
          <w:sz w:val="24"/>
          <w:szCs w:val="24"/>
        </w:rPr>
        <w:t xml:space="preserve"> </w:t>
      </w:r>
      <w:r w:rsidR="0091752E" w:rsidRPr="003A1D97">
        <w:rPr>
          <w:rStyle w:val="s1"/>
          <w:rFonts w:ascii="Times New Roman" w:eastAsia="Times New Roman" w:hAnsi="Times New Roman"/>
          <w:sz w:val="24"/>
          <w:szCs w:val="24"/>
        </w:rPr>
        <w:t>r</w:t>
      </w:r>
      <w:r w:rsidRPr="003A1D97">
        <w:rPr>
          <w:rStyle w:val="s1"/>
          <w:rFonts w:ascii="Times New Roman" w:eastAsia="Times New Roman" w:hAnsi="Times New Roman"/>
          <w:sz w:val="24"/>
          <w:szCs w:val="24"/>
        </w:rPr>
        <w:t>espondent from registering any interest in the property withou</w:t>
      </w:r>
      <w:r w:rsidR="0091752E" w:rsidRPr="003A1D97">
        <w:rPr>
          <w:rStyle w:val="s1"/>
          <w:rFonts w:ascii="Times New Roman" w:eastAsia="Times New Roman" w:hAnsi="Times New Roman"/>
          <w:sz w:val="24"/>
          <w:szCs w:val="24"/>
        </w:rPr>
        <w:t>t the written consent of the first</w:t>
      </w:r>
      <w:r w:rsidRPr="003A1D97">
        <w:rPr>
          <w:rStyle w:val="s1"/>
          <w:rFonts w:ascii="Times New Roman" w:eastAsia="Times New Roman" w:hAnsi="Times New Roman"/>
          <w:sz w:val="24"/>
          <w:szCs w:val="24"/>
        </w:rPr>
        <w:t xml:space="preserve"> </w:t>
      </w:r>
      <w:r w:rsidR="00E62F07" w:rsidRPr="003A1D97">
        <w:rPr>
          <w:rStyle w:val="s1"/>
          <w:rFonts w:ascii="Times New Roman" w:eastAsia="Times New Roman" w:hAnsi="Times New Roman"/>
          <w:sz w:val="24"/>
          <w:szCs w:val="24"/>
        </w:rPr>
        <w:t>r</w:t>
      </w:r>
      <w:r w:rsidRPr="003A1D97">
        <w:rPr>
          <w:rStyle w:val="s1"/>
          <w:rFonts w:ascii="Times New Roman" w:eastAsia="Times New Roman" w:hAnsi="Times New Roman"/>
          <w:sz w:val="24"/>
          <w:szCs w:val="24"/>
        </w:rPr>
        <w:t xml:space="preserve">espondent. </w:t>
      </w:r>
      <w:r w:rsidRPr="003A1D97">
        <w:rPr>
          <w:rStyle w:val="s1"/>
          <w:rFonts w:ascii="Times New Roman" w:hAnsi="Times New Roman"/>
          <w:sz w:val="24"/>
          <w:szCs w:val="24"/>
        </w:rPr>
        <w:t xml:space="preserve"> </w:t>
      </w:r>
    </w:p>
    <w:p w14:paraId="0CE5245A" w14:textId="77777777" w:rsidR="003A1D97" w:rsidRPr="003A1D97" w:rsidRDefault="00B01FFF" w:rsidP="006A1333">
      <w:pPr>
        <w:pStyle w:val="p1"/>
        <w:numPr>
          <w:ilvl w:val="0"/>
          <w:numId w:val="12"/>
        </w:numPr>
        <w:spacing w:line="360" w:lineRule="auto"/>
        <w:jc w:val="both"/>
        <w:rPr>
          <w:rStyle w:val="s1"/>
          <w:rFonts w:ascii="Times New Roman" w:hAnsi="Times New Roman"/>
          <w:sz w:val="24"/>
          <w:szCs w:val="24"/>
        </w:rPr>
      </w:pPr>
      <w:r w:rsidRPr="003A1D97">
        <w:rPr>
          <w:rStyle w:val="s1"/>
          <w:rFonts w:ascii="Times New Roman" w:eastAsia="Times New Roman" w:hAnsi="Times New Roman"/>
          <w:sz w:val="24"/>
          <w:szCs w:val="24"/>
        </w:rPr>
        <w:t xml:space="preserve">On 28 July 2006, the High Court, under case number 4824/05, issued an order for divorce in the suit </w:t>
      </w:r>
      <w:r w:rsidR="0091752E" w:rsidRPr="003A1D97">
        <w:rPr>
          <w:rStyle w:val="s1"/>
          <w:rFonts w:ascii="Times New Roman" w:eastAsia="Times New Roman" w:hAnsi="Times New Roman"/>
          <w:sz w:val="24"/>
          <w:szCs w:val="24"/>
        </w:rPr>
        <w:t>between the applicant and the first r</w:t>
      </w:r>
      <w:r w:rsidRPr="003A1D97">
        <w:rPr>
          <w:rStyle w:val="s1"/>
          <w:rFonts w:ascii="Times New Roman" w:eastAsia="Times New Roman" w:hAnsi="Times New Roman"/>
          <w:sz w:val="24"/>
          <w:szCs w:val="24"/>
        </w:rPr>
        <w:t>espondent. The court directed the property to be sold on the open market to the best advantage of the parties. The proceeds were to be shared in stated rat</w:t>
      </w:r>
      <w:r w:rsidR="0091752E" w:rsidRPr="003A1D97">
        <w:rPr>
          <w:rStyle w:val="s1"/>
          <w:rFonts w:ascii="Times New Roman" w:eastAsia="Times New Roman" w:hAnsi="Times New Roman"/>
          <w:sz w:val="24"/>
          <w:szCs w:val="24"/>
        </w:rPr>
        <w:t>ios among the applicant, the first</w:t>
      </w:r>
      <w:r w:rsidRPr="003A1D97">
        <w:rPr>
          <w:rStyle w:val="s1"/>
          <w:rFonts w:ascii="Times New Roman" w:eastAsia="Times New Roman" w:hAnsi="Times New Roman"/>
          <w:sz w:val="24"/>
          <w:szCs w:val="24"/>
        </w:rPr>
        <w:t xml:space="preserve"> </w:t>
      </w:r>
      <w:r w:rsidR="0091752E" w:rsidRPr="003A1D97">
        <w:rPr>
          <w:rStyle w:val="s1"/>
          <w:rFonts w:ascii="Times New Roman" w:eastAsia="Times New Roman" w:hAnsi="Times New Roman"/>
          <w:sz w:val="24"/>
          <w:szCs w:val="24"/>
        </w:rPr>
        <w:t>r</w:t>
      </w:r>
      <w:r w:rsidRPr="003A1D97">
        <w:rPr>
          <w:rStyle w:val="s1"/>
          <w:rFonts w:ascii="Times New Roman" w:eastAsia="Times New Roman" w:hAnsi="Times New Roman"/>
          <w:sz w:val="24"/>
          <w:szCs w:val="24"/>
        </w:rPr>
        <w:t>espondent, and a minor child of their union</w:t>
      </w:r>
      <w:r w:rsidR="0091752E" w:rsidRPr="003A1D97">
        <w:rPr>
          <w:rStyle w:val="s1"/>
          <w:rFonts w:ascii="Times New Roman" w:eastAsia="Times New Roman" w:hAnsi="Times New Roman"/>
          <w:sz w:val="24"/>
          <w:szCs w:val="24"/>
        </w:rPr>
        <w:t xml:space="preserve"> </w:t>
      </w:r>
      <w:r w:rsidR="003A1D97">
        <w:rPr>
          <w:rStyle w:val="s1"/>
          <w:rFonts w:ascii="Times New Roman" w:eastAsia="Times New Roman" w:hAnsi="Times New Roman"/>
          <w:sz w:val="24"/>
          <w:szCs w:val="24"/>
        </w:rPr>
        <w:t xml:space="preserve">who is </w:t>
      </w:r>
      <w:r w:rsidR="0091752E" w:rsidRPr="003A1D97">
        <w:rPr>
          <w:rStyle w:val="s1"/>
          <w:rFonts w:ascii="Times New Roman" w:eastAsia="Times New Roman" w:hAnsi="Times New Roman"/>
          <w:sz w:val="24"/>
          <w:szCs w:val="24"/>
        </w:rPr>
        <w:t>the third respondent</w:t>
      </w:r>
      <w:r w:rsidRPr="003A1D97">
        <w:rPr>
          <w:rStyle w:val="s1"/>
          <w:rFonts w:ascii="Times New Roman" w:eastAsia="Times New Roman" w:hAnsi="Times New Roman"/>
          <w:sz w:val="24"/>
          <w:szCs w:val="24"/>
        </w:rPr>
        <w:t>.</w:t>
      </w:r>
    </w:p>
    <w:p w14:paraId="534D2553" w14:textId="49CFE409" w:rsidR="003A1D97" w:rsidRDefault="0091752E" w:rsidP="006A1333">
      <w:pPr>
        <w:pStyle w:val="p1"/>
        <w:numPr>
          <w:ilvl w:val="0"/>
          <w:numId w:val="12"/>
        </w:numPr>
        <w:spacing w:line="360" w:lineRule="auto"/>
        <w:jc w:val="both"/>
        <w:rPr>
          <w:rStyle w:val="s1"/>
          <w:rFonts w:ascii="Times New Roman" w:hAnsi="Times New Roman"/>
          <w:sz w:val="24"/>
          <w:szCs w:val="24"/>
        </w:rPr>
      </w:pPr>
      <w:r w:rsidRPr="003A1D97">
        <w:rPr>
          <w:rStyle w:val="s1"/>
          <w:rFonts w:ascii="Times New Roman" w:eastAsia="Times New Roman" w:hAnsi="Times New Roman"/>
          <w:sz w:val="24"/>
          <w:szCs w:val="24"/>
        </w:rPr>
        <w:t>In 2010 the first r</w:t>
      </w:r>
      <w:r w:rsidR="00B01FFF" w:rsidRPr="003A1D97">
        <w:rPr>
          <w:rStyle w:val="s1"/>
          <w:rFonts w:ascii="Times New Roman" w:eastAsia="Times New Roman" w:hAnsi="Times New Roman"/>
          <w:sz w:val="24"/>
          <w:szCs w:val="24"/>
        </w:rPr>
        <w:t xml:space="preserve">espondent appointed Stohill Properties to sell the property. The property was sold to a </w:t>
      </w:r>
      <w:r w:rsidRPr="003A1D97">
        <w:rPr>
          <w:rStyle w:val="s1"/>
          <w:rFonts w:ascii="Times New Roman" w:eastAsia="Times New Roman" w:hAnsi="Times New Roman"/>
          <w:sz w:val="24"/>
          <w:szCs w:val="24"/>
        </w:rPr>
        <w:t>purchaser identified by the first r</w:t>
      </w:r>
      <w:r w:rsidR="00B01FFF" w:rsidRPr="003A1D97">
        <w:rPr>
          <w:rStyle w:val="s1"/>
          <w:rFonts w:ascii="Times New Roman" w:eastAsia="Times New Roman" w:hAnsi="Times New Roman"/>
          <w:sz w:val="24"/>
          <w:szCs w:val="24"/>
        </w:rPr>
        <w:t>espondent's appointed agent. The purchase price was duly paid and is ready for distribution per the terms of the court order in HC 4824/05.</w:t>
      </w:r>
      <w:r w:rsidR="00E62F07" w:rsidRPr="003A1D97">
        <w:rPr>
          <w:rStyle w:val="s1"/>
          <w:rFonts w:ascii="Times New Roman" w:eastAsia="Times New Roman" w:hAnsi="Times New Roman"/>
          <w:sz w:val="24"/>
          <w:szCs w:val="24"/>
        </w:rPr>
        <w:t xml:space="preserve"> </w:t>
      </w:r>
      <w:r w:rsidR="00B01FFF" w:rsidRPr="003A1D97">
        <w:rPr>
          <w:rStyle w:val="s1"/>
          <w:rFonts w:ascii="Times New Roman" w:eastAsia="Times New Roman" w:hAnsi="Times New Roman"/>
          <w:sz w:val="24"/>
          <w:szCs w:val="24"/>
        </w:rPr>
        <w:t>Despite the sale of t</w:t>
      </w:r>
      <w:r w:rsidR="00E62F07" w:rsidRPr="003A1D97">
        <w:rPr>
          <w:rStyle w:val="s1"/>
          <w:rFonts w:ascii="Times New Roman" w:eastAsia="Times New Roman" w:hAnsi="Times New Roman"/>
          <w:sz w:val="24"/>
          <w:szCs w:val="24"/>
        </w:rPr>
        <w:t>he property</w:t>
      </w:r>
      <w:r w:rsidR="00B01FFF" w:rsidRPr="003A1D97">
        <w:rPr>
          <w:rStyle w:val="s1"/>
          <w:rFonts w:ascii="Times New Roman" w:eastAsia="Times New Roman" w:hAnsi="Times New Roman"/>
          <w:sz w:val="24"/>
          <w:szCs w:val="24"/>
        </w:rPr>
        <w:t>, the</w:t>
      </w:r>
      <w:r w:rsidRPr="003A1D97">
        <w:rPr>
          <w:rStyle w:val="s1"/>
          <w:rFonts w:ascii="Times New Roman" w:eastAsia="Times New Roman" w:hAnsi="Times New Roman"/>
          <w:sz w:val="24"/>
          <w:szCs w:val="24"/>
        </w:rPr>
        <w:t xml:space="preserve"> second r</w:t>
      </w:r>
      <w:r w:rsidR="00B01FFF" w:rsidRPr="003A1D97">
        <w:rPr>
          <w:rStyle w:val="s1"/>
          <w:rFonts w:ascii="Times New Roman" w:eastAsia="Times New Roman" w:hAnsi="Times New Roman"/>
          <w:sz w:val="24"/>
          <w:szCs w:val="24"/>
        </w:rPr>
        <w:t>espondent has refused to the transfer the property citing the</w:t>
      </w:r>
      <w:r w:rsidRPr="003A1D97">
        <w:rPr>
          <w:rStyle w:val="s1"/>
          <w:rFonts w:ascii="Times New Roman" w:eastAsia="Times New Roman" w:hAnsi="Times New Roman"/>
          <w:sz w:val="24"/>
          <w:szCs w:val="24"/>
        </w:rPr>
        <w:t xml:space="preserve"> absence of consent from the first r</w:t>
      </w:r>
      <w:r w:rsidR="00B01FFF" w:rsidRPr="003A1D97">
        <w:rPr>
          <w:rStyle w:val="s1"/>
          <w:rFonts w:ascii="Times New Roman" w:eastAsia="Times New Roman" w:hAnsi="Times New Roman"/>
          <w:sz w:val="24"/>
          <w:szCs w:val="24"/>
        </w:rPr>
        <w:t xml:space="preserve">espondent. </w:t>
      </w:r>
    </w:p>
    <w:p w14:paraId="12C82FE2" w14:textId="3C483765" w:rsidR="0034050F" w:rsidRPr="003A1D97" w:rsidRDefault="00B01FFF" w:rsidP="006A1333">
      <w:pPr>
        <w:pStyle w:val="p1"/>
        <w:numPr>
          <w:ilvl w:val="0"/>
          <w:numId w:val="12"/>
        </w:numPr>
        <w:spacing w:line="360" w:lineRule="auto"/>
        <w:jc w:val="both"/>
        <w:rPr>
          <w:rFonts w:ascii="Times New Roman" w:hAnsi="Times New Roman"/>
          <w:sz w:val="24"/>
          <w:szCs w:val="24"/>
        </w:rPr>
      </w:pPr>
      <w:r w:rsidRPr="003A1D97">
        <w:rPr>
          <w:rStyle w:val="s1"/>
          <w:rFonts w:ascii="Times New Roman" w:eastAsia="Times New Roman" w:hAnsi="Times New Roman"/>
          <w:sz w:val="24"/>
          <w:szCs w:val="24"/>
        </w:rPr>
        <w:t xml:space="preserve"> </w:t>
      </w:r>
      <w:r w:rsidR="003A1D97">
        <w:rPr>
          <w:rStyle w:val="s1"/>
          <w:rFonts w:ascii="Times New Roman" w:eastAsia="Times New Roman" w:hAnsi="Times New Roman"/>
          <w:sz w:val="24"/>
          <w:szCs w:val="24"/>
        </w:rPr>
        <w:t>T</w:t>
      </w:r>
      <w:r w:rsidRPr="003A1D97">
        <w:rPr>
          <w:rStyle w:val="s1"/>
          <w:rFonts w:ascii="Times New Roman" w:eastAsia="Times New Roman" w:hAnsi="Times New Roman"/>
          <w:sz w:val="24"/>
          <w:szCs w:val="24"/>
        </w:rPr>
        <w:t>he applicant</w:t>
      </w:r>
      <w:r w:rsidR="003A1D97">
        <w:rPr>
          <w:rStyle w:val="s1"/>
          <w:rFonts w:ascii="Times New Roman" w:eastAsia="Times New Roman" w:hAnsi="Times New Roman"/>
          <w:sz w:val="24"/>
          <w:szCs w:val="24"/>
        </w:rPr>
        <w:t xml:space="preserve"> further argues that</w:t>
      </w:r>
      <w:r w:rsidR="00E62F07" w:rsidRPr="003A1D97">
        <w:rPr>
          <w:rStyle w:val="s1"/>
          <w:rFonts w:ascii="Times New Roman" w:eastAsia="Times New Roman" w:hAnsi="Times New Roman"/>
          <w:sz w:val="24"/>
          <w:szCs w:val="24"/>
        </w:rPr>
        <w:t xml:space="preserve"> </w:t>
      </w:r>
      <w:r w:rsidR="0091752E" w:rsidRPr="003A1D97">
        <w:rPr>
          <w:rFonts w:ascii="Times New Roman" w:hAnsi="Times New Roman"/>
          <w:color w:val="000000"/>
          <w:sz w:val="24"/>
          <w:szCs w:val="24"/>
        </w:rPr>
        <w:t>the second</w:t>
      </w:r>
      <w:r w:rsidR="0034050F" w:rsidRPr="003A1D97">
        <w:rPr>
          <w:rFonts w:ascii="Times New Roman" w:hAnsi="Times New Roman"/>
          <w:color w:val="000000"/>
          <w:sz w:val="24"/>
          <w:szCs w:val="24"/>
        </w:rPr>
        <w:t xml:space="preserve"> respondent’s request for consent is misplaced and defies logic because the mat</w:t>
      </w:r>
      <w:r w:rsidR="0091752E" w:rsidRPr="003A1D97">
        <w:rPr>
          <w:rFonts w:ascii="Times New Roman" w:hAnsi="Times New Roman"/>
          <w:color w:val="000000"/>
          <w:sz w:val="24"/>
          <w:szCs w:val="24"/>
        </w:rPr>
        <w:t xml:space="preserve">rimonial dispute was resolved </w:t>
      </w:r>
      <w:r w:rsidR="0034050F" w:rsidRPr="003A1D97">
        <w:rPr>
          <w:rFonts w:ascii="Times New Roman" w:hAnsi="Times New Roman"/>
          <w:color w:val="000000"/>
          <w:sz w:val="24"/>
          <w:szCs w:val="24"/>
        </w:rPr>
        <w:t xml:space="preserve">when </w:t>
      </w:r>
      <w:r w:rsidR="003A1D97">
        <w:rPr>
          <w:rFonts w:ascii="Times New Roman" w:hAnsi="Times New Roman"/>
          <w:color w:val="000000"/>
          <w:sz w:val="24"/>
          <w:szCs w:val="24"/>
        </w:rPr>
        <w:t xml:space="preserve">the High Court granted the parties the decree of divorce and directed that the house be sold. </w:t>
      </w:r>
      <w:r w:rsidR="0034050F" w:rsidRPr="003A1D97">
        <w:rPr>
          <w:rFonts w:ascii="Times New Roman" w:hAnsi="Times New Roman"/>
          <w:color w:val="000000"/>
          <w:sz w:val="24"/>
          <w:szCs w:val="24"/>
        </w:rPr>
        <w:t xml:space="preserve"> </w:t>
      </w:r>
      <w:r w:rsidRPr="003A1D97">
        <w:rPr>
          <w:rFonts w:ascii="Times New Roman" w:hAnsi="Times New Roman"/>
          <w:color w:val="000000"/>
          <w:sz w:val="24"/>
          <w:szCs w:val="24"/>
        </w:rPr>
        <w:t>As a result</w:t>
      </w:r>
      <w:r w:rsidR="00E62F07" w:rsidRPr="003A1D97">
        <w:rPr>
          <w:rFonts w:ascii="Times New Roman" w:hAnsi="Times New Roman"/>
          <w:color w:val="000000"/>
          <w:sz w:val="24"/>
          <w:szCs w:val="24"/>
        </w:rPr>
        <w:t>,</w:t>
      </w:r>
      <w:r w:rsidRPr="003A1D97">
        <w:rPr>
          <w:rFonts w:ascii="Times New Roman" w:hAnsi="Times New Roman"/>
          <w:color w:val="000000"/>
          <w:sz w:val="24"/>
          <w:szCs w:val="24"/>
        </w:rPr>
        <w:t xml:space="preserve"> </w:t>
      </w:r>
      <w:r w:rsidR="00F626AA">
        <w:rPr>
          <w:rFonts w:ascii="Times New Roman" w:hAnsi="Times New Roman"/>
          <w:color w:val="000000"/>
          <w:sz w:val="24"/>
          <w:szCs w:val="24"/>
        </w:rPr>
        <w:t xml:space="preserve">there is </w:t>
      </w:r>
      <w:r w:rsidRPr="003A1D97">
        <w:rPr>
          <w:rFonts w:ascii="Times New Roman" w:hAnsi="Times New Roman"/>
          <w:color w:val="000000"/>
          <w:sz w:val="24"/>
          <w:szCs w:val="24"/>
        </w:rPr>
        <w:t xml:space="preserve">no </w:t>
      </w:r>
      <w:r w:rsidR="00F626AA">
        <w:rPr>
          <w:rFonts w:ascii="Times New Roman" w:hAnsi="Times New Roman"/>
          <w:color w:val="000000"/>
          <w:sz w:val="24"/>
          <w:szCs w:val="24"/>
        </w:rPr>
        <w:t xml:space="preserve">requirement for the first respondent’s </w:t>
      </w:r>
      <w:r w:rsidRPr="003A1D97">
        <w:rPr>
          <w:rFonts w:ascii="Times New Roman" w:hAnsi="Times New Roman"/>
          <w:color w:val="000000"/>
          <w:sz w:val="24"/>
          <w:szCs w:val="24"/>
        </w:rPr>
        <w:t>consent</w:t>
      </w:r>
      <w:r w:rsidR="0034050F" w:rsidRPr="003A1D97">
        <w:rPr>
          <w:rFonts w:ascii="Times New Roman" w:hAnsi="Times New Roman"/>
          <w:color w:val="000000"/>
          <w:sz w:val="24"/>
          <w:szCs w:val="24"/>
        </w:rPr>
        <w:t>.</w:t>
      </w:r>
      <w:r w:rsidR="00000886" w:rsidRPr="003A1D97">
        <w:rPr>
          <w:rFonts w:ascii="Times New Roman" w:hAnsi="Times New Roman"/>
          <w:color w:val="000000"/>
          <w:sz w:val="24"/>
          <w:szCs w:val="24"/>
        </w:rPr>
        <w:t xml:space="preserve"> </w:t>
      </w:r>
      <w:r w:rsidR="0034050F" w:rsidRPr="003A1D97">
        <w:rPr>
          <w:rFonts w:ascii="Times New Roman" w:hAnsi="Times New Roman"/>
          <w:color w:val="000000"/>
          <w:sz w:val="24"/>
          <w:szCs w:val="24"/>
        </w:rPr>
        <w:t>According to the applicant,</w:t>
      </w:r>
      <w:r w:rsidR="00000886" w:rsidRPr="003A1D97">
        <w:rPr>
          <w:rFonts w:ascii="Times New Roman" w:hAnsi="Times New Roman"/>
          <w:color w:val="000000"/>
          <w:sz w:val="24"/>
          <w:szCs w:val="24"/>
        </w:rPr>
        <w:t xml:space="preserve"> </w:t>
      </w:r>
      <w:r w:rsidR="0034050F" w:rsidRPr="003A1D97">
        <w:rPr>
          <w:rFonts w:ascii="Times New Roman" w:hAnsi="Times New Roman"/>
          <w:color w:val="000000"/>
          <w:sz w:val="24"/>
          <w:szCs w:val="24"/>
        </w:rPr>
        <w:t>the</w:t>
      </w:r>
      <w:r w:rsidR="00E36833" w:rsidRPr="003A1D97">
        <w:rPr>
          <w:rFonts w:ascii="Times New Roman" w:hAnsi="Times New Roman"/>
          <w:color w:val="000000"/>
          <w:sz w:val="24"/>
          <w:szCs w:val="24"/>
        </w:rPr>
        <w:t xml:space="preserve"> divorce</w:t>
      </w:r>
      <w:r w:rsidR="0034050F" w:rsidRPr="003A1D97">
        <w:rPr>
          <w:rFonts w:ascii="Times New Roman" w:hAnsi="Times New Roman"/>
          <w:color w:val="000000"/>
          <w:sz w:val="24"/>
          <w:szCs w:val="24"/>
        </w:rPr>
        <w:t xml:space="preserve"> order is extant and by disregarding it,</w:t>
      </w:r>
      <w:r w:rsidR="00000886" w:rsidRPr="003A1D97">
        <w:rPr>
          <w:rFonts w:ascii="Times New Roman" w:hAnsi="Times New Roman"/>
          <w:color w:val="000000"/>
          <w:sz w:val="24"/>
          <w:szCs w:val="24"/>
        </w:rPr>
        <w:t xml:space="preserve"> </w:t>
      </w:r>
      <w:r w:rsidR="0091752E" w:rsidRPr="003A1D97">
        <w:rPr>
          <w:rFonts w:ascii="Times New Roman" w:hAnsi="Times New Roman"/>
          <w:color w:val="000000"/>
          <w:sz w:val="24"/>
          <w:szCs w:val="24"/>
        </w:rPr>
        <w:t>the second</w:t>
      </w:r>
      <w:r w:rsidRPr="003A1D97">
        <w:rPr>
          <w:rFonts w:ascii="Times New Roman" w:hAnsi="Times New Roman"/>
          <w:color w:val="000000"/>
          <w:sz w:val="24"/>
          <w:szCs w:val="24"/>
        </w:rPr>
        <w:t xml:space="preserve"> respondent i</w:t>
      </w:r>
      <w:r w:rsidR="0034050F" w:rsidRPr="003A1D97">
        <w:rPr>
          <w:rFonts w:ascii="Times New Roman" w:hAnsi="Times New Roman"/>
          <w:color w:val="000000"/>
          <w:sz w:val="24"/>
          <w:szCs w:val="24"/>
        </w:rPr>
        <w:t>s on</w:t>
      </w:r>
      <w:r w:rsidR="00000886" w:rsidRPr="003A1D97">
        <w:rPr>
          <w:rFonts w:ascii="Times New Roman" w:hAnsi="Times New Roman"/>
          <w:color w:val="000000"/>
          <w:sz w:val="24"/>
          <w:szCs w:val="24"/>
        </w:rPr>
        <w:t xml:space="preserve"> a frolic of his own in</w:t>
      </w:r>
      <w:r w:rsidR="0034050F" w:rsidRPr="003A1D97">
        <w:rPr>
          <w:rFonts w:ascii="Times New Roman" w:hAnsi="Times New Roman"/>
          <w:color w:val="000000"/>
          <w:sz w:val="24"/>
          <w:szCs w:val="24"/>
        </w:rPr>
        <w:t xml:space="preserve"> demanding </w:t>
      </w:r>
      <w:r w:rsidR="00F626AA">
        <w:rPr>
          <w:rFonts w:ascii="Times New Roman" w:hAnsi="Times New Roman"/>
          <w:color w:val="000000"/>
          <w:sz w:val="24"/>
          <w:szCs w:val="24"/>
        </w:rPr>
        <w:t xml:space="preserve">the </w:t>
      </w:r>
      <w:r w:rsidR="0034050F" w:rsidRPr="003A1D97">
        <w:rPr>
          <w:rFonts w:ascii="Times New Roman" w:hAnsi="Times New Roman"/>
          <w:color w:val="000000"/>
          <w:sz w:val="24"/>
          <w:szCs w:val="24"/>
        </w:rPr>
        <w:t xml:space="preserve">written consent of the </w:t>
      </w:r>
      <w:r w:rsidR="00F626AA">
        <w:rPr>
          <w:rFonts w:ascii="Times New Roman" w:hAnsi="Times New Roman"/>
          <w:color w:val="000000"/>
          <w:sz w:val="24"/>
          <w:szCs w:val="24"/>
        </w:rPr>
        <w:t>first respondent</w:t>
      </w:r>
      <w:r w:rsidR="0034050F" w:rsidRPr="003A1D97">
        <w:rPr>
          <w:rFonts w:ascii="Times New Roman" w:hAnsi="Times New Roman"/>
          <w:color w:val="000000"/>
          <w:sz w:val="24"/>
          <w:szCs w:val="24"/>
        </w:rPr>
        <w:t>.</w:t>
      </w:r>
    </w:p>
    <w:p w14:paraId="2A35FF60" w14:textId="22F3180D" w:rsidR="00000886" w:rsidRPr="006A1333" w:rsidRDefault="00E62F07" w:rsidP="00A0599A">
      <w:pPr>
        <w:pStyle w:val="NormalWeb"/>
        <w:spacing w:before="0" w:beforeAutospacing="0" w:after="0" w:afterAutospacing="0" w:line="360" w:lineRule="auto"/>
        <w:ind w:left="180" w:firstLine="270"/>
        <w:jc w:val="both"/>
        <w:rPr>
          <w:b/>
          <w:color w:val="000000"/>
          <w:u w:val="single"/>
        </w:rPr>
      </w:pPr>
      <w:r w:rsidRPr="006A1333">
        <w:rPr>
          <w:b/>
          <w:color w:val="000000"/>
          <w:u w:val="single"/>
        </w:rPr>
        <w:t xml:space="preserve">First </w:t>
      </w:r>
      <w:r w:rsidR="00A0599A">
        <w:rPr>
          <w:b/>
          <w:color w:val="000000"/>
          <w:u w:val="single"/>
        </w:rPr>
        <w:t>a</w:t>
      </w:r>
      <w:r w:rsidR="00A0599A" w:rsidRPr="006A1333">
        <w:rPr>
          <w:b/>
          <w:color w:val="000000"/>
          <w:u w:val="single"/>
        </w:rPr>
        <w:t xml:space="preserve">nd </w:t>
      </w:r>
      <w:r w:rsidRPr="006A1333">
        <w:rPr>
          <w:b/>
          <w:color w:val="000000"/>
          <w:u w:val="single"/>
        </w:rPr>
        <w:t>Third</w:t>
      </w:r>
      <w:r w:rsidR="00000886" w:rsidRPr="006A1333">
        <w:rPr>
          <w:b/>
          <w:color w:val="000000"/>
          <w:u w:val="single"/>
        </w:rPr>
        <w:t xml:space="preserve"> </w:t>
      </w:r>
      <w:r w:rsidR="00A0599A" w:rsidRPr="006A1333">
        <w:rPr>
          <w:b/>
          <w:color w:val="000000"/>
          <w:u w:val="single"/>
        </w:rPr>
        <w:t>Respondent’s Case</w:t>
      </w:r>
    </w:p>
    <w:p w14:paraId="29BBC20F" w14:textId="4366CED0" w:rsidR="00F626AA" w:rsidRDefault="00000886" w:rsidP="006A1333">
      <w:pPr>
        <w:pStyle w:val="NormalWeb"/>
        <w:numPr>
          <w:ilvl w:val="0"/>
          <w:numId w:val="12"/>
        </w:numPr>
        <w:spacing w:before="0" w:beforeAutospacing="0" w:after="0" w:afterAutospacing="0" w:line="360" w:lineRule="auto"/>
        <w:jc w:val="both"/>
        <w:rPr>
          <w:color w:val="000000"/>
        </w:rPr>
      </w:pPr>
      <w:r w:rsidRPr="00F556CD">
        <w:rPr>
          <w:color w:val="000000"/>
        </w:rPr>
        <w:t xml:space="preserve">The </w:t>
      </w:r>
      <w:r w:rsidR="00E61784">
        <w:rPr>
          <w:color w:val="000000"/>
        </w:rPr>
        <w:t>third responde</w:t>
      </w:r>
      <w:r w:rsidR="00D57A9D">
        <w:rPr>
          <w:color w:val="000000"/>
        </w:rPr>
        <w:t>nt</w:t>
      </w:r>
      <w:r w:rsidR="00F626AA">
        <w:rPr>
          <w:color w:val="000000"/>
        </w:rPr>
        <w:t>’</w:t>
      </w:r>
      <w:r w:rsidR="00D57A9D">
        <w:rPr>
          <w:color w:val="000000"/>
        </w:rPr>
        <w:t xml:space="preserve">s case hinges on the first </w:t>
      </w:r>
      <w:r w:rsidRPr="00F556CD">
        <w:rPr>
          <w:color w:val="000000"/>
        </w:rPr>
        <w:t>respondent</w:t>
      </w:r>
      <w:r w:rsidR="00D57A9D">
        <w:rPr>
          <w:color w:val="000000"/>
        </w:rPr>
        <w:t>’s</w:t>
      </w:r>
      <w:r w:rsidR="00F626AA">
        <w:rPr>
          <w:color w:val="000000"/>
        </w:rPr>
        <w:t xml:space="preserve">. </w:t>
      </w:r>
      <w:r w:rsidR="0007524B">
        <w:rPr>
          <w:color w:val="000000"/>
        </w:rPr>
        <w:t>In turn, t</w:t>
      </w:r>
      <w:r w:rsidR="00D57A9D">
        <w:rPr>
          <w:color w:val="000000"/>
        </w:rPr>
        <w:t xml:space="preserve">he first respondent </w:t>
      </w:r>
      <w:r w:rsidR="00145899" w:rsidRPr="00F556CD">
        <w:rPr>
          <w:color w:val="000000"/>
        </w:rPr>
        <w:t>objected to the upliftment and stat</w:t>
      </w:r>
      <w:r w:rsidR="00E36833" w:rsidRPr="00F556CD">
        <w:rPr>
          <w:color w:val="000000"/>
        </w:rPr>
        <w:t>ed that she was not consulted on</w:t>
      </w:r>
      <w:r w:rsidR="00145899" w:rsidRPr="00F556CD">
        <w:rPr>
          <w:color w:val="000000"/>
        </w:rPr>
        <w:t xml:space="preserve"> the</w:t>
      </w:r>
      <w:r w:rsidR="00E36833" w:rsidRPr="00F556CD">
        <w:rPr>
          <w:color w:val="000000"/>
        </w:rPr>
        <w:t xml:space="preserve"> s</w:t>
      </w:r>
      <w:r w:rsidR="0091752E" w:rsidRPr="00F556CD">
        <w:rPr>
          <w:color w:val="000000"/>
        </w:rPr>
        <w:t>ale of the property.</w:t>
      </w:r>
      <w:r w:rsidR="00E62F07">
        <w:rPr>
          <w:color w:val="000000"/>
        </w:rPr>
        <w:t xml:space="preserve"> </w:t>
      </w:r>
      <w:r w:rsidR="001D3902">
        <w:rPr>
          <w:color w:val="000000"/>
        </w:rPr>
        <w:t xml:space="preserve">She submitted that the purchase price was below that which she </w:t>
      </w:r>
      <w:r w:rsidR="00F626AA">
        <w:rPr>
          <w:color w:val="000000"/>
        </w:rPr>
        <w:t>expected. She</w:t>
      </w:r>
      <w:r w:rsidR="001D3902">
        <w:rPr>
          <w:color w:val="000000"/>
        </w:rPr>
        <w:t xml:space="preserve"> submitted valuation reports </w:t>
      </w:r>
      <w:r w:rsidR="00602CB8">
        <w:rPr>
          <w:color w:val="000000"/>
        </w:rPr>
        <w:t xml:space="preserve">obtained after the sale of the </w:t>
      </w:r>
      <w:r w:rsidR="00F626AA">
        <w:rPr>
          <w:color w:val="000000"/>
        </w:rPr>
        <w:t>property. The</w:t>
      </w:r>
      <w:r w:rsidR="00602CB8">
        <w:rPr>
          <w:color w:val="000000"/>
        </w:rPr>
        <w:t xml:space="preserve"> valuation report</w:t>
      </w:r>
      <w:r w:rsidR="00E435D3">
        <w:rPr>
          <w:color w:val="000000"/>
        </w:rPr>
        <w:t>s</w:t>
      </w:r>
      <w:r w:rsidR="00602CB8">
        <w:rPr>
          <w:color w:val="000000"/>
        </w:rPr>
        <w:t xml:space="preserve"> supported her </w:t>
      </w:r>
      <w:r w:rsidR="005D4479">
        <w:rPr>
          <w:color w:val="000000"/>
        </w:rPr>
        <w:t>contentions that the property might have att</w:t>
      </w:r>
      <w:r w:rsidR="009E49C0">
        <w:rPr>
          <w:color w:val="000000"/>
        </w:rPr>
        <w:t>racted a sale in the sum of USD</w:t>
      </w:r>
      <w:r w:rsidR="005D4479">
        <w:rPr>
          <w:color w:val="000000"/>
        </w:rPr>
        <w:t>400</w:t>
      </w:r>
      <w:r w:rsidR="009E49C0">
        <w:rPr>
          <w:color w:val="000000"/>
        </w:rPr>
        <w:t xml:space="preserve"> </w:t>
      </w:r>
      <w:r w:rsidR="005D4479">
        <w:rPr>
          <w:color w:val="000000"/>
        </w:rPr>
        <w:t>000</w:t>
      </w:r>
      <w:r w:rsidR="009E49C0">
        <w:rPr>
          <w:color w:val="000000"/>
        </w:rPr>
        <w:t xml:space="preserve"> rather than the USD</w:t>
      </w:r>
      <w:r w:rsidR="005D4479">
        <w:rPr>
          <w:color w:val="000000"/>
        </w:rPr>
        <w:t>350</w:t>
      </w:r>
      <w:r w:rsidR="009E49C0">
        <w:rPr>
          <w:color w:val="000000"/>
        </w:rPr>
        <w:t xml:space="preserve"> </w:t>
      </w:r>
      <w:r w:rsidR="005D4479">
        <w:rPr>
          <w:color w:val="000000"/>
        </w:rPr>
        <w:t>000 that the property was sold for and according to her this</w:t>
      </w:r>
      <w:r w:rsidR="00D05784">
        <w:rPr>
          <w:color w:val="000000"/>
        </w:rPr>
        <w:t xml:space="preserve"> </w:t>
      </w:r>
      <w:r w:rsidR="00F72F3B">
        <w:rPr>
          <w:color w:val="000000"/>
        </w:rPr>
        <w:t>would have been the best market value of the property</w:t>
      </w:r>
      <w:r w:rsidR="00045E66">
        <w:rPr>
          <w:color w:val="000000"/>
        </w:rPr>
        <w:t xml:space="preserve"> </w:t>
      </w:r>
      <w:r w:rsidR="005D4479">
        <w:rPr>
          <w:color w:val="000000"/>
        </w:rPr>
        <w:t xml:space="preserve">and </w:t>
      </w:r>
      <w:r w:rsidR="00045E66">
        <w:rPr>
          <w:color w:val="000000"/>
        </w:rPr>
        <w:t>to the best advantage of everyone concerned.</w:t>
      </w:r>
    </w:p>
    <w:p w14:paraId="262F8485" w14:textId="4C5149FA" w:rsidR="00000886" w:rsidRPr="00F626AA" w:rsidRDefault="00D05784" w:rsidP="003D3474">
      <w:pPr>
        <w:pStyle w:val="NormalWeb"/>
        <w:numPr>
          <w:ilvl w:val="0"/>
          <w:numId w:val="12"/>
        </w:numPr>
        <w:spacing w:after="240" w:afterAutospacing="0" w:line="360" w:lineRule="auto"/>
        <w:jc w:val="both"/>
        <w:rPr>
          <w:color w:val="000000"/>
        </w:rPr>
      </w:pPr>
      <w:r w:rsidRPr="00F626AA">
        <w:rPr>
          <w:color w:val="000000"/>
        </w:rPr>
        <w:t xml:space="preserve">She further </w:t>
      </w:r>
      <w:r w:rsidR="0091752E" w:rsidRPr="00F626AA">
        <w:rPr>
          <w:color w:val="000000"/>
        </w:rPr>
        <w:t xml:space="preserve">submitted that </w:t>
      </w:r>
      <w:r w:rsidR="00E36833" w:rsidRPr="00F626AA">
        <w:rPr>
          <w:color w:val="000000"/>
        </w:rPr>
        <w:t xml:space="preserve">the </w:t>
      </w:r>
      <w:r w:rsidR="0091752E" w:rsidRPr="00F626AA">
        <w:rPr>
          <w:color w:val="000000"/>
        </w:rPr>
        <w:t>caveat should remain in place</w:t>
      </w:r>
      <w:r w:rsidR="00145899" w:rsidRPr="00F626AA">
        <w:rPr>
          <w:color w:val="000000"/>
        </w:rPr>
        <w:t xml:space="preserve"> and in doing so</w:t>
      </w:r>
      <w:r w:rsidR="00000886" w:rsidRPr="00F626AA">
        <w:rPr>
          <w:color w:val="000000"/>
        </w:rPr>
        <w:t xml:space="preserve"> relied o</w:t>
      </w:r>
      <w:r w:rsidR="00145899" w:rsidRPr="00F626AA">
        <w:rPr>
          <w:color w:val="000000"/>
        </w:rPr>
        <w:t xml:space="preserve">n the </w:t>
      </w:r>
      <w:r w:rsidR="0097045B" w:rsidRPr="00F626AA">
        <w:rPr>
          <w:color w:val="000000"/>
        </w:rPr>
        <w:t>ord</w:t>
      </w:r>
      <w:r w:rsidR="00145899" w:rsidRPr="00F626AA">
        <w:rPr>
          <w:color w:val="000000"/>
        </w:rPr>
        <w:t xml:space="preserve">er </w:t>
      </w:r>
      <w:r w:rsidR="00F626AA">
        <w:rPr>
          <w:color w:val="000000"/>
        </w:rPr>
        <w:t xml:space="preserve">of this court </w:t>
      </w:r>
      <w:r w:rsidR="00145899" w:rsidRPr="00F626AA">
        <w:rPr>
          <w:color w:val="000000"/>
        </w:rPr>
        <w:t xml:space="preserve">per </w:t>
      </w:r>
      <w:r w:rsidR="006A1333" w:rsidRPr="006A1333">
        <w:rPr>
          <w:smallCaps/>
          <w:color w:val="000000"/>
        </w:rPr>
        <w:t xml:space="preserve">Hungwe J </w:t>
      </w:r>
      <w:r w:rsidR="0097045B" w:rsidRPr="00F626AA">
        <w:rPr>
          <w:color w:val="000000"/>
        </w:rPr>
        <w:t xml:space="preserve">dated </w:t>
      </w:r>
      <w:r w:rsidR="0091752E" w:rsidRPr="00F626AA">
        <w:rPr>
          <w:color w:val="000000"/>
        </w:rPr>
        <w:t>19 May 2004.</w:t>
      </w:r>
      <w:r w:rsidR="00E62F07" w:rsidRPr="00F626AA">
        <w:rPr>
          <w:color w:val="000000"/>
        </w:rPr>
        <w:t xml:space="preserve"> </w:t>
      </w:r>
      <w:r w:rsidR="0091752E" w:rsidRPr="00F626AA">
        <w:rPr>
          <w:color w:val="000000"/>
        </w:rPr>
        <w:t>The order states as follows:</w:t>
      </w:r>
    </w:p>
    <w:p w14:paraId="02980E2D" w14:textId="3F594DBA" w:rsidR="0097045B" w:rsidRPr="001C498A" w:rsidRDefault="00F626AA" w:rsidP="001C498A">
      <w:pPr>
        <w:pStyle w:val="NormalWeb"/>
        <w:spacing w:before="0" w:beforeAutospacing="0" w:after="0" w:afterAutospacing="0"/>
        <w:ind w:left="720" w:firstLine="360"/>
        <w:jc w:val="both"/>
        <w:rPr>
          <w:b/>
          <w:color w:val="000000"/>
          <w:sz w:val="22"/>
          <w:szCs w:val="22"/>
        </w:rPr>
      </w:pPr>
      <w:r>
        <w:rPr>
          <w:b/>
          <w:color w:val="000000"/>
        </w:rPr>
        <w:lastRenderedPageBreak/>
        <w:t xml:space="preserve">      </w:t>
      </w:r>
      <w:r w:rsidRPr="001C498A">
        <w:rPr>
          <w:b/>
          <w:color w:val="000000"/>
          <w:sz w:val="22"/>
          <w:szCs w:val="22"/>
        </w:rPr>
        <w:tab/>
        <w:t xml:space="preserve"> </w:t>
      </w:r>
      <w:r w:rsidR="006A1333" w:rsidRPr="001C498A">
        <w:rPr>
          <w:b/>
          <w:color w:val="000000"/>
          <w:sz w:val="22"/>
          <w:szCs w:val="22"/>
        </w:rPr>
        <w:t>“</w:t>
      </w:r>
      <w:r w:rsidR="0097045B" w:rsidRPr="001C498A">
        <w:rPr>
          <w:b/>
          <w:color w:val="000000"/>
          <w:sz w:val="22"/>
          <w:szCs w:val="22"/>
        </w:rPr>
        <w:t xml:space="preserve">IT IS ORDERED </w:t>
      </w:r>
    </w:p>
    <w:p w14:paraId="2EDCE5A3" w14:textId="349A1A1C" w:rsidR="0097045B" w:rsidRPr="001C498A" w:rsidRDefault="00E62F07" w:rsidP="001C498A">
      <w:pPr>
        <w:pStyle w:val="NormalWeb"/>
        <w:spacing w:before="0" w:beforeAutospacing="0" w:after="240" w:afterAutospacing="0"/>
        <w:ind w:left="1440"/>
        <w:jc w:val="both"/>
        <w:rPr>
          <w:color w:val="000000"/>
          <w:sz w:val="22"/>
          <w:szCs w:val="22"/>
        </w:rPr>
      </w:pPr>
      <w:r w:rsidRPr="001C498A">
        <w:rPr>
          <w:color w:val="000000"/>
          <w:sz w:val="22"/>
          <w:szCs w:val="22"/>
        </w:rPr>
        <w:t>“</w:t>
      </w:r>
      <w:r w:rsidR="0097045B" w:rsidRPr="001C498A">
        <w:rPr>
          <w:color w:val="000000"/>
          <w:sz w:val="22"/>
          <w:szCs w:val="22"/>
        </w:rPr>
        <w:t>That the provisional order granted on the 16</w:t>
      </w:r>
      <w:r w:rsidR="0097045B" w:rsidRPr="001C498A">
        <w:rPr>
          <w:color w:val="000000"/>
          <w:sz w:val="22"/>
          <w:szCs w:val="22"/>
          <w:vertAlign w:val="superscript"/>
        </w:rPr>
        <w:t>th</w:t>
      </w:r>
      <w:r w:rsidR="0097045B" w:rsidRPr="001C498A">
        <w:rPr>
          <w:color w:val="000000"/>
          <w:sz w:val="22"/>
          <w:szCs w:val="22"/>
        </w:rPr>
        <w:t xml:space="preserve"> January 2004 by this Honourable Court be and is hereby confirmed</w:t>
      </w:r>
      <w:r w:rsidRPr="001C498A">
        <w:rPr>
          <w:color w:val="000000"/>
          <w:sz w:val="22"/>
          <w:szCs w:val="22"/>
        </w:rPr>
        <w:t>.</w:t>
      </w:r>
      <w:r w:rsidR="0097045B" w:rsidRPr="001C498A">
        <w:rPr>
          <w:color w:val="000000"/>
          <w:sz w:val="22"/>
          <w:szCs w:val="22"/>
        </w:rPr>
        <w:t>”</w:t>
      </w:r>
    </w:p>
    <w:p w14:paraId="33907A5F" w14:textId="77777777" w:rsidR="003D3474" w:rsidRPr="001C498A" w:rsidRDefault="00C27470" w:rsidP="001C498A">
      <w:pPr>
        <w:pStyle w:val="NormalWeb"/>
        <w:spacing w:before="0" w:beforeAutospacing="0" w:after="240" w:afterAutospacing="0"/>
        <w:ind w:left="1440" w:firstLine="720"/>
        <w:jc w:val="both"/>
        <w:rPr>
          <w:b/>
          <w:color w:val="000000"/>
          <w:sz w:val="22"/>
          <w:szCs w:val="22"/>
        </w:rPr>
      </w:pPr>
      <w:r w:rsidRPr="001C498A">
        <w:rPr>
          <w:b/>
          <w:color w:val="000000"/>
          <w:sz w:val="22"/>
          <w:szCs w:val="22"/>
        </w:rPr>
        <w:t xml:space="preserve">TERMS OF </w:t>
      </w:r>
      <w:r w:rsidR="00E62F07" w:rsidRPr="001C498A">
        <w:rPr>
          <w:b/>
          <w:color w:val="000000"/>
          <w:sz w:val="22"/>
          <w:szCs w:val="22"/>
        </w:rPr>
        <w:t xml:space="preserve">THE </w:t>
      </w:r>
      <w:r w:rsidRPr="001C498A">
        <w:rPr>
          <w:b/>
          <w:color w:val="000000"/>
          <w:sz w:val="22"/>
          <w:szCs w:val="22"/>
        </w:rPr>
        <w:t>ORDER MADE</w:t>
      </w:r>
    </w:p>
    <w:p w14:paraId="6038D960" w14:textId="79B51917" w:rsidR="00C27470" w:rsidRPr="001C498A" w:rsidRDefault="00C27470" w:rsidP="001C498A">
      <w:pPr>
        <w:pStyle w:val="NormalWeb"/>
        <w:spacing w:before="0" w:beforeAutospacing="0" w:after="240" w:afterAutospacing="0"/>
        <w:ind w:left="1440"/>
        <w:jc w:val="both"/>
        <w:rPr>
          <w:b/>
          <w:color w:val="000000"/>
          <w:sz w:val="22"/>
          <w:szCs w:val="22"/>
        </w:rPr>
      </w:pPr>
      <w:r w:rsidRPr="001C498A">
        <w:rPr>
          <w:color w:val="000000"/>
          <w:sz w:val="22"/>
          <w:szCs w:val="22"/>
        </w:rPr>
        <w:t>That you show cause to this Honourable Court why a final order should not be made in the following terms:-</w:t>
      </w:r>
    </w:p>
    <w:p w14:paraId="7524201D" w14:textId="77777777" w:rsidR="001C498A" w:rsidRDefault="00C27470" w:rsidP="001C498A">
      <w:pPr>
        <w:pStyle w:val="NormalWeb"/>
        <w:numPr>
          <w:ilvl w:val="0"/>
          <w:numId w:val="36"/>
        </w:numPr>
        <w:spacing w:before="0" w:beforeAutospacing="0" w:after="0" w:afterAutospacing="0"/>
        <w:jc w:val="both"/>
        <w:rPr>
          <w:color w:val="000000"/>
          <w:sz w:val="22"/>
          <w:szCs w:val="22"/>
        </w:rPr>
      </w:pPr>
      <w:r w:rsidRPr="001C498A">
        <w:rPr>
          <w:color w:val="000000"/>
          <w:sz w:val="22"/>
          <w:szCs w:val="22"/>
        </w:rPr>
        <w:t>The Registrar of Deeds be and is hereby interdicted and restrained from registering any interest on the immovable property known as No.5 Waxbill Way, Borrowdale held under Deed of Transfer 2370/84</w:t>
      </w:r>
      <w:r w:rsidR="00E62F07" w:rsidRPr="001C498A">
        <w:rPr>
          <w:color w:val="000000"/>
          <w:sz w:val="22"/>
          <w:szCs w:val="22"/>
        </w:rPr>
        <w:t xml:space="preserve"> </w:t>
      </w:r>
      <w:r w:rsidRPr="001C498A">
        <w:rPr>
          <w:color w:val="000000"/>
          <w:sz w:val="22"/>
          <w:szCs w:val="22"/>
        </w:rPr>
        <w:t>without the written consent of DEBRA JATISAI PAMBUKA (NEE GWATI) the Applicant herein.</w:t>
      </w:r>
    </w:p>
    <w:p w14:paraId="6A10C03A" w14:textId="05F0FCDD" w:rsidR="003D3474" w:rsidRPr="001C498A" w:rsidRDefault="00C27470" w:rsidP="001C498A">
      <w:pPr>
        <w:pStyle w:val="NormalWeb"/>
        <w:numPr>
          <w:ilvl w:val="0"/>
          <w:numId w:val="36"/>
        </w:numPr>
        <w:spacing w:before="0" w:beforeAutospacing="0" w:after="240" w:afterAutospacing="0"/>
        <w:jc w:val="both"/>
        <w:rPr>
          <w:color w:val="000000"/>
          <w:sz w:val="22"/>
          <w:szCs w:val="22"/>
        </w:rPr>
      </w:pPr>
      <w:r w:rsidRPr="001C498A">
        <w:rPr>
          <w:color w:val="000000"/>
          <w:sz w:val="22"/>
          <w:szCs w:val="22"/>
        </w:rPr>
        <w:t>That there be no order as to costs if the confirmation of the order is not opposed.</w:t>
      </w:r>
    </w:p>
    <w:p w14:paraId="4E3076DB" w14:textId="77777777" w:rsidR="00C27470" w:rsidRPr="001C498A" w:rsidRDefault="00C27470" w:rsidP="001C498A">
      <w:pPr>
        <w:pStyle w:val="NormalWeb"/>
        <w:spacing w:before="0" w:beforeAutospacing="0" w:after="0" w:afterAutospacing="0"/>
        <w:ind w:left="1440" w:firstLine="720"/>
        <w:jc w:val="both"/>
        <w:rPr>
          <w:b/>
          <w:color w:val="000000"/>
          <w:sz w:val="22"/>
          <w:szCs w:val="22"/>
        </w:rPr>
      </w:pPr>
      <w:r w:rsidRPr="001C498A">
        <w:rPr>
          <w:b/>
          <w:color w:val="000000"/>
          <w:sz w:val="22"/>
          <w:szCs w:val="22"/>
        </w:rPr>
        <w:t>AMENDED INTERIM RELIEF GRANTED</w:t>
      </w:r>
    </w:p>
    <w:p w14:paraId="344C8102" w14:textId="77777777" w:rsidR="00C27470" w:rsidRPr="001C498A" w:rsidRDefault="00C27470" w:rsidP="001C498A">
      <w:pPr>
        <w:pStyle w:val="NormalWeb"/>
        <w:spacing w:before="0" w:beforeAutospacing="0" w:after="240" w:afterAutospacing="0"/>
        <w:ind w:left="1440" w:firstLine="720"/>
        <w:jc w:val="both"/>
        <w:rPr>
          <w:b/>
          <w:color w:val="000000"/>
          <w:sz w:val="22"/>
          <w:szCs w:val="22"/>
        </w:rPr>
      </w:pPr>
      <w:r w:rsidRPr="001C498A">
        <w:rPr>
          <w:b/>
          <w:color w:val="000000"/>
          <w:sz w:val="22"/>
          <w:szCs w:val="22"/>
        </w:rPr>
        <w:t>IT IS ORDERED: BY DEFAULT OF THE FIRST REPONDENT</w:t>
      </w:r>
    </w:p>
    <w:p w14:paraId="1ECE7738" w14:textId="77777777" w:rsidR="001C498A" w:rsidRDefault="00C27470" w:rsidP="001C498A">
      <w:pPr>
        <w:pStyle w:val="NormalWeb"/>
        <w:numPr>
          <w:ilvl w:val="0"/>
          <w:numId w:val="37"/>
        </w:numPr>
        <w:spacing w:before="0" w:beforeAutospacing="0" w:after="0" w:afterAutospacing="0"/>
        <w:jc w:val="both"/>
        <w:rPr>
          <w:color w:val="000000"/>
          <w:sz w:val="22"/>
          <w:szCs w:val="22"/>
        </w:rPr>
      </w:pPr>
      <w:r w:rsidRPr="001C498A">
        <w:rPr>
          <w:color w:val="000000"/>
          <w:sz w:val="22"/>
          <w:szCs w:val="22"/>
        </w:rPr>
        <w:t>That pending the confirmation of the Provisional Order herein, the Registrar of Deeds be and is hereby interdicted from transferring or encumbering in any way Property No.5 Waxbill Way, Borrowdale, Harare held under Deed of Transfer No. 2370784 forthwith.</w:t>
      </w:r>
    </w:p>
    <w:p w14:paraId="29A86835" w14:textId="71C06E04" w:rsidR="00C27470" w:rsidRPr="001C498A" w:rsidRDefault="00C27470" w:rsidP="001C498A">
      <w:pPr>
        <w:pStyle w:val="NormalWeb"/>
        <w:numPr>
          <w:ilvl w:val="0"/>
          <w:numId w:val="37"/>
        </w:numPr>
        <w:spacing w:before="0" w:beforeAutospacing="0" w:after="0" w:afterAutospacing="0"/>
        <w:jc w:val="both"/>
        <w:rPr>
          <w:color w:val="000000"/>
          <w:sz w:val="22"/>
          <w:szCs w:val="22"/>
        </w:rPr>
      </w:pPr>
      <w:r w:rsidRPr="001C498A">
        <w:rPr>
          <w:color w:val="000000"/>
          <w:sz w:val="22"/>
          <w:szCs w:val="22"/>
        </w:rPr>
        <w:t>That if any transactions have taken place, or are in progress, that these be and are hereby ordered stayed forthwith pending the resolution of the matrimonial dispute between the Applicant and the first Respondent.</w:t>
      </w:r>
    </w:p>
    <w:p w14:paraId="3CB283F5" w14:textId="77777777" w:rsidR="00C27470" w:rsidRPr="001C498A" w:rsidRDefault="00C27470" w:rsidP="001C498A">
      <w:pPr>
        <w:pStyle w:val="NormalWeb"/>
        <w:spacing w:before="0" w:beforeAutospacing="0" w:after="0" w:afterAutospacing="0"/>
        <w:ind w:left="1440"/>
        <w:jc w:val="both"/>
        <w:rPr>
          <w:b/>
          <w:color w:val="000000"/>
          <w:sz w:val="22"/>
          <w:szCs w:val="22"/>
        </w:rPr>
      </w:pPr>
      <w:r w:rsidRPr="001C498A">
        <w:rPr>
          <w:b/>
          <w:color w:val="000000"/>
          <w:sz w:val="22"/>
          <w:szCs w:val="22"/>
        </w:rPr>
        <w:t>SERVICE OF THE ORDER</w:t>
      </w:r>
    </w:p>
    <w:p w14:paraId="277D2B84" w14:textId="30ED5158" w:rsidR="00C27470" w:rsidRPr="001C498A" w:rsidRDefault="00C27470" w:rsidP="001C498A">
      <w:pPr>
        <w:pStyle w:val="NormalWeb"/>
        <w:spacing w:before="0" w:beforeAutospacing="0" w:after="0" w:afterAutospacing="0"/>
        <w:ind w:left="1440"/>
        <w:jc w:val="both"/>
        <w:rPr>
          <w:color w:val="000000"/>
          <w:sz w:val="22"/>
          <w:szCs w:val="22"/>
        </w:rPr>
      </w:pPr>
      <w:r w:rsidRPr="001C498A">
        <w:rPr>
          <w:color w:val="000000"/>
          <w:sz w:val="22"/>
          <w:szCs w:val="22"/>
        </w:rPr>
        <w:t>The Applicant's Legal Practitioners be and are hereby given leave to serve this order on all the Respondents.</w:t>
      </w:r>
      <w:r w:rsidR="001C498A" w:rsidRPr="001C498A">
        <w:rPr>
          <w:color w:val="000000"/>
          <w:sz w:val="22"/>
          <w:szCs w:val="22"/>
        </w:rPr>
        <w:t>”</w:t>
      </w:r>
    </w:p>
    <w:p w14:paraId="6E92DF71" w14:textId="25286D3B" w:rsidR="00B01FFF" w:rsidRPr="001C498A" w:rsidRDefault="00E62F07" w:rsidP="00A0599A">
      <w:pPr>
        <w:pStyle w:val="NormalWeb"/>
        <w:spacing w:after="0" w:afterAutospacing="0" w:line="360" w:lineRule="auto"/>
        <w:ind w:left="450"/>
        <w:jc w:val="both"/>
        <w:rPr>
          <w:b/>
          <w:color w:val="000000"/>
          <w:u w:val="single"/>
        </w:rPr>
      </w:pPr>
      <w:r w:rsidRPr="001C498A">
        <w:rPr>
          <w:b/>
          <w:color w:val="000000"/>
          <w:u w:val="single"/>
        </w:rPr>
        <w:t>Second</w:t>
      </w:r>
      <w:r w:rsidR="001C498A" w:rsidRPr="001C498A">
        <w:rPr>
          <w:b/>
          <w:color w:val="000000"/>
          <w:u w:val="single"/>
        </w:rPr>
        <w:t xml:space="preserve"> R</w:t>
      </w:r>
      <w:r w:rsidR="00B01FFF" w:rsidRPr="001C498A">
        <w:rPr>
          <w:b/>
          <w:color w:val="000000"/>
          <w:u w:val="single"/>
        </w:rPr>
        <w:t>espondent</w:t>
      </w:r>
    </w:p>
    <w:p w14:paraId="054C75AE" w14:textId="766E057A" w:rsidR="00573148" w:rsidRPr="00F626AA" w:rsidRDefault="00573148" w:rsidP="001C498A">
      <w:pPr>
        <w:pStyle w:val="ListParagraph"/>
        <w:numPr>
          <w:ilvl w:val="0"/>
          <w:numId w:val="12"/>
        </w:numPr>
        <w:spacing w:after="0" w:line="360" w:lineRule="auto"/>
        <w:jc w:val="both"/>
        <w:rPr>
          <w:rFonts w:ascii="Times New Roman" w:hAnsi="Times New Roman" w:cs="Times New Roman"/>
          <w:lang w:val="en-US"/>
        </w:rPr>
      </w:pPr>
      <w:r w:rsidRPr="00F626AA">
        <w:rPr>
          <w:rFonts w:ascii="Times New Roman" w:hAnsi="Times New Roman" w:cs="Times New Roman"/>
          <w:lang w:val="en-US"/>
        </w:rPr>
        <w:t>The second respondent was in default of appearance and did not file any opposing papers.</w:t>
      </w:r>
      <w:r w:rsidR="003D3474" w:rsidRPr="00F626AA">
        <w:rPr>
          <w:rFonts w:ascii="Times New Roman" w:hAnsi="Times New Roman" w:cs="Times New Roman"/>
          <w:lang w:val="en-US"/>
        </w:rPr>
        <w:t xml:space="preserve"> </w:t>
      </w:r>
      <w:r w:rsidRPr="00F626AA">
        <w:rPr>
          <w:rFonts w:ascii="Times New Roman" w:hAnsi="Times New Roman" w:cs="Times New Roman"/>
          <w:lang w:val="en-US"/>
        </w:rPr>
        <w:t xml:space="preserve">This development meant that the applicant </w:t>
      </w:r>
      <w:r w:rsidR="00B93AD8">
        <w:rPr>
          <w:rFonts w:ascii="Times New Roman" w:hAnsi="Times New Roman" w:cs="Times New Roman"/>
          <w:lang w:val="en-US"/>
        </w:rPr>
        <w:t xml:space="preserve">on one hand </w:t>
      </w:r>
      <w:r w:rsidRPr="00F626AA">
        <w:rPr>
          <w:rFonts w:ascii="Times New Roman" w:hAnsi="Times New Roman" w:cs="Times New Roman"/>
          <w:lang w:val="en-US"/>
        </w:rPr>
        <w:t>and</w:t>
      </w:r>
      <w:r w:rsidR="00E62F07" w:rsidRPr="00F626AA">
        <w:rPr>
          <w:rFonts w:ascii="Times New Roman" w:hAnsi="Times New Roman" w:cs="Times New Roman"/>
          <w:lang w:val="en-US"/>
        </w:rPr>
        <w:t xml:space="preserve"> the</w:t>
      </w:r>
      <w:r w:rsidRPr="00F626AA">
        <w:rPr>
          <w:rFonts w:ascii="Times New Roman" w:hAnsi="Times New Roman" w:cs="Times New Roman"/>
          <w:lang w:val="en-US"/>
        </w:rPr>
        <w:t xml:space="preserve"> first and third respondents </w:t>
      </w:r>
      <w:r w:rsidR="00B93AD8">
        <w:rPr>
          <w:rFonts w:ascii="Times New Roman" w:hAnsi="Times New Roman" w:cs="Times New Roman"/>
          <w:lang w:val="en-US"/>
        </w:rPr>
        <w:t xml:space="preserve">on the other </w:t>
      </w:r>
      <w:r w:rsidRPr="00F626AA">
        <w:rPr>
          <w:rFonts w:ascii="Times New Roman" w:hAnsi="Times New Roman" w:cs="Times New Roman"/>
          <w:lang w:val="en-US"/>
        </w:rPr>
        <w:t>remained as the main protagonists.</w:t>
      </w:r>
    </w:p>
    <w:p w14:paraId="5F38A3DE" w14:textId="77777777" w:rsidR="00123257" w:rsidRPr="00F556CD" w:rsidRDefault="00123257" w:rsidP="00A0599A">
      <w:pPr>
        <w:spacing w:after="0" w:line="360" w:lineRule="auto"/>
        <w:ind w:left="450"/>
        <w:jc w:val="both"/>
        <w:rPr>
          <w:rFonts w:ascii="Times New Roman" w:hAnsi="Times New Roman" w:cs="Times New Roman"/>
          <w:lang w:val="en-US"/>
        </w:rPr>
      </w:pPr>
      <w:r w:rsidRPr="00F556CD">
        <w:rPr>
          <w:rFonts w:ascii="Times New Roman" w:hAnsi="Times New Roman" w:cs="Times New Roman"/>
          <w:b/>
          <w:u w:val="single"/>
          <w:lang w:val="en-US"/>
        </w:rPr>
        <w:t>Preliminary Issues and Objections</w:t>
      </w:r>
    </w:p>
    <w:p w14:paraId="1AF368D2" w14:textId="515D43F2" w:rsidR="00123257" w:rsidRPr="001C042E" w:rsidRDefault="00123257" w:rsidP="001C498A">
      <w:pPr>
        <w:pStyle w:val="ListParagraph"/>
        <w:numPr>
          <w:ilvl w:val="0"/>
          <w:numId w:val="12"/>
        </w:numPr>
        <w:spacing w:after="0" w:line="360" w:lineRule="auto"/>
        <w:jc w:val="both"/>
        <w:rPr>
          <w:rFonts w:ascii="Times New Roman" w:hAnsi="Times New Roman" w:cs="Times New Roman"/>
          <w:lang w:val="en-US"/>
        </w:rPr>
      </w:pPr>
      <w:r w:rsidRPr="001C042E">
        <w:rPr>
          <w:rFonts w:ascii="Times New Roman" w:hAnsi="Times New Roman" w:cs="Times New Roman"/>
          <w:lang w:val="en-US"/>
        </w:rPr>
        <w:t>I was not spared the ritual of commencing almost every application with the raising of objection</w:t>
      </w:r>
      <w:r w:rsidR="00B93AD8" w:rsidRPr="001C042E">
        <w:rPr>
          <w:rFonts w:ascii="Times New Roman" w:hAnsi="Times New Roman" w:cs="Times New Roman"/>
          <w:lang w:val="en-US"/>
        </w:rPr>
        <w:t>s</w:t>
      </w:r>
      <w:r w:rsidRPr="001C042E">
        <w:rPr>
          <w:rFonts w:ascii="Times New Roman" w:hAnsi="Times New Roman" w:cs="Times New Roman"/>
          <w:lang w:val="en-US"/>
        </w:rPr>
        <w:t xml:space="preserve"> </w:t>
      </w:r>
      <w:r w:rsidR="009F557B" w:rsidRPr="001C042E">
        <w:rPr>
          <w:rFonts w:ascii="Times New Roman" w:hAnsi="Times New Roman" w:cs="Times New Roman"/>
          <w:i/>
          <w:lang w:val="en-US"/>
        </w:rPr>
        <w:t xml:space="preserve">in limine. </w:t>
      </w:r>
      <w:r w:rsidRPr="001C042E">
        <w:rPr>
          <w:rFonts w:ascii="Times New Roman" w:hAnsi="Times New Roman" w:cs="Times New Roman"/>
          <w:lang w:val="en-US"/>
        </w:rPr>
        <w:t xml:space="preserve">The first respondent argued that the applicant failed to comply with </w:t>
      </w:r>
      <w:r w:rsidR="009F557B" w:rsidRPr="001C042E">
        <w:rPr>
          <w:rFonts w:ascii="Times New Roman" w:hAnsi="Times New Roman" w:cs="Times New Roman"/>
          <w:lang w:val="en-US"/>
        </w:rPr>
        <w:t>court rules in not serving the first</w:t>
      </w:r>
      <w:r w:rsidRPr="001C042E">
        <w:rPr>
          <w:rFonts w:ascii="Times New Roman" w:hAnsi="Times New Roman" w:cs="Times New Roman"/>
          <w:lang w:val="en-US"/>
        </w:rPr>
        <w:t xml:space="preserve"> respondent with heads of argument.</w:t>
      </w:r>
      <w:r w:rsidR="009F557B" w:rsidRPr="001C042E">
        <w:rPr>
          <w:rFonts w:ascii="Times New Roman" w:hAnsi="Times New Roman" w:cs="Times New Roman"/>
          <w:lang w:val="en-US"/>
        </w:rPr>
        <w:t xml:space="preserve"> Through her counsel</w:t>
      </w:r>
      <w:r w:rsidR="00E62F07" w:rsidRPr="001C042E">
        <w:rPr>
          <w:rFonts w:ascii="Times New Roman" w:hAnsi="Times New Roman" w:cs="Times New Roman"/>
          <w:lang w:val="en-US"/>
        </w:rPr>
        <w:t>,</w:t>
      </w:r>
      <w:r w:rsidR="009F557B" w:rsidRPr="001C042E">
        <w:rPr>
          <w:rFonts w:ascii="Times New Roman" w:hAnsi="Times New Roman" w:cs="Times New Roman"/>
          <w:lang w:val="en-US"/>
        </w:rPr>
        <w:t xml:space="preserve"> she also argued</w:t>
      </w:r>
      <w:r w:rsidRPr="001C042E">
        <w:rPr>
          <w:rFonts w:ascii="Times New Roman" w:hAnsi="Times New Roman" w:cs="Times New Roman"/>
          <w:lang w:val="en-US"/>
        </w:rPr>
        <w:t xml:space="preserve"> that there </w:t>
      </w:r>
      <w:r w:rsidR="001C042E">
        <w:rPr>
          <w:rFonts w:ascii="Times New Roman" w:hAnsi="Times New Roman" w:cs="Times New Roman"/>
          <w:lang w:val="en-US"/>
        </w:rPr>
        <w:t>is</w:t>
      </w:r>
      <w:r w:rsidRPr="001C042E">
        <w:rPr>
          <w:rFonts w:ascii="Times New Roman" w:hAnsi="Times New Roman" w:cs="Times New Roman"/>
          <w:lang w:val="en-US"/>
        </w:rPr>
        <w:t xml:space="preserve"> material dispute of facts in the matter and</w:t>
      </w:r>
      <w:r w:rsidR="009F557B" w:rsidRPr="001C042E">
        <w:rPr>
          <w:rFonts w:ascii="Times New Roman" w:hAnsi="Times New Roman" w:cs="Times New Roman"/>
          <w:lang w:val="en-US"/>
        </w:rPr>
        <w:t xml:space="preserve"> as a result</w:t>
      </w:r>
      <w:r w:rsidRPr="001C042E">
        <w:rPr>
          <w:rFonts w:ascii="Times New Roman" w:hAnsi="Times New Roman" w:cs="Times New Roman"/>
          <w:lang w:val="en-US"/>
        </w:rPr>
        <w:t xml:space="preserve"> it ought not to have proceeded by way of application proceedings. Lastly</w:t>
      </w:r>
      <w:r w:rsidR="00E62F07" w:rsidRPr="001C042E">
        <w:rPr>
          <w:rFonts w:ascii="Times New Roman" w:hAnsi="Times New Roman" w:cs="Times New Roman"/>
          <w:lang w:val="en-US"/>
        </w:rPr>
        <w:t>,</w:t>
      </w:r>
      <w:r w:rsidRPr="001C042E">
        <w:rPr>
          <w:rFonts w:ascii="Times New Roman" w:hAnsi="Times New Roman" w:cs="Times New Roman"/>
          <w:lang w:val="en-US"/>
        </w:rPr>
        <w:t xml:space="preserve"> that in not first consulting the first respondent prior </w:t>
      </w:r>
      <w:r w:rsidR="001C042E">
        <w:rPr>
          <w:rFonts w:ascii="Times New Roman" w:hAnsi="Times New Roman" w:cs="Times New Roman"/>
          <w:lang w:val="en-US"/>
        </w:rPr>
        <w:t xml:space="preserve">to </w:t>
      </w:r>
      <w:r w:rsidRPr="001C042E">
        <w:rPr>
          <w:rFonts w:ascii="Times New Roman" w:hAnsi="Times New Roman" w:cs="Times New Roman"/>
          <w:lang w:val="en-US"/>
        </w:rPr>
        <w:t xml:space="preserve">and during the sale, the applicant had approached this court with dirty hands and now wanted to </w:t>
      </w:r>
      <w:r w:rsidR="001C042E">
        <w:rPr>
          <w:rFonts w:ascii="Times New Roman" w:hAnsi="Times New Roman" w:cs="Times New Roman"/>
          <w:lang w:val="en-US"/>
        </w:rPr>
        <w:t>sanitise</w:t>
      </w:r>
      <w:r w:rsidRPr="001C042E">
        <w:rPr>
          <w:rFonts w:ascii="Times New Roman" w:hAnsi="Times New Roman" w:cs="Times New Roman"/>
          <w:lang w:val="en-US"/>
        </w:rPr>
        <w:t xml:space="preserve"> the illegality.</w:t>
      </w:r>
    </w:p>
    <w:p w14:paraId="1FE3BB9A" w14:textId="70934A2A" w:rsidR="00123257" w:rsidRPr="00F556CD" w:rsidRDefault="00123257" w:rsidP="001C498A">
      <w:pPr>
        <w:spacing w:after="0" w:line="360" w:lineRule="auto"/>
        <w:jc w:val="both"/>
        <w:rPr>
          <w:rFonts w:ascii="Times New Roman" w:hAnsi="Times New Roman" w:cs="Times New Roman"/>
          <w:lang w:val="en-US"/>
        </w:rPr>
      </w:pPr>
      <w:r w:rsidRPr="00F556CD">
        <w:rPr>
          <w:rFonts w:ascii="Times New Roman" w:hAnsi="Times New Roman" w:cs="Times New Roman"/>
          <w:lang w:val="en-US"/>
        </w:rPr>
        <w:tab/>
        <w:t>The court invited submissions from both parties on the preliminary issues raised.</w:t>
      </w:r>
    </w:p>
    <w:p w14:paraId="1D931A88" w14:textId="77777777" w:rsidR="001C498A" w:rsidRDefault="001C498A" w:rsidP="003D3474">
      <w:pPr>
        <w:spacing w:after="240" w:line="360" w:lineRule="auto"/>
        <w:jc w:val="both"/>
        <w:rPr>
          <w:rFonts w:ascii="Times New Roman" w:hAnsi="Times New Roman" w:cs="Times New Roman"/>
          <w:b/>
          <w:u w:val="single"/>
          <w:lang w:val="en-US"/>
        </w:rPr>
      </w:pPr>
    </w:p>
    <w:p w14:paraId="2641D157" w14:textId="2214A151" w:rsidR="00123257" w:rsidRPr="00F556CD" w:rsidRDefault="00123257" w:rsidP="00A0599A">
      <w:pPr>
        <w:spacing w:after="0" w:line="360" w:lineRule="auto"/>
        <w:ind w:firstLine="450"/>
        <w:jc w:val="both"/>
        <w:rPr>
          <w:rFonts w:ascii="Times New Roman" w:hAnsi="Times New Roman" w:cs="Times New Roman"/>
          <w:b/>
          <w:u w:val="single"/>
          <w:lang w:val="en-US"/>
        </w:rPr>
      </w:pPr>
      <w:r w:rsidRPr="00F556CD">
        <w:rPr>
          <w:rFonts w:ascii="Times New Roman" w:hAnsi="Times New Roman" w:cs="Times New Roman"/>
          <w:b/>
          <w:u w:val="single"/>
          <w:lang w:val="en-US"/>
        </w:rPr>
        <w:lastRenderedPageBreak/>
        <w:t xml:space="preserve">Failure </w:t>
      </w:r>
      <w:r w:rsidR="00A0599A" w:rsidRPr="00F556CD">
        <w:rPr>
          <w:rFonts w:ascii="Times New Roman" w:hAnsi="Times New Roman" w:cs="Times New Roman"/>
          <w:b/>
          <w:u w:val="single"/>
          <w:lang w:val="en-US"/>
        </w:rPr>
        <w:t>To Comply With Court Rules</w:t>
      </w:r>
    </w:p>
    <w:p w14:paraId="0087F976" w14:textId="77777777" w:rsidR="00807F58" w:rsidRDefault="00D92C6F" w:rsidP="003D3474">
      <w:pPr>
        <w:pStyle w:val="ListParagraph"/>
        <w:numPr>
          <w:ilvl w:val="0"/>
          <w:numId w:val="12"/>
        </w:numPr>
        <w:spacing w:after="240" w:line="360" w:lineRule="auto"/>
        <w:jc w:val="both"/>
        <w:rPr>
          <w:rStyle w:val="apple-converted-space"/>
          <w:rFonts w:ascii="Times New Roman" w:hAnsi="Times New Roman" w:cs="Times New Roman"/>
          <w:color w:val="000000"/>
        </w:rPr>
      </w:pPr>
      <w:r w:rsidRPr="001C042E">
        <w:rPr>
          <w:rStyle w:val="bumpedfont15"/>
          <w:rFonts w:ascii="Times New Roman" w:hAnsi="Times New Roman" w:cs="Times New Roman"/>
          <w:color w:val="000000"/>
        </w:rPr>
        <w:t>The first respondent insisted that the a</w:t>
      </w:r>
      <w:r w:rsidR="00123257" w:rsidRPr="001C042E">
        <w:rPr>
          <w:rStyle w:val="bumpedfont15"/>
          <w:rFonts w:ascii="Times New Roman" w:hAnsi="Times New Roman" w:cs="Times New Roman"/>
          <w:color w:val="000000"/>
        </w:rPr>
        <w:t>pplicants did not comp</w:t>
      </w:r>
      <w:r w:rsidRPr="001C042E">
        <w:rPr>
          <w:rStyle w:val="bumpedfont15"/>
          <w:rFonts w:ascii="Times New Roman" w:hAnsi="Times New Roman" w:cs="Times New Roman"/>
          <w:color w:val="000000"/>
        </w:rPr>
        <w:t>ly with the rules in particular</w:t>
      </w:r>
      <w:r w:rsidR="00E62F07" w:rsidRPr="001C042E">
        <w:rPr>
          <w:rStyle w:val="bumpedfont15"/>
          <w:rFonts w:ascii="Times New Roman" w:hAnsi="Times New Roman" w:cs="Times New Roman"/>
          <w:color w:val="000000"/>
        </w:rPr>
        <w:t xml:space="preserve"> </w:t>
      </w:r>
      <w:r w:rsidR="00123257" w:rsidRPr="001C042E">
        <w:rPr>
          <w:rStyle w:val="bumpedfont15"/>
          <w:rFonts w:ascii="Times New Roman" w:hAnsi="Times New Roman" w:cs="Times New Roman"/>
          <w:color w:val="000000"/>
        </w:rPr>
        <w:t xml:space="preserve">Rule 59 sub rule 20 </w:t>
      </w:r>
      <w:r w:rsidR="00E62F07" w:rsidRPr="001C042E">
        <w:rPr>
          <w:rStyle w:val="bumpedfont15"/>
          <w:rFonts w:ascii="Times New Roman" w:hAnsi="Times New Roman" w:cs="Times New Roman"/>
          <w:color w:val="000000"/>
        </w:rPr>
        <w:t xml:space="preserve">of the High Court Rules, 2021, </w:t>
      </w:r>
      <w:r w:rsidRPr="001C042E">
        <w:rPr>
          <w:rStyle w:val="bumpedfont15"/>
          <w:rFonts w:ascii="Times New Roman" w:hAnsi="Times New Roman" w:cs="Times New Roman"/>
          <w:color w:val="000000"/>
        </w:rPr>
        <w:t xml:space="preserve">which makes it mandatory that </w:t>
      </w:r>
      <w:r w:rsidR="00123257" w:rsidRPr="001C042E">
        <w:rPr>
          <w:rStyle w:val="bumpedfont15"/>
          <w:rFonts w:ascii="Times New Roman" w:hAnsi="Times New Roman" w:cs="Times New Roman"/>
          <w:color w:val="000000"/>
        </w:rPr>
        <w:t>heads of argument should have been served</w:t>
      </w:r>
      <w:r w:rsidRPr="001C042E">
        <w:rPr>
          <w:rStyle w:val="bumpedfont15"/>
          <w:rFonts w:ascii="Times New Roman" w:hAnsi="Times New Roman" w:cs="Times New Roman"/>
          <w:color w:val="000000"/>
        </w:rPr>
        <w:t xml:space="preserve"> on the other party</w:t>
      </w:r>
      <w:r w:rsidR="00123257" w:rsidRPr="001C042E">
        <w:rPr>
          <w:rStyle w:val="bumpedfont15"/>
          <w:rFonts w:ascii="Times New Roman" w:hAnsi="Times New Roman" w:cs="Times New Roman"/>
          <w:color w:val="000000"/>
        </w:rPr>
        <w:t xml:space="preserve">. </w:t>
      </w:r>
      <w:r w:rsidRPr="001C042E">
        <w:rPr>
          <w:rStyle w:val="bumpedfont15"/>
          <w:rFonts w:ascii="Times New Roman" w:hAnsi="Times New Roman" w:cs="Times New Roman"/>
          <w:color w:val="000000"/>
        </w:rPr>
        <w:t xml:space="preserve">According to the first respondent, the </w:t>
      </w:r>
      <w:r w:rsidR="00BF532B" w:rsidRPr="001C042E">
        <w:rPr>
          <w:rStyle w:val="bumpedfont15"/>
          <w:rFonts w:ascii="Times New Roman" w:hAnsi="Times New Roman" w:cs="Times New Roman"/>
          <w:color w:val="000000"/>
        </w:rPr>
        <w:t xml:space="preserve">unexplained </w:t>
      </w:r>
      <w:r w:rsidRPr="001C042E">
        <w:rPr>
          <w:rStyle w:val="bumpedfont15"/>
          <w:rFonts w:ascii="Times New Roman" w:hAnsi="Times New Roman" w:cs="Times New Roman"/>
          <w:color w:val="000000"/>
        </w:rPr>
        <w:t xml:space="preserve">failure by the </w:t>
      </w:r>
      <w:r w:rsidR="009F557B" w:rsidRPr="001C042E">
        <w:rPr>
          <w:rStyle w:val="bumpedfont15"/>
          <w:rFonts w:ascii="Times New Roman" w:hAnsi="Times New Roman" w:cs="Times New Roman"/>
          <w:color w:val="000000"/>
        </w:rPr>
        <w:t>a</w:t>
      </w:r>
      <w:r w:rsidR="00BF532B" w:rsidRPr="001C042E">
        <w:rPr>
          <w:rStyle w:val="bumpedfont15"/>
          <w:rFonts w:ascii="Times New Roman" w:hAnsi="Times New Roman" w:cs="Times New Roman"/>
          <w:color w:val="000000"/>
        </w:rPr>
        <w:t xml:space="preserve">pplicant to serve their </w:t>
      </w:r>
      <w:r w:rsidR="00123257" w:rsidRPr="001C042E">
        <w:rPr>
          <w:rStyle w:val="bumpedfont15"/>
          <w:rFonts w:ascii="Times New Roman" w:hAnsi="Times New Roman" w:cs="Times New Roman"/>
          <w:color w:val="000000"/>
        </w:rPr>
        <w:t>answering affidavit</w:t>
      </w:r>
      <w:r w:rsidR="00BF532B" w:rsidRPr="001C042E">
        <w:rPr>
          <w:rStyle w:val="bumpedfont15"/>
          <w:rFonts w:ascii="Times New Roman" w:hAnsi="Times New Roman" w:cs="Times New Roman"/>
          <w:color w:val="000000"/>
        </w:rPr>
        <w:t xml:space="preserve"> as wel</w:t>
      </w:r>
      <w:r w:rsidR="009F557B" w:rsidRPr="001C042E">
        <w:rPr>
          <w:rStyle w:val="bumpedfont15"/>
          <w:rFonts w:ascii="Times New Roman" w:hAnsi="Times New Roman" w:cs="Times New Roman"/>
          <w:color w:val="000000"/>
        </w:rPr>
        <w:t>l as the heads of argument wa</w:t>
      </w:r>
      <w:r w:rsidR="00BF532B" w:rsidRPr="001C042E">
        <w:rPr>
          <w:rStyle w:val="bumpedfont15"/>
          <w:rFonts w:ascii="Times New Roman" w:hAnsi="Times New Roman" w:cs="Times New Roman"/>
          <w:color w:val="000000"/>
        </w:rPr>
        <w:t>s a</w:t>
      </w:r>
      <w:r w:rsidR="00123257" w:rsidRPr="001C042E">
        <w:rPr>
          <w:rStyle w:val="bumpedfont15"/>
          <w:rFonts w:ascii="Times New Roman" w:hAnsi="Times New Roman" w:cs="Times New Roman"/>
          <w:color w:val="000000"/>
        </w:rPr>
        <w:t xml:space="preserve"> clear disobe</w:t>
      </w:r>
      <w:r w:rsidR="001C042E">
        <w:rPr>
          <w:rStyle w:val="bumpedfont15"/>
          <w:rFonts w:ascii="Times New Roman" w:hAnsi="Times New Roman" w:cs="Times New Roman"/>
          <w:color w:val="000000"/>
        </w:rPr>
        <w:t>dience</w:t>
      </w:r>
      <w:r w:rsidR="00123257" w:rsidRPr="001C042E">
        <w:rPr>
          <w:rStyle w:val="bumpedfont15"/>
          <w:rFonts w:ascii="Times New Roman" w:hAnsi="Times New Roman" w:cs="Times New Roman"/>
          <w:color w:val="000000"/>
        </w:rPr>
        <w:t xml:space="preserve"> of the </w:t>
      </w:r>
      <w:r w:rsidR="00BF532B" w:rsidRPr="001C042E">
        <w:rPr>
          <w:rStyle w:val="bumpedfont15"/>
          <w:rFonts w:ascii="Times New Roman" w:hAnsi="Times New Roman" w:cs="Times New Roman"/>
          <w:color w:val="000000"/>
        </w:rPr>
        <w:t>rules and t</w:t>
      </w:r>
      <w:r w:rsidR="00123257" w:rsidRPr="001C042E">
        <w:rPr>
          <w:rStyle w:val="bumpedfont15"/>
          <w:rFonts w:ascii="Times New Roman" w:hAnsi="Times New Roman" w:cs="Times New Roman"/>
          <w:color w:val="000000"/>
        </w:rPr>
        <w:t>he court should show its displeasure by dismiss</w:t>
      </w:r>
      <w:r w:rsidR="001C042E">
        <w:rPr>
          <w:rStyle w:val="bumpedfont15"/>
          <w:rFonts w:ascii="Times New Roman" w:hAnsi="Times New Roman" w:cs="Times New Roman"/>
          <w:color w:val="000000"/>
        </w:rPr>
        <w:t>ing the case</w:t>
      </w:r>
      <w:r w:rsidR="00123257" w:rsidRPr="001C042E">
        <w:rPr>
          <w:rStyle w:val="bumpedfont15"/>
          <w:rFonts w:ascii="Times New Roman" w:hAnsi="Times New Roman" w:cs="Times New Roman"/>
          <w:color w:val="000000"/>
        </w:rPr>
        <w:t xml:space="preserve"> for failure to comply</w:t>
      </w:r>
      <w:r w:rsidR="009F557B" w:rsidRPr="001C042E">
        <w:rPr>
          <w:rStyle w:val="bumpedfont15"/>
          <w:rFonts w:ascii="Times New Roman" w:hAnsi="Times New Roman" w:cs="Times New Roman"/>
          <w:color w:val="000000"/>
        </w:rPr>
        <w:t xml:space="preserve"> with the rules</w:t>
      </w:r>
      <w:r w:rsidR="00123257" w:rsidRPr="001C042E">
        <w:rPr>
          <w:rStyle w:val="bumpedfont15"/>
          <w:rFonts w:ascii="Times New Roman" w:hAnsi="Times New Roman" w:cs="Times New Roman"/>
          <w:color w:val="000000"/>
        </w:rPr>
        <w:t>.</w:t>
      </w:r>
      <w:r w:rsidR="00123257" w:rsidRPr="001C042E">
        <w:rPr>
          <w:rStyle w:val="apple-converted-space"/>
          <w:rFonts w:ascii="Times New Roman" w:hAnsi="Times New Roman" w:cs="Times New Roman"/>
          <w:color w:val="000000"/>
        </w:rPr>
        <w:t> </w:t>
      </w:r>
      <w:r w:rsidR="00BF532B" w:rsidRPr="001C042E">
        <w:rPr>
          <w:rStyle w:val="apple-converted-space"/>
          <w:rFonts w:ascii="Times New Roman" w:hAnsi="Times New Roman" w:cs="Times New Roman"/>
          <w:color w:val="000000"/>
        </w:rPr>
        <w:t>The applicant on the other han</w:t>
      </w:r>
      <w:r w:rsidR="00F9126D" w:rsidRPr="001C042E">
        <w:rPr>
          <w:rStyle w:val="apple-converted-space"/>
          <w:rFonts w:ascii="Times New Roman" w:hAnsi="Times New Roman" w:cs="Times New Roman"/>
          <w:color w:val="000000"/>
        </w:rPr>
        <w:t>d stated</w:t>
      </w:r>
      <w:r w:rsidR="00BF532B" w:rsidRPr="001C042E">
        <w:rPr>
          <w:rStyle w:val="apple-converted-space"/>
          <w:rFonts w:ascii="Times New Roman" w:hAnsi="Times New Roman" w:cs="Times New Roman"/>
          <w:color w:val="000000"/>
        </w:rPr>
        <w:t xml:space="preserve"> that </w:t>
      </w:r>
      <w:r w:rsidR="00F9126D" w:rsidRPr="001C042E">
        <w:rPr>
          <w:rStyle w:val="apple-converted-space"/>
          <w:rFonts w:ascii="Times New Roman" w:hAnsi="Times New Roman" w:cs="Times New Roman"/>
          <w:color w:val="000000"/>
        </w:rPr>
        <w:t xml:space="preserve">while </w:t>
      </w:r>
      <w:r w:rsidR="00BF532B" w:rsidRPr="001C042E">
        <w:rPr>
          <w:rStyle w:val="apple-converted-space"/>
          <w:rFonts w:ascii="Times New Roman" w:hAnsi="Times New Roman" w:cs="Times New Roman"/>
          <w:color w:val="000000"/>
        </w:rPr>
        <w:t>there was no proof of service ava</w:t>
      </w:r>
      <w:r w:rsidR="00F9126D" w:rsidRPr="001C042E">
        <w:rPr>
          <w:rStyle w:val="apple-converted-space"/>
          <w:rFonts w:ascii="Times New Roman" w:hAnsi="Times New Roman" w:cs="Times New Roman"/>
          <w:color w:val="000000"/>
        </w:rPr>
        <w:t>iled there was no prejudice that had been occasioned on the part of the first respondent.</w:t>
      </w:r>
      <w:r w:rsidR="009C37D5" w:rsidRPr="001C042E">
        <w:rPr>
          <w:rStyle w:val="apple-converted-space"/>
          <w:rFonts w:ascii="Times New Roman" w:hAnsi="Times New Roman" w:cs="Times New Roman"/>
          <w:color w:val="000000"/>
        </w:rPr>
        <w:t xml:space="preserve"> </w:t>
      </w:r>
      <w:r w:rsidR="00F9126D" w:rsidRPr="001C042E">
        <w:rPr>
          <w:rStyle w:val="apple-converted-space"/>
          <w:rFonts w:ascii="Times New Roman" w:hAnsi="Times New Roman" w:cs="Times New Roman"/>
          <w:color w:val="000000"/>
        </w:rPr>
        <w:t>As a result</w:t>
      </w:r>
      <w:r w:rsidR="00E62F07" w:rsidRPr="001C042E">
        <w:rPr>
          <w:rStyle w:val="apple-converted-space"/>
          <w:rFonts w:ascii="Times New Roman" w:hAnsi="Times New Roman" w:cs="Times New Roman"/>
          <w:color w:val="000000"/>
        </w:rPr>
        <w:t>,</w:t>
      </w:r>
      <w:r w:rsidR="00F9126D" w:rsidRPr="001C042E">
        <w:rPr>
          <w:rStyle w:val="apple-converted-space"/>
          <w:rFonts w:ascii="Times New Roman" w:hAnsi="Times New Roman" w:cs="Times New Roman"/>
          <w:color w:val="000000"/>
        </w:rPr>
        <w:t xml:space="preserve"> </w:t>
      </w:r>
      <w:r w:rsidR="00807F58">
        <w:rPr>
          <w:rStyle w:val="apple-converted-space"/>
          <w:rFonts w:ascii="Times New Roman" w:hAnsi="Times New Roman" w:cs="Times New Roman"/>
          <w:color w:val="000000"/>
        </w:rPr>
        <w:t xml:space="preserve">so </w:t>
      </w:r>
      <w:r w:rsidR="009F557B" w:rsidRPr="001C042E">
        <w:rPr>
          <w:rStyle w:val="apple-converted-space"/>
          <w:rFonts w:ascii="Times New Roman" w:hAnsi="Times New Roman" w:cs="Times New Roman"/>
          <w:color w:val="000000"/>
        </w:rPr>
        <w:t>he argued</w:t>
      </w:r>
      <w:r w:rsidR="00807F58">
        <w:rPr>
          <w:rStyle w:val="apple-converted-space"/>
          <w:rFonts w:ascii="Times New Roman" w:hAnsi="Times New Roman" w:cs="Times New Roman"/>
          <w:color w:val="000000"/>
        </w:rPr>
        <w:t>,</w:t>
      </w:r>
      <w:r w:rsidR="009F557B" w:rsidRPr="001C042E">
        <w:rPr>
          <w:rStyle w:val="apple-converted-space"/>
          <w:rFonts w:ascii="Times New Roman" w:hAnsi="Times New Roman" w:cs="Times New Roman"/>
          <w:color w:val="000000"/>
        </w:rPr>
        <w:t xml:space="preserve"> </w:t>
      </w:r>
      <w:r w:rsidR="00807F58">
        <w:rPr>
          <w:rStyle w:val="apple-converted-space"/>
          <w:rFonts w:ascii="Times New Roman" w:hAnsi="Times New Roman" w:cs="Times New Roman"/>
          <w:color w:val="000000"/>
        </w:rPr>
        <w:t xml:space="preserve">there was </w:t>
      </w:r>
      <w:r w:rsidR="00F9126D" w:rsidRPr="001C042E">
        <w:rPr>
          <w:rStyle w:val="apple-converted-space"/>
          <w:rFonts w:ascii="Times New Roman" w:hAnsi="Times New Roman" w:cs="Times New Roman"/>
          <w:color w:val="000000"/>
        </w:rPr>
        <w:t>no bas</w:t>
      </w:r>
      <w:r w:rsidR="009F557B" w:rsidRPr="001C042E">
        <w:rPr>
          <w:rStyle w:val="apple-converted-space"/>
          <w:rFonts w:ascii="Times New Roman" w:hAnsi="Times New Roman" w:cs="Times New Roman"/>
          <w:color w:val="000000"/>
        </w:rPr>
        <w:t xml:space="preserve">is for </w:t>
      </w:r>
      <w:r w:rsidR="00F9126D" w:rsidRPr="001C042E">
        <w:rPr>
          <w:rStyle w:val="apple-converted-space"/>
          <w:rFonts w:ascii="Times New Roman" w:hAnsi="Times New Roman" w:cs="Times New Roman"/>
          <w:color w:val="000000"/>
        </w:rPr>
        <w:t xml:space="preserve">upholding of the </w:t>
      </w:r>
      <w:r w:rsidR="00F9126D" w:rsidRPr="001C042E">
        <w:rPr>
          <w:rStyle w:val="apple-converted-space"/>
          <w:rFonts w:ascii="Times New Roman" w:hAnsi="Times New Roman" w:cs="Times New Roman"/>
          <w:i/>
          <w:color w:val="000000"/>
        </w:rPr>
        <w:t>point in limine.</w:t>
      </w:r>
      <w:r w:rsidR="00857E36" w:rsidRPr="001C042E">
        <w:rPr>
          <w:rStyle w:val="apple-converted-space"/>
          <w:rFonts w:ascii="Times New Roman" w:hAnsi="Times New Roman" w:cs="Times New Roman"/>
          <w:color w:val="000000"/>
        </w:rPr>
        <w:t xml:space="preserve"> </w:t>
      </w:r>
    </w:p>
    <w:p w14:paraId="5BCB6762" w14:textId="1B538348" w:rsidR="00807F58" w:rsidRPr="009E49C0" w:rsidRDefault="00807F58" w:rsidP="003D3474">
      <w:pPr>
        <w:pStyle w:val="ListParagraph"/>
        <w:numPr>
          <w:ilvl w:val="0"/>
          <w:numId w:val="12"/>
        </w:numPr>
        <w:spacing w:after="240" w:line="360" w:lineRule="auto"/>
        <w:jc w:val="both"/>
        <w:rPr>
          <w:rStyle w:val="bumpedfont15"/>
          <w:rFonts w:ascii="Times New Roman" w:hAnsi="Times New Roman" w:cs="Times New Roman"/>
          <w:color w:val="0D0D0D" w:themeColor="text1" w:themeTint="F2"/>
        </w:rPr>
      </w:pPr>
      <w:r w:rsidRPr="009E49C0">
        <w:rPr>
          <w:rStyle w:val="bumpedfont15"/>
          <w:rFonts w:ascii="Times New Roman" w:hAnsi="Times New Roman" w:cs="Times New Roman"/>
          <w:color w:val="0D0D0D" w:themeColor="text1" w:themeTint="F2"/>
        </w:rPr>
        <w:t>Subrule (</w:t>
      </w:r>
      <w:r w:rsidR="00B06D74" w:rsidRPr="009E49C0">
        <w:rPr>
          <w:rStyle w:val="bumpedfont15"/>
          <w:rFonts w:ascii="Times New Roman" w:hAnsi="Times New Roman" w:cs="Times New Roman"/>
          <w:color w:val="0D0D0D" w:themeColor="text1" w:themeTint="F2"/>
        </w:rPr>
        <w:t>19</w:t>
      </w:r>
      <w:r w:rsidRPr="009E49C0">
        <w:rPr>
          <w:rStyle w:val="bumpedfont15"/>
          <w:rFonts w:ascii="Times New Roman" w:hAnsi="Times New Roman" w:cs="Times New Roman"/>
          <w:color w:val="0D0D0D" w:themeColor="text1" w:themeTint="F2"/>
        </w:rPr>
        <w:t xml:space="preserve">) of </w:t>
      </w:r>
      <w:r w:rsidR="009C37D5" w:rsidRPr="009E49C0">
        <w:rPr>
          <w:rStyle w:val="bumpedfont15"/>
          <w:rFonts w:ascii="Times New Roman" w:hAnsi="Times New Roman" w:cs="Times New Roman"/>
          <w:color w:val="0D0D0D" w:themeColor="text1" w:themeTint="F2"/>
        </w:rPr>
        <w:t>R</w:t>
      </w:r>
      <w:r w:rsidR="00571B97" w:rsidRPr="009E49C0">
        <w:rPr>
          <w:rStyle w:val="bumpedfont15"/>
          <w:rFonts w:ascii="Times New Roman" w:hAnsi="Times New Roman" w:cs="Times New Roman"/>
          <w:color w:val="0D0D0D" w:themeColor="text1" w:themeTint="F2"/>
        </w:rPr>
        <w:t xml:space="preserve">ule 59 </w:t>
      </w:r>
      <w:r w:rsidR="009C37D5" w:rsidRPr="009E49C0">
        <w:rPr>
          <w:rStyle w:val="bumpedfont15"/>
          <w:rFonts w:ascii="Times New Roman" w:hAnsi="Times New Roman" w:cs="Times New Roman"/>
          <w:color w:val="0D0D0D" w:themeColor="text1" w:themeTint="F2"/>
        </w:rPr>
        <w:t xml:space="preserve">of the High </w:t>
      </w:r>
      <w:r w:rsidR="00E62F07" w:rsidRPr="009E49C0">
        <w:rPr>
          <w:rStyle w:val="bumpedfont15"/>
          <w:rFonts w:ascii="Times New Roman" w:hAnsi="Times New Roman" w:cs="Times New Roman"/>
          <w:color w:val="0D0D0D" w:themeColor="text1" w:themeTint="F2"/>
        </w:rPr>
        <w:t>C</w:t>
      </w:r>
      <w:r w:rsidR="009C37D5" w:rsidRPr="009E49C0">
        <w:rPr>
          <w:rStyle w:val="bumpedfont15"/>
          <w:rFonts w:ascii="Times New Roman" w:hAnsi="Times New Roman" w:cs="Times New Roman"/>
          <w:color w:val="0D0D0D" w:themeColor="text1" w:themeTint="F2"/>
        </w:rPr>
        <w:t xml:space="preserve">ourt </w:t>
      </w:r>
      <w:r w:rsidR="00E62F07" w:rsidRPr="009E49C0">
        <w:rPr>
          <w:rStyle w:val="bumpedfont15"/>
          <w:rFonts w:ascii="Times New Roman" w:hAnsi="Times New Roman" w:cs="Times New Roman"/>
          <w:color w:val="0D0D0D" w:themeColor="text1" w:themeTint="F2"/>
        </w:rPr>
        <w:t>R</w:t>
      </w:r>
      <w:r w:rsidR="009C37D5" w:rsidRPr="009E49C0">
        <w:rPr>
          <w:rStyle w:val="bumpedfont15"/>
          <w:rFonts w:ascii="Times New Roman" w:hAnsi="Times New Roman" w:cs="Times New Roman"/>
          <w:color w:val="0D0D0D" w:themeColor="text1" w:themeTint="F2"/>
        </w:rPr>
        <w:t xml:space="preserve">ules, </w:t>
      </w:r>
      <w:r w:rsidR="00E62F07" w:rsidRPr="009E49C0">
        <w:rPr>
          <w:rStyle w:val="bumpedfont15"/>
          <w:rFonts w:ascii="Times New Roman" w:hAnsi="Times New Roman" w:cs="Times New Roman"/>
          <w:color w:val="0D0D0D" w:themeColor="text1" w:themeTint="F2"/>
        </w:rPr>
        <w:t xml:space="preserve">2021, </w:t>
      </w:r>
      <w:r w:rsidR="009C37D5" w:rsidRPr="009E49C0">
        <w:rPr>
          <w:rStyle w:val="bumpedfont15"/>
          <w:rFonts w:ascii="Times New Roman" w:hAnsi="Times New Roman" w:cs="Times New Roman"/>
          <w:color w:val="0D0D0D" w:themeColor="text1" w:themeTint="F2"/>
        </w:rPr>
        <w:t>provides for the filing of</w:t>
      </w:r>
      <w:r w:rsidR="00571B97" w:rsidRPr="009E49C0">
        <w:rPr>
          <w:rStyle w:val="bumpedfont15"/>
          <w:rFonts w:ascii="Times New Roman" w:hAnsi="Times New Roman" w:cs="Times New Roman"/>
          <w:color w:val="0D0D0D" w:themeColor="text1" w:themeTint="F2"/>
        </w:rPr>
        <w:t xml:space="preserve"> heads</w:t>
      </w:r>
      <w:r w:rsidR="00571B97" w:rsidRPr="009E49C0">
        <w:rPr>
          <w:rStyle w:val="apple-converted-space"/>
          <w:rFonts w:ascii="Times New Roman" w:hAnsi="Times New Roman" w:cs="Times New Roman"/>
          <w:color w:val="0D0D0D" w:themeColor="text1" w:themeTint="F2"/>
        </w:rPr>
        <w:t> </w:t>
      </w:r>
      <w:r w:rsidR="009C37D5" w:rsidRPr="009E49C0">
        <w:rPr>
          <w:rStyle w:val="bumpedfont15"/>
          <w:rFonts w:ascii="Times New Roman" w:hAnsi="Times New Roman" w:cs="Times New Roman"/>
          <w:color w:val="0D0D0D" w:themeColor="text1" w:themeTint="F2"/>
        </w:rPr>
        <w:t xml:space="preserve">of argument. </w:t>
      </w:r>
      <w:r w:rsidR="007933C9" w:rsidRPr="009E49C0">
        <w:rPr>
          <w:rStyle w:val="bumpedfont15"/>
          <w:rFonts w:ascii="Times New Roman" w:hAnsi="Times New Roman" w:cs="Times New Roman"/>
          <w:color w:val="0D0D0D" w:themeColor="text1" w:themeTint="F2"/>
        </w:rPr>
        <w:t>That rule</w:t>
      </w:r>
      <w:r w:rsidRPr="009E49C0">
        <w:rPr>
          <w:rStyle w:val="bumpedfont15"/>
          <w:rFonts w:ascii="Times New Roman" w:hAnsi="Times New Roman" w:cs="Times New Roman"/>
          <w:color w:val="0D0D0D" w:themeColor="text1" w:themeTint="F2"/>
        </w:rPr>
        <w:t xml:space="preserve"> states that</w:t>
      </w:r>
      <w:r w:rsidR="007933C9" w:rsidRPr="009E49C0">
        <w:rPr>
          <w:rStyle w:val="bumpedfont15"/>
          <w:rFonts w:ascii="Times New Roman" w:hAnsi="Times New Roman" w:cs="Times New Roman"/>
          <w:color w:val="0D0D0D" w:themeColor="text1" w:themeTint="F2"/>
        </w:rPr>
        <w:t xml:space="preserve"> once the heads have</w:t>
      </w:r>
      <w:r w:rsidR="00571B97" w:rsidRPr="009E49C0">
        <w:rPr>
          <w:rStyle w:val="bumpedfont15"/>
          <w:rFonts w:ascii="Times New Roman" w:hAnsi="Times New Roman" w:cs="Times New Roman"/>
          <w:color w:val="0D0D0D" w:themeColor="text1" w:themeTint="F2"/>
        </w:rPr>
        <w:t xml:space="preserve"> been filed a copy </w:t>
      </w:r>
      <w:r w:rsidR="00571B97" w:rsidRPr="001C498A">
        <w:rPr>
          <w:rStyle w:val="bumpedfont15"/>
          <w:rFonts w:ascii="Times New Roman" w:hAnsi="Times New Roman" w:cs="Times New Roman"/>
          <w:color w:val="0D0D0D" w:themeColor="text1" w:themeTint="F2"/>
        </w:rPr>
        <w:t xml:space="preserve">shall </w:t>
      </w:r>
      <w:r w:rsidR="00571B97" w:rsidRPr="009E49C0">
        <w:rPr>
          <w:rStyle w:val="bumpedfont15"/>
          <w:rFonts w:ascii="Times New Roman" w:hAnsi="Times New Roman" w:cs="Times New Roman"/>
          <w:color w:val="0D0D0D" w:themeColor="text1" w:themeTint="F2"/>
        </w:rPr>
        <w:t xml:space="preserve">be delivered to the other party. </w:t>
      </w:r>
      <w:r w:rsidR="008A3761" w:rsidRPr="009E49C0">
        <w:rPr>
          <w:rStyle w:val="bumpedfont15"/>
          <w:rFonts w:ascii="Times New Roman" w:hAnsi="Times New Roman" w:cs="Times New Roman"/>
          <w:color w:val="0D0D0D" w:themeColor="text1" w:themeTint="F2"/>
        </w:rPr>
        <w:t xml:space="preserve">A perusal of the record shows that the heads of argument were indeed filed. The record before the court </w:t>
      </w:r>
      <w:r w:rsidR="007933C9" w:rsidRPr="009E49C0">
        <w:rPr>
          <w:rStyle w:val="bumpedfont15"/>
          <w:rFonts w:ascii="Times New Roman" w:hAnsi="Times New Roman" w:cs="Times New Roman"/>
          <w:color w:val="0D0D0D" w:themeColor="text1" w:themeTint="F2"/>
        </w:rPr>
        <w:t xml:space="preserve">however </w:t>
      </w:r>
      <w:r w:rsidR="008A3761" w:rsidRPr="009E49C0">
        <w:rPr>
          <w:rStyle w:val="bumpedfont15"/>
          <w:rFonts w:ascii="Times New Roman" w:hAnsi="Times New Roman" w:cs="Times New Roman"/>
          <w:color w:val="0D0D0D" w:themeColor="text1" w:themeTint="F2"/>
        </w:rPr>
        <w:t>does not have proof of service</w:t>
      </w:r>
      <w:r w:rsidR="007933C9" w:rsidRPr="009E49C0">
        <w:rPr>
          <w:rStyle w:val="bumpedfont15"/>
          <w:rFonts w:ascii="Times New Roman" w:hAnsi="Times New Roman" w:cs="Times New Roman"/>
          <w:color w:val="0D0D0D" w:themeColor="text1" w:themeTint="F2"/>
        </w:rPr>
        <w:t>,</w:t>
      </w:r>
      <w:r w:rsidR="00AC070A" w:rsidRPr="009E49C0">
        <w:rPr>
          <w:rStyle w:val="bumpedfont15"/>
          <w:rFonts w:ascii="Times New Roman" w:hAnsi="Times New Roman" w:cs="Times New Roman"/>
          <w:color w:val="0D0D0D" w:themeColor="text1" w:themeTint="F2"/>
        </w:rPr>
        <w:t xml:space="preserve"> </w:t>
      </w:r>
      <w:r w:rsidR="007933C9" w:rsidRPr="009E49C0">
        <w:rPr>
          <w:rStyle w:val="bumpedfont15"/>
          <w:rFonts w:ascii="Times New Roman" w:hAnsi="Times New Roman" w:cs="Times New Roman"/>
          <w:color w:val="0D0D0D" w:themeColor="text1" w:themeTint="F2"/>
        </w:rPr>
        <w:t>an indication that they</w:t>
      </w:r>
      <w:r w:rsidRPr="009E49C0">
        <w:rPr>
          <w:rStyle w:val="bumpedfont15"/>
          <w:rFonts w:ascii="Times New Roman" w:hAnsi="Times New Roman" w:cs="Times New Roman"/>
          <w:color w:val="0D0D0D" w:themeColor="text1" w:themeTint="F2"/>
        </w:rPr>
        <w:t xml:space="preserve"> may not have been served</w:t>
      </w:r>
      <w:r w:rsidR="008A3761" w:rsidRPr="009E49C0">
        <w:rPr>
          <w:rStyle w:val="bumpedfont15"/>
          <w:rFonts w:ascii="Times New Roman" w:hAnsi="Times New Roman" w:cs="Times New Roman"/>
          <w:color w:val="0D0D0D" w:themeColor="text1" w:themeTint="F2"/>
        </w:rPr>
        <w:t xml:space="preserve">. </w:t>
      </w:r>
      <w:r w:rsidR="00571B97" w:rsidRPr="009E49C0">
        <w:rPr>
          <w:rStyle w:val="bumpedfont15"/>
          <w:rFonts w:ascii="Times New Roman" w:hAnsi="Times New Roman" w:cs="Times New Roman"/>
          <w:color w:val="0D0D0D" w:themeColor="text1" w:themeTint="F2"/>
        </w:rPr>
        <w:t>The questio</w:t>
      </w:r>
      <w:r w:rsidR="007933C9" w:rsidRPr="009E49C0">
        <w:rPr>
          <w:rStyle w:val="bumpedfont15"/>
          <w:rFonts w:ascii="Times New Roman" w:hAnsi="Times New Roman" w:cs="Times New Roman"/>
          <w:color w:val="0D0D0D" w:themeColor="text1" w:themeTint="F2"/>
        </w:rPr>
        <w:t xml:space="preserve">n </w:t>
      </w:r>
      <w:r w:rsidR="009F557B" w:rsidRPr="009E49C0">
        <w:rPr>
          <w:rStyle w:val="bumpedfont15"/>
          <w:rFonts w:ascii="Times New Roman" w:hAnsi="Times New Roman" w:cs="Times New Roman"/>
          <w:color w:val="0D0D0D" w:themeColor="text1" w:themeTint="F2"/>
        </w:rPr>
        <w:t xml:space="preserve">therefore </w:t>
      </w:r>
      <w:r w:rsidR="007933C9" w:rsidRPr="009E49C0">
        <w:rPr>
          <w:rStyle w:val="bumpedfont15"/>
          <w:rFonts w:ascii="Times New Roman" w:hAnsi="Times New Roman" w:cs="Times New Roman"/>
          <w:color w:val="0D0D0D" w:themeColor="text1" w:themeTint="F2"/>
        </w:rPr>
        <w:t xml:space="preserve">is, what are </w:t>
      </w:r>
      <w:r w:rsidR="008A3761" w:rsidRPr="009E49C0">
        <w:rPr>
          <w:rStyle w:val="bumpedfont15"/>
          <w:rFonts w:ascii="Times New Roman" w:hAnsi="Times New Roman" w:cs="Times New Roman"/>
          <w:color w:val="0D0D0D" w:themeColor="text1" w:themeTint="F2"/>
        </w:rPr>
        <w:t>the consequences</w:t>
      </w:r>
      <w:r w:rsidR="00AC070A" w:rsidRPr="009E49C0">
        <w:rPr>
          <w:rStyle w:val="bumpedfont15"/>
          <w:rFonts w:ascii="Times New Roman" w:hAnsi="Times New Roman" w:cs="Times New Roman"/>
          <w:color w:val="0D0D0D" w:themeColor="text1" w:themeTint="F2"/>
        </w:rPr>
        <w:t>,</w:t>
      </w:r>
      <w:r w:rsidR="008A3761" w:rsidRPr="009E49C0">
        <w:rPr>
          <w:rStyle w:val="bumpedfont15"/>
          <w:rFonts w:ascii="Times New Roman" w:hAnsi="Times New Roman" w:cs="Times New Roman"/>
          <w:color w:val="0D0D0D" w:themeColor="text1" w:themeTint="F2"/>
        </w:rPr>
        <w:t xml:space="preserve"> </w:t>
      </w:r>
      <w:r w:rsidR="007933C9" w:rsidRPr="009E49C0">
        <w:rPr>
          <w:rStyle w:val="bumpedfont15"/>
          <w:rFonts w:ascii="Times New Roman" w:hAnsi="Times New Roman" w:cs="Times New Roman"/>
          <w:color w:val="0D0D0D" w:themeColor="text1" w:themeTint="F2"/>
        </w:rPr>
        <w:t>if any</w:t>
      </w:r>
      <w:r w:rsidR="00AC070A" w:rsidRPr="009E49C0">
        <w:rPr>
          <w:rStyle w:val="bumpedfont15"/>
          <w:rFonts w:ascii="Times New Roman" w:hAnsi="Times New Roman" w:cs="Times New Roman"/>
          <w:color w:val="0D0D0D" w:themeColor="text1" w:themeTint="F2"/>
        </w:rPr>
        <w:t>,</w:t>
      </w:r>
      <w:r w:rsidR="007933C9" w:rsidRPr="009E49C0">
        <w:rPr>
          <w:rStyle w:val="bumpedfont15"/>
          <w:rFonts w:ascii="Times New Roman" w:hAnsi="Times New Roman" w:cs="Times New Roman"/>
          <w:color w:val="0D0D0D" w:themeColor="text1" w:themeTint="F2"/>
        </w:rPr>
        <w:t xml:space="preserve"> of that</w:t>
      </w:r>
      <w:r w:rsidR="009F557B" w:rsidRPr="009E49C0">
        <w:rPr>
          <w:rStyle w:val="bumpedfont15"/>
          <w:rFonts w:ascii="Times New Roman" w:hAnsi="Times New Roman" w:cs="Times New Roman"/>
          <w:color w:val="0D0D0D" w:themeColor="text1" w:themeTint="F2"/>
        </w:rPr>
        <w:t xml:space="preserve"> non</w:t>
      </w:r>
      <w:r w:rsidR="00AC070A" w:rsidRPr="009E49C0">
        <w:rPr>
          <w:rStyle w:val="bumpedfont15"/>
          <w:rFonts w:ascii="Times New Roman" w:hAnsi="Times New Roman" w:cs="Times New Roman"/>
          <w:color w:val="0D0D0D" w:themeColor="text1" w:themeTint="F2"/>
        </w:rPr>
        <w:t>-</w:t>
      </w:r>
      <w:r w:rsidR="009F557B" w:rsidRPr="009E49C0">
        <w:rPr>
          <w:rStyle w:val="bumpedfont15"/>
          <w:rFonts w:ascii="Times New Roman" w:hAnsi="Times New Roman" w:cs="Times New Roman"/>
          <w:color w:val="0D0D0D" w:themeColor="text1" w:themeTint="F2"/>
        </w:rPr>
        <w:t>compliance?</w:t>
      </w:r>
    </w:p>
    <w:p w14:paraId="2CC41C74" w14:textId="3C88A771" w:rsidR="00B06D74" w:rsidRPr="009E49C0" w:rsidRDefault="00571B97" w:rsidP="00D06783">
      <w:pPr>
        <w:pStyle w:val="ListParagraph"/>
        <w:numPr>
          <w:ilvl w:val="0"/>
          <w:numId w:val="12"/>
        </w:numPr>
        <w:spacing w:after="240" w:line="360" w:lineRule="auto"/>
        <w:jc w:val="both"/>
        <w:rPr>
          <w:rFonts w:ascii="Times New Roman" w:hAnsi="Times New Roman" w:cs="Times New Roman"/>
          <w:color w:val="0D0D0D" w:themeColor="text1" w:themeTint="F2"/>
        </w:rPr>
      </w:pPr>
      <w:r w:rsidRPr="009E49C0">
        <w:rPr>
          <w:rStyle w:val="bumpedfont15"/>
          <w:rFonts w:ascii="Times New Roman" w:hAnsi="Times New Roman" w:cs="Times New Roman"/>
          <w:color w:val="0D0D0D" w:themeColor="text1" w:themeTint="F2"/>
        </w:rPr>
        <w:t xml:space="preserve"> </w:t>
      </w:r>
      <w:r w:rsidR="00701AF2" w:rsidRPr="009E49C0">
        <w:rPr>
          <w:rStyle w:val="bumpedfont15"/>
          <w:rFonts w:ascii="Times New Roman" w:hAnsi="Times New Roman" w:cs="Times New Roman"/>
          <w:color w:val="0D0D0D" w:themeColor="text1" w:themeTint="F2"/>
        </w:rPr>
        <w:t>The principle is that where there has been a failure to comply with the rules that failure will invalidate a step taken if it results in prejudice to the other party</w:t>
      </w:r>
      <w:r w:rsidR="00AC070A" w:rsidRPr="009E49C0">
        <w:rPr>
          <w:rStyle w:val="bumpedfont15"/>
          <w:rFonts w:ascii="Times New Roman" w:hAnsi="Times New Roman" w:cs="Times New Roman"/>
          <w:color w:val="0D0D0D" w:themeColor="text1" w:themeTint="F2"/>
        </w:rPr>
        <w:t>.</w:t>
      </w:r>
      <w:r w:rsidR="00701AF2" w:rsidRPr="009E49C0">
        <w:rPr>
          <w:rStyle w:val="bumpedfont15"/>
          <w:rFonts w:ascii="Times New Roman" w:hAnsi="Times New Roman" w:cs="Times New Roman"/>
          <w:color w:val="0D0D0D" w:themeColor="text1" w:themeTint="F2"/>
        </w:rPr>
        <w:t xml:space="preserve"> </w:t>
      </w:r>
      <w:r w:rsidR="00807F58" w:rsidRPr="009E49C0">
        <w:rPr>
          <w:rStyle w:val="bumpedfont15"/>
          <w:rFonts w:ascii="Times New Roman" w:hAnsi="Times New Roman" w:cs="Times New Roman"/>
          <w:color w:val="0D0D0D" w:themeColor="text1" w:themeTint="F2"/>
        </w:rPr>
        <w:t>S</w:t>
      </w:r>
      <w:r w:rsidR="00701AF2" w:rsidRPr="009E49C0">
        <w:rPr>
          <w:rStyle w:val="bumpedfont15"/>
          <w:rFonts w:ascii="Times New Roman" w:hAnsi="Times New Roman" w:cs="Times New Roman"/>
          <w:color w:val="0D0D0D" w:themeColor="text1" w:themeTint="F2"/>
        </w:rPr>
        <w:t>ee th</w:t>
      </w:r>
      <w:r w:rsidR="00D06783" w:rsidRPr="009E49C0">
        <w:rPr>
          <w:rStyle w:val="bumpedfont15"/>
          <w:rFonts w:ascii="Times New Roman" w:hAnsi="Times New Roman" w:cs="Times New Roman"/>
          <w:color w:val="0D0D0D" w:themeColor="text1" w:themeTint="F2"/>
        </w:rPr>
        <w:t>e case of</w:t>
      </w:r>
      <w:r w:rsidR="00D06783" w:rsidRPr="009E49C0">
        <w:rPr>
          <w:rStyle w:val="bumpedfont15"/>
          <w:rFonts w:ascii="Times New Roman" w:hAnsi="Times New Roman" w:cs="Times New Roman"/>
          <w:i/>
          <w:color w:val="0D0D0D" w:themeColor="text1" w:themeTint="F2"/>
        </w:rPr>
        <w:t xml:space="preserve"> Infralink Private limited </w:t>
      </w:r>
      <w:r w:rsidR="00D06783" w:rsidRPr="001C498A">
        <w:rPr>
          <w:rStyle w:val="bumpedfont15"/>
          <w:rFonts w:ascii="Times New Roman" w:hAnsi="Times New Roman" w:cs="Times New Roman"/>
          <w:color w:val="0D0D0D" w:themeColor="text1" w:themeTint="F2"/>
        </w:rPr>
        <w:t>vs</w:t>
      </w:r>
      <w:r w:rsidR="00D06783" w:rsidRPr="009E49C0">
        <w:rPr>
          <w:rStyle w:val="bumpedfont15"/>
          <w:rFonts w:ascii="Times New Roman" w:hAnsi="Times New Roman" w:cs="Times New Roman"/>
          <w:i/>
          <w:color w:val="0D0D0D" w:themeColor="text1" w:themeTint="F2"/>
        </w:rPr>
        <w:t xml:space="preserve"> Sheriff of Zimbabwe N.O. &amp; 2 Ors, </w:t>
      </w:r>
      <w:r w:rsidR="00D06783" w:rsidRPr="009E49C0">
        <w:rPr>
          <w:rStyle w:val="bumpedfont15"/>
          <w:rFonts w:ascii="Times New Roman" w:hAnsi="Times New Roman" w:cs="Times New Roman"/>
          <w:color w:val="0D0D0D" w:themeColor="text1" w:themeTint="F2"/>
        </w:rPr>
        <w:t>HH</w:t>
      </w:r>
      <w:r w:rsidR="001C498A">
        <w:rPr>
          <w:rStyle w:val="bumpedfont15"/>
          <w:rFonts w:ascii="Times New Roman" w:hAnsi="Times New Roman" w:cs="Times New Roman"/>
          <w:color w:val="0D0D0D" w:themeColor="text1" w:themeTint="F2"/>
        </w:rPr>
        <w:t xml:space="preserve"> </w:t>
      </w:r>
      <w:r w:rsidR="00D06783" w:rsidRPr="009E49C0">
        <w:rPr>
          <w:rStyle w:val="bumpedfont15"/>
          <w:rFonts w:ascii="Times New Roman" w:hAnsi="Times New Roman" w:cs="Times New Roman"/>
          <w:color w:val="0D0D0D" w:themeColor="text1" w:themeTint="F2"/>
        </w:rPr>
        <w:t xml:space="preserve">01/19 p.3 where </w:t>
      </w:r>
      <w:r w:rsidR="001C498A" w:rsidRPr="001C498A">
        <w:rPr>
          <w:rStyle w:val="bumpedfont15"/>
          <w:rFonts w:ascii="Times New Roman" w:hAnsi="Times New Roman" w:cs="Times New Roman"/>
          <w:smallCaps/>
          <w:color w:val="0D0D0D" w:themeColor="text1" w:themeTint="F2"/>
        </w:rPr>
        <w:t>Chitakunye J</w:t>
      </w:r>
      <w:r w:rsidR="001C498A" w:rsidRPr="009E49C0">
        <w:rPr>
          <w:rStyle w:val="bumpedfont15"/>
          <w:rFonts w:ascii="Times New Roman" w:hAnsi="Times New Roman" w:cs="Times New Roman"/>
          <w:color w:val="0D0D0D" w:themeColor="text1" w:themeTint="F2"/>
        </w:rPr>
        <w:t xml:space="preserve"> </w:t>
      </w:r>
      <w:r w:rsidR="00D06783" w:rsidRPr="009E49C0">
        <w:rPr>
          <w:rStyle w:val="bumpedfont15"/>
          <w:rFonts w:ascii="Times New Roman" w:hAnsi="Times New Roman" w:cs="Times New Roman"/>
          <w:color w:val="0D0D0D" w:themeColor="text1" w:themeTint="F2"/>
        </w:rPr>
        <w:t>(as he then was) cited with approval the dicta</w:t>
      </w:r>
      <w:r w:rsidR="00B06D74" w:rsidRPr="009E49C0">
        <w:rPr>
          <w:rFonts w:ascii="Times New Roman" w:eastAsia="Calibri" w:hAnsi="Times New Roman" w:cs="Times New Roman"/>
          <w:color w:val="0D0D0D" w:themeColor="text1" w:themeTint="F2"/>
          <w:kern w:val="0"/>
          <w:lang w:eastAsia="en-US"/>
          <w14:ligatures w14:val="none"/>
        </w:rPr>
        <w:t xml:space="preserve"> in </w:t>
      </w:r>
      <w:r w:rsidR="00B06D74" w:rsidRPr="009E49C0">
        <w:rPr>
          <w:rFonts w:ascii="Times New Roman" w:eastAsia="Calibri" w:hAnsi="Times New Roman" w:cs="Times New Roman"/>
          <w:i/>
          <w:color w:val="0D0D0D" w:themeColor="text1" w:themeTint="F2"/>
          <w:kern w:val="0"/>
          <w:lang w:eastAsia="en-US"/>
          <w14:ligatures w14:val="none"/>
        </w:rPr>
        <w:t xml:space="preserve">Uitenhage Municipality </w:t>
      </w:r>
      <w:r w:rsidR="00B06D74" w:rsidRPr="001C498A">
        <w:rPr>
          <w:rFonts w:ascii="Times New Roman" w:eastAsia="Calibri" w:hAnsi="Times New Roman" w:cs="Times New Roman"/>
          <w:color w:val="0D0D0D" w:themeColor="text1" w:themeTint="F2"/>
          <w:kern w:val="0"/>
          <w:lang w:eastAsia="en-US"/>
          <w14:ligatures w14:val="none"/>
        </w:rPr>
        <w:t>v</w:t>
      </w:r>
      <w:r w:rsidR="00B06D74" w:rsidRPr="009E49C0">
        <w:rPr>
          <w:rFonts w:ascii="Times New Roman" w:eastAsia="Calibri" w:hAnsi="Times New Roman" w:cs="Times New Roman"/>
          <w:i/>
          <w:color w:val="0D0D0D" w:themeColor="text1" w:themeTint="F2"/>
          <w:kern w:val="0"/>
          <w:lang w:eastAsia="en-US"/>
          <w14:ligatures w14:val="none"/>
        </w:rPr>
        <w:t xml:space="preserve"> Uys</w:t>
      </w:r>
      <w:r w:rsidR="00B06D74" w:rsidRPr="009E49C0">
        <w:rPr>
          <w:rFonts w:ascii="Times New Roman" w:eastAsia="Calibri" w:hAnsi="Times New Roman" w:cs="Times New Roman"/>
          <w:color w:val="0D0D0D" w:themeColor="text1" w:themeTint="F2"/>
          <w:kern w:val="0"/>
          <w:lang w:eastAsia="en-US"/>
          <w14:ligatures w14:val="none"/>
        </w:rPr>
        <w:t xml:space="preserve"> 1974 (3) SA 800 (E) at 805D-F wherein the learned judge stated that:</w:t>
      </w:r>
    </w:p>
    <w:p w14:paraId="7A844F2D" w14:textId="349A775E" w:rsidR="00B06D74" w:rsidRPr="001C498A" w:rsidRDefault="00B06D74" w:rsidP="00D06783">
      <w:pPr>
        <w:spacing w:line="240" w:lineRule="auto"/>
        <w:ind w:left="1440"/>
        <w:jc w:val="both"/>
        <w:rPr>
          <w:rFonts w:ascii="Times New Roman" w:eastAsia="Calibri" w:hAnsi="Times New Roman" w:cs="Times New Roman"/>
          <w:kern w:val="0"/>
          <w:sz w:val="22"/>
          <w:szCs w:val="20"/>
          <w:lang w:eastAsia="en-US"/>
          <w14:ligatures w14:val="none"/>
        </w:rPr>
      </w:pPr>
      <w:r w:rsidRPr="001C498A">
        <w:rPr>
          <w:rFonts w:ascii="Times New Roman" w:eastAsia="Calibri" w:hAnsi="Times New Roman" w:cs="Times New Roman"/>
          <w:kern w:val="0"/>
          <w:sz w:val="22"/>
          <w:szCs w:val="20"/>
          <w:lang w:eastAsia="en-US"/>
          <w14:ligatures w14:val="none"/>
        </w:rPr>
        <w:t xml:space="preserve">“The principle has repeatedly been laid down in our courts that the Court is entitled to overlook, in proper cases, any irregularity in procedure which does not work any substantial prejudice to the other </w:t>
      </w:r>
      <w:r w:rsidR="00D06783" w:rsidRPr="001C498A">
        <w:rPr>
          <w:rFonts w:ascii="Times New Roman" w:eastAsia="Calibri" w:hAnsi="Times New Roman" w:cs="Times New Roman"/>
          <w:kern w:val="0"/>
          <w:sz w:val="22"/>
          <w:szCs w:val="20"/>
          <w:lang w:eastAsia="en-US"/>
          <w14:ligatures w14:val="none"/>
        </w:rPr>
        <w:t>side (</w:t>
      </w:r>
      <w:r w:rsidRPr="001C498A">
        <w:rPr>
          <w:rFonts w:ascii="Times New Roman" w:eastAsia="Calibri" w:hAnsi="Times New Roman" w:cs="Times New Roman"/>
          <w:kern w:val="0"/>
          <w:sz w:val="22"/>
          <w:szCs w:val="20"/>
          <w:lang w:eastAsia="en-US"/>
          <w14:ligatures w14:val="none"/>
        </w:rPr>
        <w:t xml:space="preserve">see </w:t>
      </w:r>
      <w:r w:rsidRPr="001C498A">
        <w:rPr>
          <w:rFonts w:ascii="Times New Roman" w:eastAsia="Calibri" w:hAnsi="Times New Roman" w:cs="Times New Roman"/>
          <w:i/>
          <w:kern w:val="0"/>
          <w:sz w:val="22"/>
          <w:szCs w:val="20"/>
          <w:lang w:eastAsia="en-US"/>
          <w14:ligatures w14:val="none"/>
        </w:rPr>
        <w:t>The Civil Practice of the Superior Courts in South Africa</w:t>
      </w:r>
      <w:r w:rsidRPr="001C498A">
        <w:rPr>
          <w:rFonts w:ascii="Times New Roman" w:eastAsia="Calibri" w:hAnsi="Times New Roman" w:cs="Times New Roman"/>
          <w:kern w:val="0"/>
          <w:sz w:val="22"/>
          <w:szCs w:val="20"/>
          <w:lang w:eastAsia="en-US"/>
          <w14:ligatures w14:val="none"/>
        </w:rPr>
        <w:t xml:space="preserve"> 2 ed by </w:t>
      </w:r>
      <w:r w:rsidRPr="001C498A">
        <w:rPr>
          <w:rFonts w:ascii="Times New Roman" w:eastAsia="Calibri" w:hAnsi="Times New Roman" w:cs="Times New Roman"/>
          <w:i/>
          <w:kern w:val="0"/>
          <w:sz w:val="22"/>
          <w:szCs w:val="20"/>
          <w:lang w:eastAsia="en-US"/>
          <w14:ligatures w14:val="none"/>
        </w:rPr>
        <w:t>Herbstein and van</w:t>
      </w:r>
      <w:r w:rsidRPr="001C498A">
        <w:rPr>
          <w:rFonts w:ascii="Times New Roman" w:eastAsia="Calibri" w:hAnsi="Times New Roman" w:cs="Times New Roman"/>
          <w:kern w:val="0"/>
          <w:sz w:val="22"/>
          <w:szCs w:val="20"/>
          <w:lang w:eastAsia="en-US"/>
          <w14:ligatures w14:val="none"/>
        </w:rPr>
        <w:t xml:space="preserve"> </w:t>
      </w:r>
      <w:r w:rsidRPr="001C498A">
        <w:rPr>
          <w:rFonts w:ascii="Times New Roman" w:eastAsia="Calibri" w:hAnsi="Times New Roman" w:cs="Times New Roman"/>
          <w:i/>
          <w:kern w:val="0"/>
          <w:sz w:val="22"/>
          <w:szCs w:val="20"/>
          <w:lang w:eastAsia="en-US"/>
          <w14:ligatures w14:val="none"/>
        </w:rPr>
        <w:t>Winsen</w:t>
      </w:r>
      <w:r w:rsidRPr="001C498A">
        <w:rPr>
          <w:rFonts w:ascii="Times New Roman" w:eastAsia="Calibri" w:hAnsi="Times New Roman" w:cs="Times New Roman"/>
          <w:kern w:val="0"/>
          <w:sz w:val="22"/>
          <w:szCs w:val="20"/>
          <w:lang w:eastAsia="en-US"/>
          <w14:ligatures w14:val="none"/>
        </w:rPr>
        <w:t xml:space="preserve"> at 356 and the authorities there cited.) In </w:t>
      </w:r>
      <w:r w:rsidRPr="001C498A">
        <w:rPr>
          <w:rFonts w:ascii="Times New Roman" w:eastAsia="Calibri" w:hAnsi="Times New Roman" w:cs="Times New Roman"/>
          <w:i/>
          <w:kern w:val="0"/>
          <w:sz w:val="22"/>
          <w:szCs w:val="20"/>
          <w:lang w:eastAsia="en-US"/>
          <w14:ligatures w14:val="none"/>
        </w:rPr>
        <w:t>Trans-African Insurance Co. Ltd v Maluleka</w:t>
      </w:r>
      <w:r w:rsidRPr="001C498A">
        <w:rPr>
          <w:rFonts w:ascii="Times New Roman" w:eastAsia="Calibri" w:hAnsi="Times New Roman" w:cs="Times New Roman"/>
          <w:kern w:val="0"/>
          <w:sz w:val="22"/>
          <w:szCs w:val="20"/>
          <w:lang w:eastAsia="en-US"/>
          <w14:ligatures w14:val="none"/>
        </w:rPr>
        <w:t xml:space="preserve"> 1956 (2) SA 273(A) at 278 </w:t>
      </w:r>
      <w:r w:rsidR="001C498A" w:rsidRPr="001C498A">
        <w:rPr>
          <w:rFonts w:ascii="Times New Roman" w:eastAsia="Calibri" w:hAnsi="Times New Roman" w:cs="Times New Roman"/>
          <w:smallCaps/>
          <w:kern w:val="0"/>
          <w:sz w:val="22"/>
          <w:szCs w:val="20"/>
          <w:lang w:eastAsia="en-US"/>
          <w14:ligatures w14:val="none"/>
        </w:rPr>
        <w:t>Schreiner Ja</w:t>
      </w:r>
      <w:r w:rsidR="001C498A" w:rsidRPr="001C498A">
        <w:rPr>
          <w:rFonts w:ascii="Times New Roman" w:eastAsia="Calibri" w:hAnsi="Times New Roman" w:cs="Times New Roman"/>
          <w:kern w:val="0"/>
          <w:sz w:val="22"/>
          <w:szCs w:val="20"/>
          <w:lang w:eastAsia="en-US"/>
          <w14:ligatures w14:val="none"/>
        </w:rPr>
        <w:t xml:space="preserve"> </w:t>
      </w:r>
      <w:r w:rsidRPr="001C498A">
        <w:rPr>
          <w:rFonts w:ascii="Times New Roman" w:eastAsia="Calibri" w:hAnsi="Times New Roman" w:cs="Times New Roman"/>
          <w:kern w:val="0"/>
          <w:sz w:val="22"/>
          <w:szCs w:val="20"/>
          <w:lang w:eastAsia="en-US"/>
          <w14:ligatures w14:val="none"/>
        </w:rPr>
        <w:t>says:</w:t>
      </w:r>
    </w:p>
    <w:p w14:paraId="40DE64AA" w14:textId="77777777" w:rsidR="00B06D74" w:rsidRPr="001C498A" w:rsidRDefault="00B06D74" w:rsidP="00D06783">
      <w:pPr>
        <w:spacing w:line="240" w:lineRule="auto"/>
        <w:ind w:left="2160"/>
        <w:jc w:val="both"/>
        <w:rPr>
          <w:rFonts w:ascii="Times New Roman" w:eastAsia="Calibri" w:hAnsi="Times New Roman" w:cs="Times New Roman"/>
          <w:kern w:val="0"/>
          <w:sz w:val="22"/>
          <w:szCs w:val="20"/>
          <w:lang w:eastAsia="en-US"/>
          <w14:ligatures w14:val="none"/>
        </w:rPr>
      </w:pPr>
      <w:r w:rsidRPr="001C498A">
        <w:rPr>
          <w:rFonts w:ascii="Times New Roman" w:eastAsia="Calibri" w:hAnsi="Times New Roman" w:cs="Times New Roman"/>
          <w:kern w:val="0"/>
          <w:sz w:val="22"/>
          <w:szCs w:val="20"/>
          <w:lang w:eastAsia="en-US"/>
          <w14:ligatures w14:val="none"/>
        </w:rPr>
        <w:t>“.. technical objections to less than perfect procedural steps should not be permitted, in the absence of prejudice, to interfere with the expeditious and, if possible, inexpensive decision of cases on their real merits.”</w:t>
      </w:r>
    </w:p>
    <w:p w14:paraId="04DC56FA" w14:textId="16FAD576" w:rsidR="00571B97" w:rsidRPr="00F740E0" w:rsidRDefault="00D06783" w:rsidP="00F740E0">
      <w:pPr>
        <w:pStyle w:val="ListParagraph"/>
        <w:numPr>
          <w:ilvl w:val="0"/>
          <w:numId w:val="12"/>
        </w:numPr>
        <w:spacing w:after="0" w:line="36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 xml:space="preserve">In the above matter the court went on to state that the raising of objections is not proscribed but that what is important is that they are not just raised for the sake of it. Instead, the party taking the objection must show that he/she/it was prejudiced by </w:t>
      </w:r>
      <w:r>
        <w:rPr>
          <w:rFonts w:ascii="Times New Roman" w:eastAsia="Calibri" w:hAnsi="Times New Roman" w:cs="Times New Roman"/>
          <w:kern w:val="0"/>
          <w:lang w:eastAsia="en-US"/>
          <w14:ligatures w14:val="none"/>
        </w:rPr>
        <w:lastRenderedPageBreak/>
        <w:t xml:space="preserve">the irregularity complained of. </w:t>
      </w:r>
      <w:r w:rsidR="00B06D74" w:rsidRPr="00D06783">
        <w:rPr>
          <w:rFonts w:ascii="Times New Roman" w:eastAsia="Calibri" w:hAnsi="Times New Roman" w:cs="Times New Roman"/>
          <w:kern w:val="0"/>
          <w:lang w:eastAsia="en-US"/>
          <w14:ligatures w14:val="none"/>
        </w:rPr>
        <w:t xml:space="preserve">In </w:t>
      </w:r>
      <w:r>
        <w:rPr>
          <w:rFonts w:ascii="Times New Roman" w:eastAsia="Calibri" w:hAnsi="Times New Roman" w:cs="Times New Roman"/>
          <w:kern w:val="0"/>
          <w:lang w:eastAsia="en-US"/>
          <w14:ligatures w14:val="none"/>
        </w:rPr>
        <w:t xml:space="preserve">this case, the respondents did not only fail to demonstrate the prejudice that they suffered but also did not even allege prejudice as a result of the applicant’s failure to serve them with the heads of argument. In fact, the reality is that the heads of argument were filed with the registrar of this court and uploaded onto the Integrated Electronic Case Management System (IECMS). The court takes judicial notice of the notorious fact that once that happened, the heads became available to the respondents on the IECMS platform. </w:t>
      </w:r>
      <w:r w:rsidR="00F740E0">
        <w:rPr>
          <w:rFonts w:ascii="Times New Roman" w:eastAsia="Calibri" w:hAnsi="Times New Roman" w:cs="Times New Roman"/>
          <w:kern w:val="0"/>
          <w:lang w:eastAsia="en-US"/>
          <w14:ligatures w14:val="none"/>
        </w:rPr>
        <w:t xml:space="preserve"> To prove that it was so, the respondents’</w:t>
      </w:r>
      <w:r w:rsidR="00571B97" w:rsidRPr="00F740E0">
        <w:rPr>
          <w:rStyle w:val="bumpedfont15"/>
          <w:rFonts w:ascii="Times New Roman" w:hAnsi="Times New Roman" w:cs="Times New Roman"/>
          <w:color w:val="000000"/>
        </w:rPr>
        <w:t xml:space="preserve"> heads of argument address some of the issues raised in the applicant’s heads of arg</w:t>
      </w:r>
      <w:r w:rsidR="0031239D" w:rsidRPr="00F740E0">
        <w:rPr>
          <w:rStyle w:val="bumpedfont15"/>
          <w:rFonts w:ascii="Times New Roman" w:hAnsi="Times New Roman" w:cs="Times New Roman"/>
          <w:color w:val="000000"/>
        </w:rPr>
        <w:t>ument</w:t>
      </w:r>
      <w:r w:rsidR="00AC070A" w:rsidRPr="00F740E0">
        <w:rPr>
          <w:rStyle w:val="bumpedfont15"/>
          <w:rFonts w:ascii="Times New Roman" w:hAnsi="Times New Roman" w:cs="Times New Roman"/>
          <w:color w:val="000000"/>
        </w:rPr>
        <w:t>s</w:t>
      </w:r>
      <w:r w:rsidR="0031239D" w:rsidRPr="00F740E0">
        <w:rPr>
          <w:rStyle w:val="bumpedfont15"/>
          <w:rFonts w:ascii="Times New Roman" w:hAnsi="Times New Roman" w:cs="Times New Roman"/>
          <w:color w:val="000000"/>
        </w:rPr>
        <w:t>.</w:t>
      </w:r>
      <w:r w:rsidR="00AC070A" w:rsidRPr="00F740E0">
        <w:rPr>
          <w:rStyle w:val="bumpedfont15"/>
          <w:rFonts w:ascii="Times New Roman" w:hAnsi="Times New Roman" w:cs="Times New Roman"/>
          <w:color w:val="000000"/>
        </w:rPr>
        <w:t xml:space="preserve"> </w:t>
      </w:r>
      <w:r w:rsidR="0031239D" w:rsidRPr="00F740E0">
        <w:rPr>
          <w:rStyle w:val="bumpedfont15"/>
          <w:rFonts w:ascii="Times New Roman" w:hAnsi="Times New Roman" w:cs="Times New Roman"/>
          <w:color w:val="000000"/>
        </w:rPr>
        <w:t xml:space="preserve">The </w:t>
      </w:r>
      <w:r w:rsidR="00571B97" w:rsidRPr="00F740E0">
        <w:rPr>
          <w:rStyle w:val="bumpedfont15"/>
          <w:rFonts w:ascii="Times New Roman" w:hAnsi="Times New Roman" w:cs="Times New Roman"/>
          <w:i/>
          <w:color w:val="000000"/>
        </w:rPr>
        <w:t xml:space="preserve">point </w:t>
      </w:r>
      <w:r w:rsidR="0031239D" w:rsidRPr="00F740E0">
        <w:rPr>
          <w:rStyle w:val="bumpedfont15"/>
          <w:rFonts w:ascii="Times New Roman" w:hAnsi="Times New Roman" w:cs="Times New Roman"/>
          <w:i/>
          <w:color w:val="000000"/>
        </w:rPr>
        <w:t>in limine</w:t>
      </w:r>
      <w:r w:rsidR="0031239D" w:rsidRPr="00F740E0">
        <w:rPr>
          <w:rStyle w:val="bumpedfont15"/>
          <w:rFonts w:ascii="Times New Roman" w:hAnsi="Times New Roman" w:cs="Times New Roman"/>
          <w:color w:val="000000"/>
        </w:rPr>
        <w:t xml:space="preserve"> is therefore without merit and must fall</w:t>
      </w:r>
      <w:r w:rsidR="00571B97" w:rsidRPr="00F740E0">
        <w:rPr>
          <w:rStyle w:val="bumpedfont15"/>
          <w:rFonts w:ascii="Times New Roman" w:hAnsi="Times New Roman" w:cs="Times New Roman"/>
          <w:color w:val="000000"/>
        </w:rPr>
        <w:t>.  </w:t>
      </w:r>
    </w:p>
    <w:p w14:paraId="72E47B63" w14:textId="3631B344" w:rsidR="00DF3F02" w:rsidRPr="00F556CD" w:rsidRDefault="00DF3F02" w:rsidP="00A0599A">
      <w:pPr>
        <w:spacing w:after="0" w:line="360" w:lineRule="auto"/>
        <w:ind w:left="540" w:hanging="90"/>
        <w:jc w:val="both"/>
        <w:rPr>
          <w:rStyle w:val="apple-converted-space"/>
          <w:rFonts w:ascii="Times New Roman" w:hAnsi="Times New Roman" w:cs="Times New Roman"/>
          <w:b/>
          <w:color w:val="000000"/>
          <w:u w:val="single"/>
        </w:rPr>
      </w:pPr>
      <w:r w:rsidRPr="00F556CD">
        <w:rPr>
          <w:rStyle w:val="apple-converted-space"/>
          <w:rFonts w:ascii="Times New Roman" w:hAnsi="Times New Roman" w:cs="Times New Roman"/>
          <w:b/>
          <w:color w:val="000000"/>
          <w:u w:val="single"/>
        </w:rPr>
        <w:t xml:space="preserve">Material </w:t>
      </w:r>
      <w:r w:rsidR="00A0599A">
        <w:rPr>
          <w:rStyle w:val="apple-converted-space"/>
          <w:rFonts w:ascii="Times New Roman" w:hAnsi="Times New Roman" w:cs="Times New Roman"/>
          <w:b/>
          <w:color w:val="000000"/>
          <w:u w:val="single"/>
        </w:rPr>
        <w:t>Dispute o</w:t>
      </w:r>
      <w:r w:rsidR="00A0599A" w:rsidRPr="00F556CD">
        <w:rPr>
          <w:rStyle w:val="apple-converted-space"/>
          <w:rFonts w:ascii="Times New Roman" w:hAnsi="Times New Roman" w:cs="Times New Roman"/>
          <w:b/>
          <w:color w:val="000000"/>
          <w:u w:val="single"/>
        </w:rPr>
        <w:t>f Facts</w:t>
      </w:r>
    </w:p>
    <w:p w14:paraId="33435023" w14:textId="4AA1FEF4" w:rsidR="00DA304F" w:rsidRPr="0054452E" w:rsidRDefault="004D6268" w:rsidP="001C498A">
      <w:pPr>
        <w:pStyle w:val="s10"/>
        <w:numPr>
          <w:ilvl w:val="0"/>
          <w:numId w:val="12"/>
        </w:numPr>
        <w:spacing w:before="0" w:beforeAutospacing="0" w:after="0" w:afterAutospacing="0" w:line="360" w:lineRule="auto"/>
        <w:jc w:val="both"/>
        <w:rPr>
          <w:rStyle w:val="bumpedfont15"/>
          <w:color w:val="000000" w:themeColor="text1"/>
        </w:rPr>
      </w:pPr>
      <w:r w:rsidRPr="00F556CD">
        <w:rPr>
          <w:rStyle w:val="bumpedfont15"/>
          <w:color w:val="000000"/>
        </w:rPr>
        <w:t xml:space="preserve">Counsel for the first </w:t>
      </w:r>
      <w:r w:rsidR="00DA304F">
        <w:rPr>
          <w:rStyle w:val="bumpedfont15"/>
          <w:color w:val="000000"/>
        </w:rPr>
        <w:t>respondent</w:t>
      </w:r>
      <w:r w:rsidRPr="00F556CD">
        <w:rPr>
          <w:rStyle w:val="bumpedfont15"/>
          <w:color w:val="000000"/>
        </w:rPr>
        <w:t xml:space="preserve"> argued</w:t>
      </w:r>
      <w:r w:rsidR="009377E8" w:rsidRPr="00F556CD">
        <w:rPr>
          <w:rStyle w:val="bumpedfont15"/>
          <w:color w:val="000000"/>
        </w:rPr>
        <w:t xml:space="preserve"> that the matter</w:t>
      </w:r>
      <w:r w:rsidR="00395478" w:rsidRPr="00F556CD">
        <w:rPr>
          <w:rStyle w:val="bumpedfont15"/>
          <w:color w:val="000000"/>
        </w:rPr>
        <w:t xml:space="preserve"> revolves around </w:t>
      </w:r>
      <w:r w:rsidRPr="00F556CD">
        <w:rPr>
          <w:rStyle w:val="bumpedfont15"/>
          <w:color w:val="000000"/>
        </w:rPr>
        <w:t>the proper value of the</w:t>
      </w:r>
      <w:r w:rsidR="00571B97" w:rsidRPr="00F556CD">
        <w:rPr>
          <w:rStyle w:val="bumpedfont15"/>
          <w:color w:val="000000"/>
        </w:rPr>
        <w:t xml:space="preserve"> property.</w:t>
      </w:r>
      <w:r w:rsidR="00395478" w:rsidRPr="00F556CD">
        <w:rPr>
          <w:rStyle w:val="bumpedfont15"/>
          <w:color w:val="000000"/>
        </w:rPr>
        <w:t xml:space="preserve"> He submitted that at all times the first respondent had </w:t>
      </w:r>
      <w:r w:rsidR="00395478" w:rsidRPr="0054452E">
        <w:rPr>
          <w:rStyle w:val="bumpedfont15"/>
          <w:color w:val="000000" w:themeColor="text1"/>
        </w:rPr>
        <w:t xml:space="preserve">always believed that a price of </w:t>
      </w:r>
      <w:r w:rsidR="009E49C0">
        <w:rPr>
          <w:rStyle w:val="bumpedfont15"/>
          <w:color w:val="000000" w:themeColor="text1"/>
        </w:rPr>
        <w:t>USD</w:t>
      </w:r>
      <w:r w:rsidR="00216B3F">
        <w:rPr>
          <w:rStyle w:val="bumpedfont15"/>
          <w:color w:val="000000" w:themeColor="text1"/>
        </w:rPr>
        <w:t>$500 000</w:t>
      </w:r>
      <w:r w:rsidR="00395478" w:rsidRPr="0054452E">
        <w:rPr>
          <w:rStyle w:val="bumpedfont15"/>
          <w:color w:val="000000" w:themeColor="text1"/>
        </w:rPr>
        <w:t xml:space="preserve"> i</w:t>
      </w:r>
      <w:r w:rsidR="00D25E12" w:rsidRPr="0054452E">
        <w:rPr>
          <w:rStyle w:val="bumpedfont15"/>
          <w:color w:val="000000" w:themeColor="text1"/>
        </w:rPr>
        <w:t xml:space="preserve">s </w:t>
      </w:r>
      <w:r w:rsidR="00DA304F" w:rsidRPr="0054452E">
        <w:rPr>
          <w:rStyle w:val="bumpedfont15"/>
          <w:color w:val="000000" w:themeColor="text1"/>
        </w:rPr>
        <w:t>the</w:t>
      </w:r>
      <w:r w:rsidR="00D25E12" w:rsidRPr="0054452E">
        <w:rPr>
          <w:rStyle w:val="bumpedfont15"/>
          <w:color w:val="000000" w:themeColor="text1"/>
        </w:rPr>
        <w:t xml:space="preserve"> fair value</w:t>
      </w:r>
      <w:r w:rsidR="00DA304F" w:rsidRPr="0054452E">
        <w:rPr>
          <w:rStyle w:val="bumpedfont15"/>
          <w:color w:val="000000" w:themeColor="text1"/>
        </w:rPr>
        <w:t xml:space="preserve"> of the property. </w:t>
      </w:r>
      <w:r w:rsidR="00D25E12" w:rsidRPr="0054452E">
        <w:rPr>
          <w:rStyle w:val="bumpedfont15"/>
          <w:color w:val="000000" w:themeColor="text1"/>
        </w:rPr>
        <w:t xml:space="preserve"> </w:t>
      </w:r>
      <w:r w:rsidR="00DA304F" w:rsidRPr="0054452E">
        <w:rPr>
          <w:rStyle w:val="bumpedfont15"/>
          <w:color w:val="000000" w:themeColor="text1"/>
        </w:rPr>
        <w:t xml:space="preserve">The </w:t>
      </w:r>
      <w:r w:rsidR="00D25E12" w:rsidRPr="0054452E">
        <w:rPr>
          <w:rStyle w:val="bumpedfont15"/>
          <w:color w:val="000000" w:themeColor="text1"/>
        </w:rPr>
        <w:t>a</w:t>
      </w:r>
      <w:r w:rsidR="00395478" w:rsidRPr="0054452E">
        <w:rPr>
          <w:rStyle w:val="bumpedfont15"/>
          <w:color w:val="000000" w:themeColor="text1"/>
        </w:rPr>
        <w:t>pplicant</w:t>
      </w:r>
      <w:r w:rsidR="00395478" w:rsidRPr="0054452E">
        <w:rPr>
          <w:rStyle w:val="apple-converted-space"/>
          <w:color w:val="000000" w:themeColor="text1"/>
        </w:rPr>
        <w:t> </w:t>
      </w:r>
      <w:r w:rsidR="00395478" w:rsidRPr="0054452E">
        <w:rPr>
          <w:rStyle w:val="bumpedfont15"/>
          <w:color w:val="000000" w:themeColor="text1"/>
        </w:rPr>
        <w:t>well knowing firs</w:t>
      </w:r>
      <w:r w:rsidR="009377E8" w:rsidRPr="0054452E">
        <w:rPr>
          <w:rStyle w:val="bumpedfont15"/>
          <w:color w:val="000000" w:themeColor="text1"/>
        </w:rPr>
        <w:t>t r</w:t>
      </w:r>
      <w:r w:rsidR="00395478" w:rsidRPr="0054452E">
        <w:rPr>
          <w:rStyle w:val="bumpedfont15"/>
          <w:color w:val="000000" w:themeColor="text1"/>
        </w:rPr>
        <w:t>espondent’s position had in 2023 unilaterally sold the property for</w:t>
      </w:r>
      <w:r w:rsidR="009E49C0">
        <w:rPr>
          <w:rStyle w:val="bumpedfont15"/>
          <w:color w:val="000000" w:themeColor="text1"/>
        </w:rPr>
        <w:t xml:space="preserve"> USD</w:t>
      </w:r>
      <w:r w:rsidR="00216B3F">
        <w:rPr>
          <w:rStyle w:val="bumpedfont15"/>
          <w:color w:val="000000" w:themeColor="text1"/>
        </w:rPr>
        <w:t>$350 000.</w:t>
      </w:r>
      <w:r w:rsidR="00AC070A" w:rsidRPr="0054452E">
        <w:rPr>
          <w:rStyle w:val="bumpedfont15"/>
          <w:color w:val="000000" w:themeColor="text1"/>
        </w:rPr>
        <w:t xml:space="preserve"> </w:t>
      </w:r>
    </w:p>
    <w:p w14:paraId="3EBD7056" w14:textId="500FF1C5" w:rsidR="00571B97" w:rsidRPr="0054452E" w:rsidRDefault="00395478" w:rsidP="001C498A">
      <w:pPr>
        <w:pStyle w:val="s10"/>
        <w:numPr>
          <w:ilvl w:val="0"/>
          <w:numId w:val="12"/>
        </w:numPr>
        <w:spacing w:before="0" w:beforeAutospacing="0" w:after="0" w:afterAutospacing="0" w:line="360" w:lineRule="auto"/>
        <w:jc w:val="both"/>
        <w:rPr>
          <w:rStyle w:val="apple-converted-space"/>
          <w:color w:val="000000" w:themeColor="text1"/>
        </w:rPr>
      </w:pPr>
      <w:r w:rsidRPr="0054452E">
        <w:rPr>
          <w:rStyle w:val="bumpedfont15"/>
          <w:color w:val="000000" w:themeColor="text1"/>
        </w:rPr>
        <w:t xml:space="preserve">I asked counsel if he was addressing </w:t>
      </w:r>
      <w:r w:rsidR="00D36DD0" w:rsidRPr="0054452E">
        <w:rPr>
          <w:rStyle w:val="bumpedfont15"/>
          <w:color w:val="000000" w:themeColor="text1"/>
        </w:rPr>
        <w:t xml:space="preserve">me on the correct matter considering that the respondent had in 2010 requested </w:t>
      </w:r>
      <w:r w:rsidR="00D25E12" w:rsidRPr="0054452E">
        <w:rPr>
          <w:rStyle w:val="bumpedfont15"/>
          <w:color w:val="000000" w:themeColor="text1"/>
        </w:rPr>
        <w:t>Stohill,</w:t>
      </w:r>
      <w:r w:rsidR="00AC070A" w:rsidRPr="0054452E">
        <w:rPr>
          <w:rStyle w:val="bumpedfont15"/>
          <w:color w:val="000000" w:themeColor="text1"/>
        </w:rPr>
        <w:t xml:space="preserve"> </w:t>
      </w:r>
      <w:r w:rsidR="00D25E12" w:rsidRPr="0054452E">
        <w:rPr>
          <w:rStyle w:val="bumpedfont15"/>
          <w:color w:val="000000" w:themeColor="text1"/>
        </w:rPr>
        <w:t>her appointed agents</w:t>
      </w:r>
      <w:r w:rsidR="009377E8" w:rsidRPr="0054452E">
        <w:rPr>
          <w:rStyle w:val="bumpedfont15"/>
          <w:color w:val="000000" w:themeColor="text1"/>
        </w:rPr>
        <w:t xml:space="preserve"> to evaluate the property and the </w:t>
      </w:r>
      <w:r w:rsidR="00DA304F" w:rsidRPr="0054452E">
        <w:rPr>
          <w:rStyle w:val="bumpedfont15"/>
          <w:color w:val="000000" w:themeColor="text1"/>
        </w:rPr>
        <w:t>Estate A</w:t>
      </w:r>
      <w:r w:rsidR="009377E8" w:rsidRPr="0054452E">
        <w:rPr>
          <w:rStyle w:val="bumpedfont15"/>
          <w:color w:val="000000" w:themeColor="text1"/>
        </w:rPr>
        <w:t>gent</w:t>
      </w:r>
      <w:r w:rsidR="00DA304F" w:rsidRPr="0054452E">
        <w:rPr>
          <w:rStyle w:val="bumpedfont15"/>
          <w:color w:val="000000" w:themeColor="text1"/>
        </w:rPr>
        <w:t xml:space="preserve"> had</w:t>
      </w:r>
      <w:r w:rsidR="009377E8" w:rsidRPr="0054452E">
        <w:rPr>
          <w:rStyle w:val="bumpedfont15"/>
          <w:color w:val="000000" w:themeColor="text1"/>
        </w:rPr>
        <w:t xml:space="preserve"> pegged the value at USD</w:t>
      </w:r>
      <w:r w:rsidR="00AC070A" w:rsidRPr="0054452E">
        <w:rPr>
          <w:rStyle w:val="bumpedfont15"/>
          <w:color w:val="000000" w:themeColor="text1"/>
        </w:rPr>
        <w:t>$</w:t>
      </w:r>
      <w:r w:rsidR="009377E8" w:rsidRPr="0054452E">
        <w:rPr>
          <w:rStyle w:val="bumpedfont15"/>
          <w:color w:val="000000" w:themeColor="text1"/>
        </w:rPr>
        <w:t>160</w:t>
      </w:r>
      <w:r w:rsidR="00216B3F">
        <w:rPr>
          <w:rStyle w:val="bumpedfont15"/>
          <w:color w:val="000000" w:themeColor="text1"/>
        </w:rPr>
        <w:t xml:space="preserve"> </w:t>
      </w:r>
      <w:r w:rsidR="009377E8" w:rsidRPr="0054452E">
        <w:rPr>
          <w:rStyle w:val="bumpedfont15"/>
          <w:color w:val="000000" w:themeColor="text1"/>
        </w:rPr>
        <w:t>000</w:t>
      </w:r>
      <w:r w:rsidR="00D25E12" w:rsidRPr="0054452E">
        <w:rPr>
          <w:rStyle w:val="bumpedfont15"/>
          <w:color w:val="000000" w:themeColor="text1"/>
        </w:rPr>
        <w:t>.</w:t>
      </w:r>
      <w:r w:rsidRPr="0054452E">
        <w:rPr>
          <w:rStyle w:val="bumpedfont15"/>
          <w:color w:val="000000" w:themeColor="text1"/>
        </w:rPr>
        <w:t xml:space="preserve"> </w:t>
      </w:r>
      <w:r w:rsidR="009377E8" w:rsidRPr="0054452E">
        <w:rPr>
          <w:rStyle w:val="bumpedfont15"/>
          <w:color w:val="000000" w:themeColor="text1"/>
        </w:rPr>
        <w:t>I drew counsel’s</w:t>
      </w:r>
      <w:r w:rsidR="00D25E12" w:rsidRPr="0054452E">
        <w:rPr>
          <w:rStyle w:val="bumpedfont15"/>
          <w:color w:val="000000" w:themeColor="text1"/>
        </w:rPr>
        <w:t xml:space="preserve"> attention to annexure “D” on page 17 </w:t>
      </w:r>
      <w:r w:rsidR="00DA304F" w:rsidRPr="0054452E">
        <w:rPr>
          <w:rStyle w:val="bumpedfont15"/>
          <w:color w:val="000000" w:themeColor="text1"/>
        </w:rPr>
        <w:t xml:space="preserve">of the consolidated application </w:t>
      </w:r>
      <w:r w:rsidR="00D25E12" w:rsidRPr="0054452E">
        <w:rPr>
          <w:rStyle w:val="bumpedfont15"/>
          <w:color w:val="000000" w:themeColor="text1"/>
        </w:rPr>
        <w:t xml:space="preserve">where Stohill wrote a letter to the </w:t>
      </w:r>
      <w:r w:rsidR="008D6EE1" w:rsidRPr="0054452E">
        <w:rPr>
          <w:rStyle w:val="bumpedfont15"/>
          <w:color w:val="000000" w:themeColor="text1"/>
        </w:rPr>
        <w:t>M</w:t>
      </w:r>
      <w:r w:rsidR="00D25E12" w:rsidRPr="0054452E">
        <w:rPr>
          <w:rStyle w:val="bumpedfont15"/>
          <w:color w:val="000000" w:themeColor="text1"/>
        </w:rPr>
        <w:t xml:space="preserve">aster </w:t>
      </w:r>
      <w:r w:rsidR="009377E8" w:rsidRPr="0054452E">
        <w:rPr>
          <w:rStyle w:val="bumpedfont15"/>
          <w:color w:val="000000" w:themeColor="text1"/>
        </w:rPr>
        <w:t>of the High Court informing him</w:t>
      </w:r>
      <w:r w:rsidR="00D25E12" w:rsidRPr="0054452E">
        <w:rPr>
          <w:rStyle w:val="bumpedfont15"/>
          <w:color w:val="000000" w:themeColor="text1"/>
        </w:rPr>
        <w:t xml:space="preserve"> that they had valuated the property at a selling price of</w:t>
      </w:r>
      <w:r w:rsidR="009E49C0">
        <w:rPr>
          <w:rStyle w:val="bumpedfont15"/>
          <w:color w:val="000000" w:themeColor="text1"/>
        </w:rPr>
        <w:t xml:space="preserve"> USD</w:t>
      </w:r>
      <w:r w:rsidR="00216B3F">
        <w:rPr>
          <w:rStyle w:val="bumpedfont15"/>
          <w:color w:val="000000" w:themeColor="text1"/>
        </w:rPr>
        <w:t>$160 000.</w:t>
      </w:r>
      <w:r w:rsidR="00D25E12" w:rsidRPr="0054452E">
        <w:rPr>
          <w:rStyle w:val="bumpedfont15"/>
          <w:color w:val="000000" w:themeColor="text1"/>
        </w:rPr>
        <w:t xml:space="preserve"> Counsel </w:t>
      </w:r>
      <w:r w:rsidR="008D6EE1" w:rsidRPr="0054452E">
        <w:rPr>
          <w:rStyle w:val="bumpedfont15"/>
          <w:color w:val="000000" w:themeColor="text1"/>
        </w:rPr>
        <w:t>made an</w:t>
      </w:r>
      <w:r w:rsidR="00D25E12" w:rsidRPr="0054452E">
        <w:rPr>
          <w:rStyle w:val="bumpedfont15"/>
          <w:color w:val="000000" w:themeColor="text1"/>
        </w:rPr>
        <w:t xml:space="preserve"> about turn and</w:t>
      </w:r>
      <w:r w:rsidR="009377E8" w:rsidRPr="0054452E">
        <w:rPr>
          <w:rStyle w:val="bumpedfont15"/>
          <w:color w:val="000000" w:themeColor="text1"/>
        </w:rPr>
        <w:t xml:space="preserve"> </w:t>
      </w:r>
      <w:r w:rsidR="00607B09" w:rsidRPr="0054452E">
        <w:rPr>
          <w:rStyle w:val="bumpedfont15"/>
          <w:color w:val="000000" w:themeColor="text1"/>
        </w:rPr>
        <w:t xml:space="preserve">rephrased his </w:t>
      </w:r>
      <w:r w:rsidR="008D6EE1" w:rsidRPr="0054452E">
        <w:rPr>
          <w:rStyle w:val="bumpedfont15"/>
          <w:color w:val="000000" w:themeColor="text1"/>
        </w:rPr>
        <w:t>statement.</w:t>
      </w:r>
      <w:r w:rsidR="00AC070A" w:rsidRPr="0054452E">
        <w:rPr>
          <w:rStyle w:val="bumpedfont15"/>
          <w:color w:val="000000" w:themeColor="text1"/>
        </w:rPr>
        <w:t xml:space="preserve"> </w:t>
      </w:r>
      <w:r w:rsidR="009377E8" w:rsidRPr="0054452E">
        <w:rPr>
          <w:rStyle w:val="bumpedfont15"/>
          <w:color w:val="000000" w:themeColor="text1"/>
        </w:rPr>
        <w:t>He then said</w:t>
      </w:r>
      <w:r w:rsidR="00D25E12" w:rsidRPr="0054452E">
        <w:rPr>
          <w:rStyle w:val="bumpedfont15"/>
          <w:color w:val="000000" w:themeColor="text1"/>
        </w:rPr>
        <w:t xml:space="preserve"> that at all times the first respondent had always believed that a price of </w:t>
      </w:r>
      <w:r w:rsidR="009E49C0">
        <w:rPr>
          <w:rStyle w:val="bumpedfont15"/>
          <w:color w:val="000000" w:themeColor="text1"/>
        </w:rPr>
        <w:t>USD</w:t>
      </w:r>
      <w:r w:rsidR="00216B3F">
        <w:rPr>
          <w:rStyle w:val="bumpedfont15"/>
          <w:color w:val="000000" w:themeColor="text1"/>
        </w:rPr>
        <w:t>$500 000</w:t>
      </w:r>
      <w:r w:rsidR="00D25E12" w:rsidRPr="0054452E">
        <w:rPr>
          <w:rStyle w:val="bumpedfont15"/>
          <w:color w:val="000000" w:themeColor="text1"/>
        </w:rPr>
        <w:t xml:space="preserve"> would be a fair value</w:t>
      </w:r>
      <w:r w:rsidR="009377E8" w:rsidRPr="0054452E">
        <w:rPr>
          <w:rStyle w:val="bumpedfont15"/>
          <w:color w:val="000000" w:themeColor="text1"/>
        </w:rPr>
        <w:t>.</w:t>
      </w:r>
      <w:r w:rsidR="00AC070A" w:rsidRPr="0054452E">
        <w:rPr>
          <w:rStyle w:val="bumpedfont15"/>
          <w:color w:val="000000" w:themeColor="text1"/>
        </w:rPr>
        <w:t xml:space="preserve"> </w:t>
      </w:r>
      <w:r w:rsidR="009377E8" w:rsidRPr="0054452E">
        <w:rPr>
          <w:rStyle w:val="bumpedfont15"/>
          <w:color w:val="000000" w:themeColor="text1"/>
        </w:rPr>
        <w:t xml:space="preserve">He submitted that </w:t>
      </w:r>
      <w:r w:rsidR="00D25E12" w:rsidRPr="0054452E">
        <w:rPr>
          <w:rStyle w:val="bumpedfont15"/>
          <w:color w:val="000000" w:themeColor="text1"/>
        </w:rPr>
        <w:t xml:space="preserve">such variance in what first respondent believed to be a fair price and what </w:t>
      </w:r>
      <w:r w:rsidR="009377E8" w:rsidRPr="0054452E">
        <w:rPr>
          <w:rStyle w:val="bumpedfont15"/>
          <w:color w:val="000000" w:themeColor="text1"/>
        </w:rPr>
        <w:t>the a</w:t>
      </w:r>
      <w:r w:rsidR="00D25E12" w:rsidRPr="0054452E">
        <w:rPr>
          <w:rStyle w:val="bumpedfont15"/>
          <w:color w:val="000000" w:themeColor="text1"/>
        </w:rPr>
        <w:t xml:space="preserve">pplicant unilaterally sold the property for constitutes a variance which can </w:t>
      </w:r>
      <w:r w:rsidR="008D6EE1" w:rsidRPr="0054452E">
        <w:rPr>
          <w:rStyle w:val="bumpedfont15"/>
          <w:color w:val="000000" w:themeColor="text1"/>
        </w:rPr>
        <w:t>be termed</w:t>
      </w:r>
      <w:r w:rsidR="00D25E12" w:rsidRPr="0054452E">
        <w:rPr>
          <w:rStyle w:val="bumpedfont15"/>
          <w:color w:val="000000" w:themeColor="text1"/>
        </w:rPr>
        <w:t xml:space="preserve"> as a dispute of fact. For this reason</w:t>
      </w:r>
      <w:r w:rsidR="00AC070A" w:rsidRPr="0054452E">
        <w:rPr>
          <w:rStyle w:val="bumpedfont15"/>
          <w:color w:val="000000" w:themeColor="text1"/>
        </w:rPr>
        <w:t>,</w:t>
      </w:r>
      <w:r w:rsidR="00D25E12" w:rsidRPr="0054452E">
        <w:rPr>
          <w:rStyle w:val="bumpedfont15"/>
          <w:color w:val="000000" w:themeColor="text1"/>
        </w:rPr>
        <w:t xml:space="preserve"> counsel submitted that</w:t>
      </w:r>
      <w:r w:rsidR="00D25E12" w:rsidRPr="0054452E">
        <w:rPr>
          <w:rStyle w:val="apple-converted-space"/>
          <w:color w:val="000000" w:themeColor="text1"/>
        </w:rPr>
        <w:t> </w:t>
      </w:r>
      <w:r w:rsidR="00D25E12" w:rsidRPr="0054452E">
        <w:rPr>
          <w:color w:val="000000" w:themeColor="text1"/>
        </w:rPr>
        <w:t>w</w:t>
      </w:r>
      <w:r w:rsidR="00571B97" w:rsidRPr="0054452E">
        <w:rPr>
          <w:rStyle w:val="bumpedfont15"/>
          <w:color w:val="000000" w:themeColor="text1"/>
        </w:rPr>
        <w:t>here a dispute of fact is reasonably foreseeable</w:t>
      </w:r>
      <w:r w:rsidRPr="0054452E">
        <w:rPr>
          <w:rStyle w:val="bumpedfont15"/>
          <w:color w:val="000000" w:themeColor="text1"/>
        </w:rPr>
        <w:t xml:space="preserve"> the proper procedure</w:t>
      </w:r>
      <w:r w:rsidR="00571B97" w:rsidRPr="0054452E">
        <w:rPr>
          <w:rStyle w:val="bumpedfont15"/>
          <w:color w:val="000000" w:themeColor="text1"/>
        </w:rPr>
        <w:t xml:space="preserve"> </w:t>
      </w:r>
      <w:r w:rsidR="00D25E12" w:rsidRPr="0054452E">
        <w:rPr>
          <w:rStyle w:val="bumpedfont15"/>
          <w:color w:val="000000" w:themeColor="text1"/>
        </w:rPr>
        <w:t xml:space="preserve">is </w:t>
      </w:r>
      <w:r w:rsidR="00571B97" w:rsidRPr="0054452E">
        <w:rPr>
          <w:rStyle w:val="bumpedfont15"/>
          <w:color w:val="000000" w:themeColor="text1"/>
        </w:rPr>
        <w:t xml:space="preserve">to proceed by way of </w:t>
      </w:r>
      <w:r w:rsidR="008D6EE1" w:rsidRPr="0054452E">
        <w:rPr>
          <w:rStyle w:val="bumpedfont15"/>
          <w:color w:val="000000" w:themeColor="text1"/>
        </w:rPr>
        <w:t>action</w:t>
      </w:r>
      <w:r w:rsidR="009377E8" w:rsidRPr="0054452E">
        <w:rPr>
          <w:rStyle w:val="bumpedfont15"/>
          <w:color w:val="000000" w:themeColor="text1"/>
        </w:rPr>
        <w:t xml:space="preserve">. </w:t>
      </w:r>
      <w:r w:rsidR="008D6EE1" w:rsidRPr="0054452E">
        <w:rPr>
          <w:rStyle w:val="bumpedfont15"/>
          <w:color w:val="000000" w:themeColor="text1"/>
        </w:rPr>
        <w:t xml:space="preserve">As a result, so he argued, </w:t>
      </w:r>
      <w:r w:rsidR="009377E8" w:rsidRPr="0054452E">
        <w:rPr>
          <w:rStyle w:val="bumpedfont15"/>
          <w:color w:val="000000" w:themeColor="text1"/>
        </w:rPr>
        <w:t>t</w:t>
      </w:r>
      <w:r w:rsidR="00D25E12" w:rsidRPr="0054452E">
        <w:rPr>
          <w:rStyle w:val="bumpedfont15"/>
          <w:color w:val="000000" w:themeColor="text1"/>
        </w:rPr>
        <w:t xml:space="preserve">here is need for </w:t>
      </w:r>
      <w:r w:rsidR="008D6EE1" w:rsidRPr="0054452E">
        <w:rPr>
          <w:rStyle w:val="bumpedfont15"/>
          <w:color w:val="000000" w:themeColor="text1"/>
        </w:rPr>
        <w:t xml:space="preserve">the court to hear </w:t>
      </w:r>
      <w:r w:rsidR="00D25E12" w:rsidRPr="0054452E">
        <w:rPr>
          <w:rStyle w:val="bumpedfont15"/>
          <w:color w:val="000000" w:themeColor="text1"/>
        </w:rPr>
        <w:t>oral evidence showing how applicant</w:t>
      </w:r>
      <w:r w:rsidR="00571B97" w:rsidRPr="0054452E">
        <w:rPr>
          <w:rStyle w:val="bumpedfont15"/>
          <w:color w:val="000000" w:themeColor="text1"/>
        </w:rPr>
        <w:t xml:space="preserve"> arrived at </w:t>
      </w:r>
      <w:r w:rsidR="008D6EE1" w:rsidRPr="0054452E">
        <w:rPr>
          <w:rStyle w:val="bumpedfont15"/>
          <w:color w:val="000000" w:themeColor="text1"/>
        </w:rPr>
        <w:t>the</w:t>
      </w:r>
      <w:r w:rsidR="00571B97" w:rsidRPr="0054452E">
        <w:rPr>
          <w:rStyle w:val="bumpedfont15"/>
          <w:color w:val="000000" w:themeColor="text1"/>
        </w:rPr>
        <w:t xml:space="preserve"> figure of </w:t>
      </w:r>
      <w:r w:rsidR="009E49C0">
        <w:rPr>
          <w:rStyle w:val="bumpedfont15"/>
          <w:color w:val="000000" w:themeColor="text1"/>
        </w:rPr>
        <w:t>USD</w:t>
      </w:r>
      <w:r w:rsidR="00216B3F">
        <w:rPr>
          <w:rStyle w:val="bumpedfont15"/>
          <w:color w:val="000000" w:themeColor="text1"/>
        </w:rPr>
        <w:t>$350 000</w:t>
      </w:r>
      <w:r w:rsidR="00571B97" w:rsidRPr="0054452E">
        <w:rPr>
          <w:rStyle w:val="bumpedfont15"/>
          <w:color w:val="000000" w:themeColor="text1"/>
        </w:rPr>
        <w:t>.</w:t>
      </w:r>
      <w:r w:rsidR="008D6EE1" w:rsidRPr="0054452E">
        <w:rPr>
          <w:rStyle w:val="bumpedfont15"/>
          <w:color w:val="000000" w:themeColor="text1"/>
        </w:rPr>
        <w:t xml:space="preserve"> </w:t>
      </w:r>
      <w:r w:rsidR="00D25E12" w:rsidRPr="0054452E">
        <w:rPr>
          <w:rStyle w:val="bumpedfont15"/>
          <w:color w:val="000000" w:themeColor="text1"/>
        </w:rPr>
        <w:t xml:space="preserve">The applicant </w:t>
      </w:r>
      <w:r w:rsidR="009377E8" w:rsidRPr="0054452E">
        <w:rPr>
          <w:rStyle w:val="bumpedfont15"/>
          <w:color w:val="000000" w:themeColor="text1"/>
        </w:rPr>
        <w:t xml:space="preserve">on the other hand </w:t>
      </w:r>
      <w:r w:rsidR="00D25E12" w:rsidRPr="0054452E">
        <w:rPr>
          <w:rStyle w:val="bumpedfont15"/>
          <w:color w:val="000000" w:themeColor="text1"/>
        </w:rPr>
        <w:t>d</w:t>
      </w:r>
      <w:r w:rsidR="008D6EE1" w:rsidRPr="0054452E">
        <w:rPr>
          <w:rStyle w:val="bumpedfont15"/>
          <w:color w:val="000000" w:themeColor="text1"/>
        </w:rPr>
        <w:t>isp</w:t>
      </w:r>
      <w:r w:rsidR="0054452E" w:rsidRPr="0054452E">
        <w:rPr>
          <w:rStyle w:val="bumpedfont15"/>
          <w:color w:val="000000" w:themeColor="text1"/>
        </w:rPr>
        <w:t>ute the allegation that there a</w:t>
      </w:r>
      <w:r w:rsidR="008D6EE1" w:rsidRPr="0054452E">
        <w:rPr>
          <w:rStyle w:val="bumpedfont15"/>
          <w:color w:val="000000" w:themeColor="text1"/>
        </w:rPr>
        <w:t xml:space="preserve">re material disputes of fact. </w:t>
      </w:r>
    </w:p>
    <w:p w14:paraId="733CCCD9" w14:textId="5ACDC8A1" w:rsidR="00B50E9D" w:rsidRPr="0054452E" w:rsidRDefault="00B50E9D" w:rsidP="00B50E9D">
      <w:pPr>
        <w:pStyle w:val="ListParagraph"/>
        <w:numPr>
          <w:ilvl w:val="0"/>
          <w:numId w:val="12"/>
        </w:numPr>
        <w:spacing w:after="0" w:line="360" w:lineRule="auto"/>
        <w:jc w:val="both"/>
        <w:rPr>
          <w:rFonts w:ascii="Times New Roman" w:hAnsi="Times New Roman" w:cs="Times New Roman"/>
          <w:color w:val="000000" w:themeColor="text1"/>
        </w:rPr>
      </w:pPr>
      <w:r w:rsidRPr="0054452E">
        <w:rPr>
          <w:rFonts w:ascii="Times New Roman" w:hAnsi="Times New Roman" w:cs="Times New Roman"/>
          <w:color w:val="000000" w:themeColor="text1"/>
        </w:rPr>
        <w:t xml:space="preserve">In </w:t>
      </w:r>
      <w:r w:rsidR="00B53E8E" w:rsidRPr="0054452E">
        <w:rPr>
          <w:rFonts w:ascii="Times New Roman" w:hAnsi="Times New Roman" w:cs="Times New Roman"/>
          <w:color w:val="000000" w:themeColor="text1"/>
        </w:rPr>
        <w:t>explaining</w:t>
      </w:r>
      <w:r w:rsidRPr="0054452E">
        <w:rPr>
          <w:rFonts w:ascii="Times New Roman" w:hAnsi="Times New Roman" w:cs="Times New Roman"/>
          <w:color w:val="000000" w:themeColor="text1"/>
        </w:rPr>
        <w:t xml:space="preserve"> what constitutes a material dispute of fact, </w:t>
      </w:r>
      <w:r w:rsidRPr="0054452E">
        <w:rPr>
          <w:rFonts w:ascii="Times New Roman" w:hAnsi="Times New Roman" w:cs="Times New Roman"/>
          <w:smallCaps/>
          <w:color w:val="000000" w:themeColor="text1"/>
        </w:rPr>
        <w:t>Makarau J</w:t>
      </w:r>
      <w:r w:rsidRPr="0054452E">
        <w:rPr>
          <w:rFonts w:ascii="Times New Roman" w:hAnsi="Times New Roman" w:cs="Times New Roman"/>
          <w:color w:val="000000" w:themeColor="text1"/>
        </w:rPr>
        <w:t xml:space="preserve"> (as she then was) stated, in the case of </w:t>
      </w:r>
      <w:r w:rsidRPr="0054452E">
        <w:rPr>
          <w:rFonts w:ascii="Times New Roman" w:hAnsi="Times New Roman" w:cs="Times New Roman"/>
          <w:i/>
          <w:color w:val="000000" w:themeColor="text1"/>
        </w:rPr>
        <w:t xml:space="preserve">Supa Plant Investments (Pvt) Limited </w:t>
      </w:r>
      <w:r w:rsidRPr="0054452E">
        <w:rPr>
          <w:rFonts w:ascii="Times New Roman" w:hAnsi="Times New Roman" w:cs="Times New Roman"/>
          <w:color w:val="000000" w:themeColor="text1"/>
        </w:rPr>
        <w:t xml:space="preserve">v </w:t>
      </w:r>
      <w:r w:rsidRPr="0054452E">
        <w:rPr>
          <w:rFonts w:ascii="Times New Roman" w:hAnsi="Times New Roman" w:cs="Times New Roman"/>
          <w:i/>
          <w:color w:val="000000" w:themeColor="text1"/>
        </w:rPr>
        <w:t>Edgar Chidavaenzi</w:t>
      </w:r>
      <w:r w:rsidRPr="0054452E">
        <w:rPr>
          <w:rFonts w:ascii="Times New Roman" w:hAnsi="Times New Roman" w:cs="Times New Roman"/>
          <w:color w:val="000000" w:themeColor="text1"/>
        </w:rPr>
        <w:t xml:space="preserve"> HH 92/09 at p 4 </w:t>
      </w:r>
      <w:r w:rsidR="00B53E8E" w:rsidRPr="0054452E">
        <w:rPr>
          <w:rFonts w:ascii="Times New Roman" w:hAnsi="Times New Roman" w:cs="Times New Roman"/>
          <w:color w:val="000000" w:themeColor="text1"/>
        </w:rPr>
        <w:t xml:space="preserve">that: </w:t>
      </w:r>
    </w:p>
    <w:p w14:paraId="7E8B8874" w14:textId="25AEE348" w:rsidR="00B50E9D" w:rsidRPr="001C498A" w:rsidRDefault="00B50E9D" w:rsidP="00B53E8E">
      <w:pPr>
        <w:pStyle w:val="ListParagraph"/>
        <w:spacing w:after="0" w:line="240" w:lineRule="auto"/>
        <w:ind w:left="1440"/>
        <w:jc w:val="both"/>
        <w:rPr>
          <w:rFonts w:ascii="Times New Roman" w:hAnsi="Times New Roman" w:cs="Times New Roman"/>
          <w:color w:val="000000" w:themeColor="text1"/>
          <w:sz w:val="22"/>
          <w:szCs w:val="20"/>
        </w:rPr>
      </w:pPr>
      <w:r w:rsidRPr="001C498A">
        <w:rPr>
          <w:rFonts w:ascii="Times New Roman" w:hAnsi="Times New Roman" w:cs="Times New Roman"/>
          <w:color w:val="000000" w:themeColor="text1"/>
          <w:sz w:val="28"/>
        </w:rPr>
        <w:lastRenderedPageBreak/>
        <w:t xml:space="preserve"> </w:t>
      </w:r>
      <w:r w:rsidRPr="001C498A">
        <w:rPr>
          <w:rFonts w:ascii="Times New Roman" w:hAnsi="Times New Roman" w:cs="Times New Roman"/>
          <w:color w:val="000000" w:themeColor="text1"/>
          <w:sz w:val="22"/>
          <w:szCs w:val="20"/>
        </w:rPr>
        <w:t>“A material dispute of fact arises when such material facts put by the applicant are disputed</w:t>
      </w:r>
      <w:r w:rsidR="00B53E8E" w:rsidRPr="001C498A">
        <w:rPr>
          <w:rFonts w:ascii="Times New Roman" w:hAnsi="Times New Roman" w:cs="Times New Roman"/>
          <w:color w:val="000000" w:themeColor="text1"/>
          <w:sz w:val="22"/>
          <w:szCs w:val="20"/>
        </w:rPr>
        <w:t xml:space="preserve"> </w:t>
      </w:r>
      <w:r w:rsidRPr="001C498A">
        <w:rPr>
          <w:rFonts w:ascii="Times New Roman" w:hAnsi="Times New Roman" w:cs="Times New Roman"/>
          <w:color w:val="000000" w:themeColor="text1"/>
          <w:sz w:val="22"/>
          <w:szCs w:val="20"/>
        </w:rPr>
        <w:t>and traversed by the respondent in such a manner as to leave the court with no ready answer to the dispute between the parties in the absence of further evidence.”</w:t>
      </w:r>
    </w:p>
    <w:p w14:paraId="05E1CCD6" w14:textId="77777777" w:rsidR="0054452E" w:rsidRPr="0054452E" w:rsidRDefault="0054452E" w:rsidP="00B53E8E">
      <w:pPr>
        <w:pStyle w:val="ListParagraph"/>
        <w:spacing w:after="0" w:line="240" w:lineRule="auto"/>
        <w:ind w:left="1440"/>
        <w:jc w:val="both"/>
        <w:rPr>
          <w:rFonts w:ascii="Times New Roman" w:hAnsi="Times New Roman" w:cs="Times New Roman"/>
          <w:color w:val="000000" w:themeColor="text1"/>
          <w:sz w:val="20"/>
          <w:szCs w:val="20"/>
        </w:rPr>
      </w:pPr>
    </w:p>
    <w:p w14:paraId="733D2E69" w14:textId="5628D5AB" w:rsidR="009556BC" w:rsidRPr="0054452E" w:rsidRDefault="00B53E8E" w:rsidP="004E7E82">
      <w:pPr>
        <w:pStyle w:val="ListParagraph"/>
        <w:numPr>
          <w:ilvl w:val="0"/>
          <w:numId w:val="12"/>
        </w:numPr>
        <w:spacing w:after="240" w:line="360" w:lineRule="auto"/>
        <w:jc w:val="both"/>
        <w:rPr>
          <w:color w:val="000000" w:themeColor="text1"/>
        </w:rPr>
      </w:pPr>
      <w:r w:rsidRPr="0054452E">
        <w:rPr>
          <w:rFonts w:ascii="Times New Roman" w:hAnsi="Times New Roman" w:cs="Times New Roman"/>
          <w:color w:val="000000" w:themeColor="text1"/>
        </w:rPr>
        <w:t xml:space="preserve">When determining the presence or otherwise of material disputes of fact there are safeguards and guiding principles which the courts have designed. It is not therefore the mere claim that there is a dispute of fact which will hamstring a court from determining an application on the papers.  The central issue is whether or not there indeed is a dispute of fact whose determination is necessary for the disposition of the issues before the court. See </w:t>
      </w:r>
      <w:r w:rsidRPr="0054452E">
        <w:rPr>
          <w:rFonts w:ascii="Times New Roman" w:hAnsi="Times New Roman" w:cs="Times New Roman"/>
          <w:i/>
          <w:color w:val="000000" w:themeColor="text1"/>
        </w:rPr>
        <w:t xml:space="preserve">Da Mata </w:t>
      </w:r>
      <w:r w:rsidRPr="001C498A">
        <w:rPr>
          <w:rFonts w:ascii="Times New Roman" w:hAnsi="Times New Roman" w:cs="Times New Roman"/>
          <w:color w:val="000000" w:themeColor="text1"/>
        </w:rPr>
        <w:t xml:space="preserve">v </w:t>
      </w:r>
      <w:r w:rsidRPr="0054452E">
        <w:rPr>
          <w:rFonts w:ascii="Times New Roman" w:hAnsi="Times New Roman" w:cs="Times New Roman"/>
          <w:i/>
          <w:color w:val="000000" w:themeColor="text1"/>
        </w:rPr>
        <w:t>Otto N.O</w:t>
      </w:r>
      <w:r w:rsidRPr="0054452E">
        <w:rPr>
          <w:rFonts w:ascii="Times New Roman" w:hAnsi="Times New Roman" w:cs="Times New Roman"/>
          <w:color w:val="000000" w:themeColor="text1"/>
        </w:rPr>
        <w:t xml:space="preserve">, 1972 (3) SA 858 (A).  </w:t>
      </w:r>
      <w:r w:rsidR="001C498A" w:rsidRPr="0054452E">
        <w:rPr>
          <w:rFonts w:ascii="Times New Roman" w:hAnsi="Times New Roman" w:cs="Times New Roman"/>
          <w:color w:val="000000" w:themeColor="text1"/>
        </w:rPr>
        <w:t>Where</w:t>
      </w:r>
      <w:r w:rsidRPr="0054452E">
        <w:rPr>
          <w:rFonts w:ascii="Times New Roman" w:hAnsi="Times New Roman" w:cs="Times New Roman"/>
          <w:color w:val="000000" w:themeColor="text1"/>
        </w:rPr>
        <w:t xml:space="preserve"> such is, the court is </w:t>
      </w:r>
      <w:r w:rsidR="009556BC" w:rsidRPr="0054452E">
        <w:rPr>
          <w:rFonts w:ascii="Times New Roman" w:hAnsi="Times New Roman" w:cs="Times New Roman"/>
          <w:color w:val="000000" w:themeColor="text1"/>
        </w:rPr>
        <w:t>usually</w:t>
      </w:r>
      <w:r w:rsidRPr="0054452E">
        <w:rPr>
          <w:rFonts w:ascii="Times New Roman" w:hAnsi="Times New Roman" w:cs="Times New Roman"/>
          <w:color w:val="000000" w:themeColor="text1"/>
        </w:rPr>
        <w:t xml:space="preserve"> dissuaded from determining the matter without calling oral </w:t>
      </w:r>
      <w:r w:rsidR="009556BC" w:rsidRPr="0054452E">
        <w:rPr>
          <w:rFonts w:ascii="Times New Roman" w:hAnsi="Times New Roman" w:cs="Times New Roman"/>
          <w:color w:val="000000" w:themeColor="text1"/>
        </w:rPr>
        <w:t>evidence</w:t>
      </w:r>
      <w:r w:rsidRPr="0054452E">
        <w:rPr>
          <w:rFonts w:ascii="Times New Roman" w:hAnsi="Times New Roman" w:cs="Times New Roman"/>
          <w:color w:val="000000" w:themeColor="text1"/>
        </w:rPr>
        <w:t xml:space="preserve">. </w:t>
      </w:r>
      <w:r w:rsidR="009556BC" w:rsidRPr="0054452E">
        <w:rPr>
          <w:rFonts w:ascii="Times New Roman" w:hAnsi="Times New Roman" w:cs="Times New Roman"/>
          <w:color w:val="000000" w:themeColor="text1"/>
        </w:rPr>
        <w:t xml:space="preserve">In such instances it is inadvisable to reach a determination on the basis of probabilities which appear from affidavits contradicting each other.  The respondent’s affidavit must clearly demonstrate bona fide material disputes fact which can only be resolved through the leading of oral testimonies. </w:t>
      </w:r>
    </w:p>
    <w:p w14:paraId="1A761842" w14:textId="69B02640" w:rsidR="00A24C5D" w:rsidRPr="0054452E" w:rsidRDefault="009556BC" w:rsidP="004E7E82">
      <w:pPr>
        <w:pStyle w:val="ListParagraph"/>
        <w:numPr>
          <w:ilvl w:val="0"/>
          <w:numId w:val="12"/>
        </w:numPr>
        <w:spacing w:after="240" w:line="360" w:lineRule="auto"/>
        <w:jc w:val="both"/>
        <w:rPr>
          <w:color w:val="000000" w:themeColor="text1"/>
        </w:rPr>
      </w:pPr>
      <w:r w:rsidRPr="0054452E">
        <w:rPr>
          <w:rFonts w:ascii="Times New Roman" w:hAnsi="Times New Roman" w:cs="Times New Roman"/>
          <w:color w:val="000000" w:themeColor="text1"/>
        </w:rPr>
        <w:t>In this case, the respondents’’ argument is that the disputed issue is the value of the property. But if regard is had to the papers before me, the value of the property is not the subject matter of this application.</w:t>
      </w:r>
      <w:r w:rsidR="00571B97" w:rsidRPr="0054452E">
        <w:rPr>
          <w:rFonts w:ascii="Times New Roman" w:hAnsi="Times New Roman" w:cs="Times New Roman"/>
          <w:color w:val="000000" w:themeColor="text1"/>
        </w:rPr>
        <w:t> There is a valuation which w</w:t>
      </w:r>
      <w:r w:rsidR="006C3C55" w:rsidRPr="0054452E">
        <w:rPr>
          <w:rFonts w:ascii="Times New Roman" w:hAnsi="Times New Roman" w:cs="Times New Roman"/>
          <w:color w:val="000000" w:themeColor="text1"/>
        </w:rPr>
        <w:t xml:space="preserve">as done for the master in 2010 </w:t>
      </w:r>
      <w:r w:rsidRPr="0054452E">
        <w:rPr>
          <w:rFonts w:ascii="Times New Roman" w:hAnsi="Times New Roman" w:cs="Times New Roman"/>
          <w:color w:val="000000" w:themeColor="text1"/>
        </w:rPr>
        <w:t>which</w:t>
      </w:r>
      <w:r w:rsidR="006C3C55" w:rsidRPr="0054452E">
        <w:rPr>
          <w:rFonts w:ascii="Times New Roman" w:hAnsi="Times New Roman" w:cs="Times New Roman"/>
          <w:color w:val="000000" w:themeColor="text1"/>
        </w:rPr>
        <w:t xml:space="preserve"> </w:t>
      </w:r>
      <w:r w:rsidR="00571B97" w:rsidRPr="0054452E">
        <w:rPr>
          <w:rFonts w:ascii="Times New Roman" w:hAnsi="Times New Roman" w:cs="Times New Roman"/>
          <w:color w:val="000000" w:themeColor="text1"/>
        </w:rPr>
        <w:t>fi</w:t>
      </w:r>
      <w:r w:rsidR="006C3C55" w:rsidRPr="0054452E">
        <w:rPr>
          <w:rFonts w:ascii="Times New Roman" w:hAnsi="Times New Roman" w:cs="Times New Roman"/>
          <w:color w:val="000000" w:themeColor="text1"/>
        </w:rPr>
        <w:t xml:space="preserve">xes </w:t>
      </w:r>
      <w:r w:rsidR="00571B97" w:rsidRPr="0054452E">
        <w:rPr>
          <w:rFonts w:ascii="Times New Roman" w:hAnsi="Times New Roman" w:cs="Times New Roman"/>
          <w:color w:val="000000" w:themeColor="text1"/>
        </w:rPr>
        <w:t>the value of the property</w:t>
      </w:r>
      <w:r w:rsidR="006C3C55" w:rsidRPr="0054452E">
        <w:rPr>
          <w:rFonts w:ascii="Times New Roman" w:hAnsi="Times New Roman" w:cs="Times New Roman"/>
          <w:color w:val="000000" w:themeColor="text1"/>
        </w:rPr>
        <w:t xml:space="preserve"> at </w:t>
      </w:r>
      <w:r w:rsidRPr="0054452E">
        <w:rPr>
          <w:rFonts w:ascii="Times New Roman" w:hAnsi="Times New Roman" w:cs="Times New Roman"/>
          <w:color w:val="000000" w:themeColor="text1"/>
        </w:rPr>
        <w:t>USD</w:t>
      </w:r>
      <w:r w:rsidR="006C3C55" w:rsidRPr="0054452E">
        <w:rPr>
          <w:rFonts w:ascii="Times New Roman" w:hAnsi="Times New Roman" w:cs="Times New Roman"/>
          <w:color w:val="000000" w:themeColor="text1"/>
        </w:rPr>
        <w:t>$160 000.</w:t>
      </w:r>
      <w:r w:rsidR="00515A6B" w:rsidRPr="0054452E">
        <w:rPr>
          <w:rFonts w:ascii="Times New Roman" w:hAnsi="Times New Roman" w:cs="Times New Roman"/>
          <w:color w:val="000000" w:themeColor="text1"/>
        </w:rPr>
        <w:t xml:space="preserve"> The property was </w:t>
      </w:r>
      <w:r w:rsidRPr="0054452E">
        <w:rPr>
          <w:rFonts w:ascii="Times New Roman" w:hAnsi="Times New Roman" w:cs="Times New Roman"/>
          <w:color w:val="000000" w:themeColor="text1"/>
        </w:rPr>
        <w:t xml:space="preserve">again valuated </w:t>
      </w:r>
      <w:r w:rsidR="00571B97" w:rsidRPr="0054452E">
        <w:rPr>
          <w:rFonts w:ascii="Times New Roman" w:hAnsi="Times New Roman" w:cs="Times New Roman"/>
          <w:color w:val="000000" w:themeColor="text1"/>
        </w:rPr>
        <w:t xml:space="preserve">in 2023, </w:t>
      </w:r>
      <w:r w:rsidR="00515A6B" w:rsidRPr="0054452E">
        <w:rPr>
          <w:rFonts w:ascii="Times New Roman" w:hAnsi="Times New Roman" w:cs="Times New Roman"/>
          <w:color w:val="000000" w:themeColor="text1"/>
        </w:rPr>
        <w:t>for USD</w:t>
      </w:r>
      <w:r w:rsidR="006F2950" w:rsidRPr="0054452E">
        <w:rPr>
          <w:rFonts w:ascii="Times New Roman" w:hAnsi="Times New Roman" w:cs="Times New Roman"/>
          <w:color w:val="000000" w:themeColor="text1"/>
        </w:rPr>
        <w:t>$</w:t>
      </w:r>
      <w:r w:rsidR="00515A6B" w:rsidRPr="0054452E">
        <w:rPr>
          <w:rFonts w:ascii="Times New Roman" w:hAnsi="Times New Roman" w:cs="Times New Roman"/>
          <w:color w:val="000000" w:themeColor="text1"/>
        </w:rPr>
        <w:t>350 000</w:t>
      </w:r>
      <w:r w:rsidR="001C498A">
        <w:rPr>
          <w:rFonts w:ascii="Times New Roman" w:hAnsi="Times New Roman" w:cs="Times New Roman"/>
          <w:color w:val="000000" w:themeColor="text1"/>
        </w:rPr>
        <w:t xml:space="preserve">. </w:t>
      </w:r>
      <w:r w:rsidR="00A24C5D" w:rsidRPr="0054452E">
        <w:rPr>
          <w:rFonts w:ascii="Times New Roman" w:hAnsi="Times New Roman" w:cs="Times New Roman"/>
          <w:color w:val="000000" w:themeColor="text1"/>
        </w:rPr>
        <w:t xml:space="preserve">The present application is for the upliftment of a caveat placed on the property pending the determination of the matrimonial dispute between the parties. The caveat was not placed on the property in perpetuity. I will return to deal with the specifications regarding the property in issue as stated in the order of this court at the time that the decree of divorce was granted. </w:t>
      </w:r>
    </w:p>
    <w:p w14:paraId="10393CCE" w14:textId="3242B4FC" w:rsidR="00571B97" w:rsidRPr="0054452E" w:rsidRDefault="00A24C5D" w:rsidP="001C498A">
      <w:pPr>
        <w:pStyle w:val="ListParagraph"/>
        <w:numPr>
          <w:ilvl w:val="0"/>
          <w:numId w:val="12"/>
        </w:numPr>
        <w:spacing w:after="0" w:line="360" w:lineRule="auto"/>
        <w:jc w:val="both"/>
        <w:rPr>
          <w:rFonts w:ascii="Times New Roman" w:hAnsi="Times New Roman" w:cs="Times New Roman"/>
          <w:color w:val="000000" w:themeColor="text1"/>
        </w:rPr>
      </w:pPr>
      <w:r w:rsidRPr="0054452E">
        <w:rPr>
          <w:rFonts w:ascii="Times New Roman" w:hAnsi="Times New Roman" w:cs="Times New Roman"/>
          <w:color w:val="000000" w:themeColor="text1"/>
        </w:rPr>
        <w:t xml:space="preserve">I may also add that, </w:t>
      </w:r>
      <w:r w:rsidR="00571B97" w:rsidRPr="0054452E">
        <w:rPr>
          <w:rFonts w:ascii="Times New Roman" w:hAnsi="Times New Roman" w:cs="Times New Roman"/>
          <w:color w:val="000000" w:themeColor="text1"/>
        </w:rPr>
        <w:t>Tembani Gomo</w:t>
      </w:r>
      <w:r w:rsidR="006F2950" w:rsidRPr="0054452E">
        <w:rPr>
          <w:rFonts w:ascii="Times New Roman" w:hAnsi="Times New Roman" w:cs="Times New Roman"/>
          <w:color w:val="000000" w:themeColor="text1"/>
        </w:rPr>
        <w:t>,</w:t>
      </w:r>
      <w:r w:rsidR="00571B97" w:rsidRPr="0054452E">
        <w:rPr>
          <w:rFonts w:ascii="Times New Roman" w:hAnsi="Times New Roman" w:cs="Times New Roman"/>
          <w:color w:val="000000" w:themeColor="text1"/>
        </w:rPr>
        <w:t xml:space="preserve"> </w:t>
      </w:r>
      <w:r w:rsidR="0021633E" w:rsidRPr="0054452E">
        <w:rPr>
          <w:rFonts w:ascii="Times New Roman" w:hAnsi="Times New Roman" w:cs="Times New Roman"/>
          <w:color w:val="000000" w:themeColor="text1"/>
        </w:rPr>
        <w:t>a lawyer who was</w:t>
      </w:r>
      <w:r w:rsidR="00571B97" w:rsidRPr="0054452E">
        <w:rPr>
          <w:rFonts w:ascii="Times New Roman" w:hAnsi="Times New Roman" w:cs="Times New Roman"/>
          <w:color w:val="000000" w:themeColor="text1"/>
        </w:rPr>
        <w:t xml:space="preserve"> acting for the first respondent</w:t>
      </w:r>
      <w:r w:rsidR="006F2950" w:rsidRPr="0054452E">
        <w:rPr>
          <w:rFonts w:ascii="Times New Roman" w:hAnsi="Times New Roman" w:cs="Times New Roman"/>
          <w:color w:val="000000" w:themeColor="text1"/>
        </w:rPr>
        <w:t>,</w:t>
      </w:r>
      <w:r w:rsidR="0021633E" w:rsidRPr="0054452E">
        <w:rPr>
          <w:rFonts w:ascii="Times New Roman" w:hAnsi="Times New Roman" w:cs="Times New Roman"/>
          <w:color w:val="000000" w:themeColor="text1"/>
        </w:rPr>
        <w:t xml:space="preserve"> </w:t>
      </w:r>
      <w:r w:rsidRPr="0054452E">
        <w:rPr>
          <w:rFonts w:ascii="Times New Roman" w:hAnsi="Times New Roman" w:cs="Times New Roman"/>
          <w:color w:val="000000" w:themeColor="text1"/>
        </w:rPr>
        <w:t>at the time the property was sold, authored correspondence after</w:t>
      </w:r>
      <w:r w:rsidR="0021633E" w:rsidRPr="0054452E">
        <w:rPr>
          <w:rFonts w:ascii="Times New Roman" w:hAnsi="Times New Roman" w:cs="Times New Roman"/>
          <w:color w:val="000000" w:themeColor="text1"/>
        </w:rPr>
        <w:t xml:space="preserve"> the sale in </w:t>
      </w:r>
      <w:r w:rsidRPr="0054452E">
        <w:rPr>
          <w:rFonts w:ascii="Times New Roman" w:hAnsi="Times New Roman" w:cs="Times New Roman"/>
          <w:color w:val="000000" w:themeColor="text1"/>
        </w:rPr>
        <w:t>which he</w:t>
      </w:r>
      <w:r w:rsidR="00571B97" w:rsidRPr="0054452E">
        <w:rPr>
          <w:rFonts w:ascii="Times New Roman" w:hAnsi="Times New Roman" w:cs="Times New Roman"/>
          <w:color w:val="000000" w:themeColor="text1"/>
        </w:rPr>
        <w:t xml:space="preserve"> acknowledge</w:t>
      </w:r>
      <w:r w:rsidR="009377E8" w:rsidRPr="0054452E">
        <w:rPr>
          <w:rFonts w:ascii="Times New Roman" w:hAnsi="Times New Roman" w:cs="Times New Roman"/>
          <w:color w:val="000000" w:themeColor="text1"/>
        </w:rPr>
        <w:t>d</w:t>
      </w:r>
      <w:r w:rsidR="00571B97" w:rsidRPr="0054452E">
        <w:rPr>
          <w:rFonts w:ascii="Times New Roman" w:hAnsi="Times New Roman" w:cs="Times New Roman"/>
          <w:color w:val="000000" w:themeColor="text1"/>
        </w:rPr>
        <w:t xml:space="preserve"> that the pro</w:t>
      </w:r>
      <w:r w:rsidR="009377E8" w:rsidRPr="0054452E">
        <w:rPr>
          <w:rFonts w:ascii="Times New Roman" w:hAnsi="Times New Roman" w:cs="Times New Roman"/>
          <w:color w:val="000000" w:themeColor="text1"/>
        </w:rPr>
        <w:t>perty had been sold by Stohill</w:t>
      </w:r>
      <w:r w:rsidR="0021633E" w:rsidRPr="0054452E">
        <w:rPr>
          <w:rFonts w:ascii="Times New Roman" w:hAnsi="Times New Roman" w:cs="Times New Roman"/>
          <w:color w:val="000000" w:themeColor="text1"/>
        </w:rPr>
        <w:t> agent.</w:t>
      </w:r>
      <w:r w:rsidR="00082B4C" w:rsidRPr="0054452E">
        <w:rPr>
          <w:rFonts w:ascii="Times New Roman" w:hAnsi="Times New Roman" w:cs="Times New Roman"/>
          <w:color w:val="000000" w:themeColor="text1"/>
        </w:rPr>
        <w:t xml:space="preserve"> </w:t>
      </w:r>
      <w:r w:rsidR="009377E8" w:rsidRPr="0054452E">
        <w:rPr>
          <w:rFonts w:ascii="Times New Roman" w:hAnsi="Times New Roman" w:cs="Times New Roman"/>
          <w:color w:val="000000" w:themeColor="text1"/>
        </w:rPr>
        <w:t>T</w:t>
      </w:r>
      <w:r w:rsidRPr="0054452E">
        <w:rPr>
          <w:rFonts w:ascii="Times New Roman" w:hAnsi="Times New Roman" w:cs="Times New Roman"/>
          <w:color w:val="000000" w:themeColor="text1"/>
        </w:rPr>
        <w:t>hat letter was</w:t>
      </w:r>
      <w:r w:rsidR="009377E8" w:rsidRPr="0054452E">
        <w:rPr>
          <w:rFonts w:ascii="Times New Roman" w:hAnsi="Times New Roman" w:cs="Times New Roman"/>
          <w:color w:val="000000" w:themeColor="text1"/>
        </w:rPr>
        <w:t xml:space="preserve"> copied to Sto</w:t>
      </w:r>
      <w:r w:rsidR="004E583E" w:rsidRPr="0054452E">
        <w:rPr>
          <w:rFonts w:ascii="Times New Roman" w:hAnsi="Times New Roman" w:cs="Times New Roman"/>
          <w:color w:val="000000" w:themeColor="text1"/>
        </w:rPr>
        <w:t>hill Properties</w:t>
      </w:r>
      <w:r w:rsidRPr="0054452E">
        <w:rPr>
          <w:rFonts w:ascii="Times New Roman" w:hAnsi="Times New Roman" w:cs="Times New Roman"/>
          <w:color w:val="000000" w:themeColor="text1"/>
        </w:rPr>
        <w:t xml:space="preserve">, </w:t>
      </w:r>
      <w:r w:rsidR="00571B97" w:rsidRPr="0054452E">
        <w:rPr>
          <w:rFonts w:ascii="Times New Roman" w:hAnsi="Times New Roman" w:cs="Times New Roman"/>
          <w:color w:val="000000" w:themeColor="text1"/>
        </w:rPr>
        <w:t>an agent wh</w:t>
      </w:r>
      <w:r w:rsidRPr="0054452E">
        <w:rPr>
          <w:rFonts w:ascii="Times New Roman" w:hAnsi="Times New Roman" w:cs="Times New Roman"/>
          <w:color w:val="000000" w:themeColor="text1"/>
        </w:rPr>
        <w:t>ich</w:t>
      </w:r>
      <w:r w:rsidR="00571B97" w:rsidRPr="0054452E">
        <w:rPr>
          <w:rFonts w:ascii="Times New Roman" w:hAnsi="Times New Roman" w:cs="Times New Roman"/>
          <w:color w:val="000000" w:themeColor="text1"/>
        </w:rPr>
        <w:t xml:space="preserve"> had been appointed by the first respondent.</w:t>
      </w:r>
      <w:r w:rsidR="009377E8" w:rsidRPr="0054452E">
        <w:rPr>
          <w:rFonts w:ascii="Times New Roman" w:hAnsi="Times New Roman" w:cs="Times New Roman"/>
          <w:color w:val="000000" w:themeColor="text1"/>
        </w:rPr>
        <w:t xml:space="preserve"> </w:t>
      </w:r>
      <w:r w:rsidRPr="0054452E">
        <w:rPr>
          <w:rFonts w:ascii="Times New Roman" w:hAnsi="Times New Roman" w:cs="Times New Roman"/>
          <w:color w:val="000000" w:themeColor="text1"/>
        </w:rPr>
        <w:t xml:space="preserve">As shown in annexure “D” </w:t>
      </w:r>
      <w:r w:rsidR="009377E8" w:rsidRPr="0054452E">
        <w:rPr>
          <w:rFonts w:ascii="Times New Roman" w:hAnsi="Times New Roman" w:cs="Times New Roman"/>
          <w:color w:val="000000" w:themeColor="text1"/>
        </w:rPr>
        <w:t>Sto</w:t>
      </w:r>
      <w:r w:rsidR="004E583E" w:rsidRPr="0054452E">
        <w:rPr>
          <w:rFonts w:ascii="Times New Roman" w:hAnsi="Times New Roman" w:cs="Times New Roman"/>
          <w:color w:val="000000" w:themeColor="text1"/>
        </w:rPr>
        <w:t xml:space="preserve">hill </w:t>
      </w:r>
      <w:r w:rsidRPr="0054452E">
        <w:rPr>
          <w:rFonts w:ascii="Times New Roman" w:hAnsi="Times New Roman" w:cs="Times New Roman"/>
          <w:color w:val="000000" w:themeColor="text1"/>
        </w:rPr>
        <w:t>clearly indicated that they had been given the mandate to sell the pr</w:t>
      </w:r>
      <w:r w:rsidR="001C498A">
        <w:rPr>
          <w:rFonts w:ascii="Times New Roman" w:hAnsi="Times New Roman" w:cs="Times New Roman"/>
          <w:color w:val="000000" w:themeColor="text1"/>
        </w:rPr>
        <w:t xml:space="preserve">operty by the first respondent. </w:t>
      </w:r>
      <w:r w:rsidRPr="0054452E">
        <w:rPr>
          <w:rFonts w:ascii="Times New Roman" w:hAnsi="Times New Roman" w:cs="Times New Roman"/>
          <w:color w:val="000000" w:themeColor="text1"/>
        </w:rPr>
        <w:t xml:space="preserve">It was them who accepted </w:t>
      </w:r>
      <w:r w:rsidR="00571B97" w:rsidRPr="0054452E">
        <w:rPr>
          <w:rFonts w:ascii="Times New Roman" w:hAnsi="Times New Roman" w:cs="Times New Roman"/>
          <w:color w:val="000000" w:themeColor="text1"/>
        </w:rPr>
        <w:t>the</w:t>
      </w:r>
      <w:r w:rsidR="009377E8" w:rsidRPr="0054452E">
        <w:rPr>
          <w:rFonts w:ascii="Times New Roman" w:hAnsi="Times New Roman" w:cs="Times New Roman"/>
          <w:color w:val="000000" w:themeColor="text1"/>
        </w:rPr>
        <w:t xml:space="preserve"> offer from the purchaser </w:t>
      </w:r>
      <w:r w:rsidRPr="0054452E">
        <w:rPr>
          <w:rFonts w:ascii="Times New Roman" w:hAnsi="Times New Roman" w:cs="Times New Roman"/>
          <w:color w:val="000000" w:themeColor="text1"/>
        </w:rPr>
        <w:t xml:space="preserve">resulting in the property being sold </w:t>
      </w:r>
      <w:r w:rsidR="004E583E" w:rsidRPr="0054452E">
        <w:rPr>
          <w:rFonts w:ascii="Times New Roman" w:hAnsi="Times New Roman" w:cs="Times New Roman"/>
          <w:color w:val="000000" w:themeColor="text1"/>
        </w:rPr>
        <w:t xml:space="preserve">for </w:t>
      </w:r>
      <w:r w:rsidRPr="0054452E">
        <w:rPr>
          <w:rFonts w:ascii="Times New Roman" w:hAnsi="Times New Roman" w:cs="Times New Roman"/>
          <w:color w:val="000000" w:themeColor="text1"/>
        </w:rPr>
        <w:t>USD</w:t>
      </w:r>
      <w:r w:rsidR="00216B3F">
        <w:rPr>
          <w:rFonts w:ascii="Times New Roman" w:hAnsi="Times New Roman" w:cs="Times New Roman"/>
          <w:color w:val="000000" w:themeColor="text1"/>
        </w:rPr>
        <w:t>$350 000</w:t>
      </w:r>
      <w:r w:rsidR="006F2950" w:rsidRPr="0054452E">
        <w:rPr>
          <w:rFonts w:ascii="Times New Roman" w:hAnsi="Times New Roman" w:cs="Times New Roman"/>
          <w:color w:val="000000" w:themeColor="text1"/>
        </w:rPr>
        <w:t xml:space="preserve">, </w:t>
      </w:r>
      <w:r w:rsidRPr="0054452E">
        <w:rPr>
          <w:rFonts w:ascii="Times New Roman" w:hAnsi="Times New Roman" w:cs="Times New Roman"/>
          <w:color w:val="000000" w:themeColor="text1"/>
        </w:rPr>
        <w:t xml:space="preserve">a sum that was more than double the actual market value which the same </w:t>
      </w:r>
      <w:r w:rsidR="00CF35A1" w:rsidRPr="0054452E">
        <w:rPr>
          <w:rFonts w:ascii="Times New Roman" w:hAnsi="Times New Roman" w:cs="Times New Roman"/>
          <w:color w:val="000000" w:themeColor="text1"/>
        </w:rPr>
        <w:t>agent</w:t>
      </w:r>
      <w:r w:rsidRPr="0054452E">
        <w:rPr>
          <w:rFonts w:ascii="Times New Roman" w:hAnsi="Times New Roman" w:cs="Times New Roman"/>
          <w:color w:val="000000" w:themeColor="text1"/>
        </w:rPr>
        <w:t xml:space="preserve"> </w:t>
      </w:r>
      <w:r w:rsidR="00CF35A1" w:rsidRPr="0054452E">
        <w:rPr>
          <w:rFonts w:ascii="Times New Roman" w:hAnsi="Times New Roman" w:cs="Times New Roman"/>
          <w:color w:val="000000" w:themeColor="text1"/>
        </w:rPr>
        <w:t>had</w:t>
      </w:r>
      <w:r w:rsidRPr="0054452E">
        <w:rPr>
          <w:rFonts w:ascii="Times New Roman" w:hAnsi="Times New Roman" w:cs="Times New Roman"/>
          <w:color w:val="000000" w:themeColor="text1"/>
        </w:rPr>
        <w:t xml:space="preserve"> originally placed on the property. </w:t>
      </w:r>
      <w:r w:rsidR="00571B97" w:rsidRPr="0054452E">
        <w:rPr>
          <w:rFonts w:ascii="Times New Roman" w:hAnsi="Times New Roman" w:cs="Times New Roman"/>
          <w:color w:val="000000" w:themeColor="text1"/>
        </w:rPr>
        <w:t>So</w:t>
      </w:r>
      <w:r w:rsidR="006F2950" w:rsidRPr="0054452E">
        <w:rPr>
          <w:rFonts w:ascii="Times New Roman" w:hAnsi="Times New Roman" w:cs="Times New Roman"/>
          <w:color w:val="000000" w:themeColor="text1"/>
        </w:rPr>
        <w:t>,</w:t>
      </w:r>
      <w:r w:rsidR="00571B97" w:rsidRPr="0054452E">
        <w:rPr>
          <w:rFonts w:ascii="Times New Roman" w:hAnsi="Times New Roman" w:cs="Times New Roman"/>
          <w:color w:val="000000" w:themeColor="text1"/>
        </w:rPr>
        <w:t xml:space="preserve"> </w:t>
      </w:r>
      <w:r w:rsidR="00CF35A1" w:rsidRPr="0054452E">
        <w:rPr>
          <w:rFonts w:ascii="Times New Roman" w:hAnsi="Times New Roman" w:cs="Times New Roman"/>
          <w:color w:val="000000" w:themeColor="text1"/>
        </w:rPr>
        <w:t xml:space="preserve">even if it had been critical for the determination of this matter, </w:t>
      </w:r>
      <w:r w:rsidR="00571B97" w:rsidRPr="0054452E">
        <w:rPr>
          <w:rFonts w:ascii="Times New Roman" w:hAnsi="Times New Roman" w:cs="Times New Roman"/>
          <w:color w:val="000000" w:themeColor="text1"/>
        </w:rPr>
        <w:t>the qu</w:t>
      </w:r>
      <w:r w:rsidR="004E583E" w:rsidRPr="0054452E">
        <w:rPr>
          <w:rFonts w:ascii="Times New Roman" w:hAnsi="Times New Roman" w:cs="Times New Roman"/>
          <w:color w:val="000000" w:themeColor="text1"/>
        </w:rPr>
        <w:t xml:space="preserve">estion of values </w:t>
      </w:r>
      <w:r w:rsidR="00CF35A1" w:rsidRPr="0054452E">
        <w:rPr>
          <w:rFonts w:ascii="Times New Roman" w:hAnsi="Times New Roman" w:cs="Times New Roman"/>
          <w:color w:val="000000" w:themeColor="text1"/>
        </w:rPr>
        <w:t xml:space="preserve">could </w:t>
      </w:r>
      <w:r w:rsidR="004E583E" w:rsidRPr="0054452E">
        <w:rPr>
          <w:rFonts w:ascii="Times New Roman" w:hAnsi="Times New Roman" w:cs="Times New Roman"/>
          <w:color w:val="000000" w:themeColor="text1"/>
        </w:rPr>
        <w:t xml:space="preserve">not </w:t>
      </w:r>
      <w:r w:rsidR="00CF35A1" w:rsidRPr="0054452E">
        <w:rPr>
          <w:rFonts w:ascii="Times New Roman" w:hAnsi="Times New Roman" w:cs="Times New Roman"/>
          <w:color w:val="000000" w:themeColor="text1"/>
        </w:rPr>
        <w:t>have stood in</w:t>
      </w:r>
      <w:r w:rsidR="004E583E" w:rsidRPr="0054452E">
        <w:rPr>
          <w:rFonts w:ascii="Times New Roman" w:hAnsi="Times New Roman" w:cs="Times New Roman"/>
          <w:color w:val="000000" w:themeColor="text1"/>
        </w:rPr>
        <w:t xml:space="preserve"> the way </w:t>
      </w:r>
      <w:r w:rsidR="00571B97" w:rsidRPr="0054452E">
        <w:rPr>
          <w:rFonts w:ascii="Times New Roman" w:hAnsi="Times New Roman" w:cs="Times New Roman"/>
          <w:color w:val="000000" w:themeColor="text1"/>
        </w:rPr>
        <w:t xml:space="preserve">of </w:t>
      </w:r>
      <w:r w:rsidR="00571B97" w:rsidRPr="0054452E">
        <w:rPr>
          <w:rFonts w:ascii="Times New Roman" w:hAnsi="Times New Roman" w:cs="Times New Roman"/>
          <w:color w:val="000000" w:themeColor="text1"/>
        </w:rPr>
        <w:lastRenderedPageBreak/>
        <w:t>the</w:t>
      </w:r>
      <w:r w:rsidR="004E583E" w:rsidRPr="0054452E">
        <w:rPr>
          <w:rFonts w:ascii="Times New Roman" w:hAnsi="Times New Roman" w:cs="Times New Roman"/>
          <w:color w:val="000000" w:themeColor="text1"/>
        </w:rPr>
        <w:t xml:space="preserve"> </w:t>
      </w:r>
      <w:r w:rsidR="00082B4C" w:rsidRPr="0054452E">
        <w:rPr>
          <w:rFonts w:ascii="Times New Roman" w:hAnsi="Times New Roman" w:cs="Times New Roman"/>
          <w:color w:val="000000" w:themeColor="text1"/>
        </w:rPr>
        <w:t>resolution of th</w:t>
      </w:r>
      <w:r w:rsidR="00CF35A1" w:rsidRPr="0054452E">
        <w:rPr>
          <w:rFonts w:ascii="Times New Roman" w:hAnsi="Times New Roman" w:cs="Times New Roman"/>
          <w:color w:val="000000" w:themeColor="text1"/>
        </w:rPr>
        <w:t xml:space="preserve">is </w:t>
      </w:r>
      <w:r w:rsidR="00571B97" w:rsidRPr="0054452E">
        <w:rPr>
          <w:rFonts w:ascii="Times New Roman" w:hAnsi="Times New Roman" w:cs="Times New Roman"/>
          <w:color w:val="000000" w:themeColor="text1"/>
        </w:rPr>
        <w:t xml:space="preserve">matter. </w:t>
      </w:r>
      <w:r w:rsidR="00CF35A1" w:rsidRPr="0054452E">
        <w:rPr>
          <w:rFonts w:ascii="Times New Roman" w:hAnsi="Times New Roman" w:cs="Times New Roman"/>
          <w:color w:val="000000" w:themeColor="text1"/>
        </w:rPr>
        <w:t>In the end, there are clearly no material disputes of fact which can prevent this court from determining the application on the papers.</w:t>
      </w:r>
    </w:p>
    <w:p w14:paraId="357B0006" w14:textId="26717FC4" w:rsidR="00DF3F02" w:rsidRPr="0054452E" w:rsidRDefault="00DF3F02" w:rsidP="00A0599A">
      <w:pPr>
        <w:spacing w:after="0" w:line="360" w:lineRule="auto"/>
        <w:ind w:firstLine="450"/>
        <w:jc w:val="both"/>
        <w:rPr>
          <w:rStyle w:val="apple-converted-space"/>
          <w:rFonts w:ascii="Times New Roman" w:hAnsi="Times New Roman" w:cs="Times New Roman"/>
          <w:b/>
          <w:color w:val="000000" w:themeColor="text1"/>
          <w:u w:val="single"/>
        </w:rPr>
      </w:pPr>
      <w:r w:rsidRPr="0054452E">
        <w:rPr>
          <w:rStyle w:val="apple-converted-space"/>
          <w:rFonts w:ascii="Times New Roman" w:hAnsi="Times New Roman" w:cs="Times New Roman"/>
          <w:b/>
          <w:color w:val="000000" w:themeColor="text1"/>
          <w:u w:val="single"/>
        </w:rPr>
        <w:t>Dirty Hands</w:t>
      </w:r>
    </w:p>
    <w:p w14:paraId="2C80FC01" w14:textId="2F884BBD" w:rsidR="00CF35A1" w:rsidRPr="0054452E" w:rsidRDefault="00A37045" w:rsidP="001C498A">
      <w:pPr>
        <w:pStyle w:val="s10"/>
        <w:numPr>
          <w:ilvl w:val="0"/>
          <w:numId w:val="12"/>
        </w:numPr>
        <w:spacing w:before="0" w:beforeAutospacing="0" w:after="0" w:afterAutospacing="0" w:line="360" w:lineRule="auto"/>
        <w:jc w:val="both"/>
        <w:rPr>
          <w:rStyle w:val="bumpedfont15"/>
          <w:color w:val="000000" w:themeColor="text1"/>
        </w:rPr>
      </w:pPr>
      <w:r w:rsidRPr="0054452E">
        <w:rPr>
          <w:rStyle w:val="bumpedfont15"/>
          <w:color w:val="000000" w:themeColor="text1"/>
        </w:rPr>
        <w:t xml:space="preserve">The first respondent submitted that the applicant </w:t>
      </w:r>
      <w:r w:rsidR="00CF35A1" w:rsidRPr="0054452E">
        <w:rPr>
          <w:rStyle w:val="bumpedfont15"/>
          <w:color w:val="000000" w:themeColor="text1"/>
        </w:rPr>
        <w:t>approached the</w:t>
      </w:r>
      <w:r w:rsidRPr="0054452E">
        <w:rPr>
          <w:rStyle w:val="bumpedfont15"/>
          <w:color w:val="000000" w:themeColor="text1"/>
        </w:rPr>
        <w:t xml:space="preserve"> court with dirty hands because he ignored an extant court order </w:t>
      </w:r>
      <w:r w:rsidR="00082B4C" w:rsidRPr="0054452E">
        <w:rPr>
          <w:rStyle w:val="bumpedfont15"/>
          <w:color w:val="000000" w:themeColor="text1"/>
        </w:rPr>
        <w:t>which req</w:t>
      </w:r>
      <w:r w:rsidR="00CF35A1" w:rsidRPr="0054452E">
        <w:rPr>
          <w:rStyle w:val="bumpedfont15"/>
          <w:color w:val="000000" w:themeColor="text1"/>
        </w:rPr>
        <w:t>uired</w:t>
      </w:r>
      <w:r w:rsidR="00082B4C" w:rsidRPr="0054452E">
        <w:rPr>
          <w:rStyle w:val="bumpedfont15"/>
          <w:color w:val="000000" w:themeColor="text1"/>
        </w:rPr>
        <w:t xml:space="preserve"> </w:t>
      </w:r>
      <w:r w:rsidR="00CF35A1" w:rsidRPr="0054452E">
        <w:rPr>
          <w:rStyle w:val="bumpedfont15"/>
          <w:color w:val="000000" w:themeColor="text1"/>
        </w:rPr>
        <w:t>that he submits</w:t>
      </w:r>
      <w:r w:rsidR="00082B4C" w:rsidRPr="0054452E">
        <w:rPr>
          <w:rStyle w:val="bumpedfont15"/>
          <w:color w:val="000000" w:themeColor="text1"/>
        </w:rPr>
        <w:t xml:space="preserve"> </w:t>
      </w:r>
      <w:r w:rsidR="00CF35A1" w:rsidRPr="0054452E">
        <w:rPr>
          <w:rStyle w:val="bumpedfont15"/>
          <w:color w:val="000000" w:themeColor="text1"/>
        </w:rPr>
        <w:t>the first respondent’s</w:t>
      </w:r>
      <w:r w:rsidR="00571B97" w:rsidRPr="0054452E">
        <w:rPr>
          <w:rStyle w:val="bumpedfont15"/>
          <w:color w:val="000000" w:themeColor="text1"/>
        </w:rPr>
        <w:t xml:space="preserve"> written consent</w:t>
      </w:r>
      <w:r w:rsidR="00082B4C" w:rsidRPr="0054452E">
        <w:rPr>
          <w:rStyle w:val="bumpedfont15"/>
          <w:color w:val="000000" w:themeColor="text1"/>
        </w:rPr>
        <w:t xml:space="preserve"> </w:t>
      </w:r>
      <w:r w:rsidR="00CF35A1" w:rsidRPr="0054452E">
        <w:rPr>
          <w:rStyle w:val="bumpedfont15"/>
          <w:color w:val="000000" w:themeColor="text1"/>
        </w:rPr>
        <w:t xml:space="preserve">to the Registrar of Deeds </w:t>
      </w:r>
      <w:r w:rsidR="00082B4C" w:rsidRPr="0054452E">
        <w:rPr>
          <w:rStyle w:val="bumpedfont15"/>
          <w:color w:val="000000" w:themeColor="text1"/>
        </w:rPr>
        <w:t>before the property could be disposed of</w:t>
      </w:r>
      <w:r w:rsidR="00571B97" w:rsidRPr="0054452E">
        <w:rPr>
          <w:rStyle w:val="bumpedfont15"/>
          <w:color w:val="000000" w:themeColor="text1"/>
        </w:rPr>
        <w:t xml:space="preserve">. </w:t>
      </w:r>
      <w:r w:rsidR="00082B4C" w:rsidRPr="0054452E">
        <w:rPr>
          <w:rStyle w:val="bumpedfont15"/>
          <w:color w:val="000000" w:themeColor="text1"/>
        </w:rPr>
        <w:t xml:space="preserve">He </w:t>
      </w:r>
      <w:r w:rsidR="00CF35A1" w:rsidRPr="0054452E">
        <w:rPr>
          <w:rStyle w:val="bumpedfont15"/>
          <w:color w:val="000000" w:themeColor="text1"/>
        </w:rPr>
        <w:t xml:space="preserve">had </w:t>
      </w:r>
      <w:r w:rsidR="00082B4C" w:rsidRPr="0054452E">
        <w:rPr>
          <w:rStyle w:val="bumpedfont15"/>
          <w:color w:val="000000" w:themeColor="text1"/>
        </w:rPr>
        <w:t xml:space="preserve">sold the property </w:t>
      </w:r>
      <w:r w:rsidR="00571B97" w:rsidRPr="0054452E">
        <w:rPr>
          <w:rStyle w:val="bumpedfont15"/>
          <w:color w:val="000000" w:themeColor="text1"/>
        </w:rPr>
        <w:t>without</w:t>
      </w:r>
      <w:r w:rsidR="00CF35A1" w:rsidRPr="0054452E">
        <w:rPr>
          <w:rStyle w:val="bumpedfont15"/>
          <w:color w:val="000000" w:themeColor="text1"/>
        </w:rPr>
        <w:t xml:space="preserve"> first</w:t>
      </w:r>
      <w:r w:rsidR="00571B97" w:rsidRPr="0054452E">
        <w:rPr>
          <w:rStyle w:val="bumpedfont15"/>
          <w:color w:val="000000" w:themeColor="text1"/>
        </w:rPr>
        <w:t xml:space="preserve"> obtain</w:t>
      </w:r>
      <w:r w:rsidR="00082B4C" w:rsidRPr="0054452E">
        <w:rPr>
          <w:rStyle w:val="bumpedfont15"/>
          <w:color w:val="000000" w:themeColor="text1"/>
        </w:rPr>
        <w:t xml:space="preserve">ing </w:t>
      </w:r>
      <w:r w:rsidR="00CF35A1" w:rsidRPr="0054452E">
        <w:rPr>
          <w:rStyle w:val="bumpedfont15"/>
          <w:color w:val="000000" w:themeColor="text1"/>
        </w:rPr>
        <w:t xml:space="preserve">such </w:t>
      </w:r>
      <w:r w:rsidR="00571B97" w:rsidRPr="0054452E">
        <w:rPr>
          <w:rStyle w:val="bumpedfont15"/>
          <w:color w:val="000000" w:themeColor="text1"/>
        </w:rPr>
        <w:t>written co</w:t>
      </w:r>
      <w:r w:rsidR="00082B4C" w:rsidRPr="0054452E">
        <w:rPr>
          <w:rStyle w:val="bumpedfont15"/>
          <w:color w:val="000000" w:themeColor="text1"/>
        </w:rPr>
        <w:t>nsent and th</w:t>
      </w:r>
      <w:r w:rsidR="00CF35A1" w:rsidRPr="0054452E">
        <w:rPr>
          <w:rStyle w:val="bumpedfont15"/>
          <w:color w:val="000000" w:themeColor="text1"/>
        </w:rPr>
        <w:t>at</w:t>
      </w:r>
      <w:r w:rsidR="00082B4C" w:rsidRPr="0054452E">
        <w:rPr>
          <w:rStyle w:val="bumpedfont15"/>
          <w:color w:val="000000" w:themeColor="text1"/>
        </w:rPr>
        <w:t xml:space="preserve"> </w:t>
      </w:r>
      <w:r w:rsidR="00571B97" w:rsidRPr="0054452E">
        <w:rPr>
          <w:rStyle w:val="bumpedfont15"/>
          <w:color w:val="000000" w:themeColor="text1"/>
        </w:rPr>
        <w:t>constitutes dirty hands.</w:t>
      </w:r>
      <w:r w:rsidR="00082B4C" w:rsidRPr="0054452E">
        <w:rPr>
          <w:rStyle w:val="bumpedfont15"/>
          <w:color w:val="000000" w:themeColor="text1"/>
        </w:rPr>
        <w:t xml:space="preserve"> According to the counsel for the first </w:t>
      </w:r>
      <w:r w:rsidR="006F2950" w:rsidRPr="0054452E">
        <w:rPr>
          <w:rStyle w:val="bumpedfont15"/>
          <w:color w:val="000000" w:themeColor="text1"/>
        </w:rPr>
        <w:t>respondent</w:t>
      </w:r>
      <w:r w:rsidR="00082B4C" w:rsidRPr="0054452E">
        <w:rPr>
          <w:rStyle w:val="bumpedfont15"/>
          <w:color w:val="000000" w:themeColor="text1"/>
        </w:rPr>
        <w:t xml:space="preserve">, what makes this worse is </w:t>
      </w:r>
      <w:r w:rsidR="009377E8" w:rsidRPr="0054452E">
        <w:rPr>
          <w:rStyle w:val="bumpedfont15"/>
          <w:color w:val="000000" w:themeColor="text1"/>
        </w:rPr>
        <w:t xml:space="preserve">the fact </w:t>
      </w:r>
      <w:r w:rsidR="00082B4C" w:rsidRPr="0054452E">
        <w:rPr>
          <w:rStyle w:val="bumpedfont15"/>
          <w:color w:val="000000" w:themeColor="text1"/>
        </w:rPr>
        <w:t>that the</w:t>
      </w:r>
      <w:r w:rsidR="00934DB6" w:rsidRPr="0054452E">
        <w:rPr>
          <w:rStyle w:val="bumpedfont15"/>
          <w:color w:val="000000" w:themeColor="text1"/>
        </w:rPr>
        <w:t xml:space="preserve"> applicant</w:t>
      </w:r>
      <w:r w:rsidR="00082B4C" w:rsidRPr="0054452E">
        <w:rPr>
          <w:rStyle w:val="bumpedfont15"/>
          <w:color w:val="000000" w:themeColor="text1"/>
        </w:rPr>
        <w:t xml:space="preserve"> ignored </w:t>
      </w:r>
      <w:r w:rsidR="00571B97" w:rsidRPr="0054452E">
        <w:rPr>
          <w:rStyle w:val="bumpedfont15"/>
          <w:color w:val="000000" w:themeColor="text1"/>
        </w:rPr>
        <w:t>the divorce order</w:t>
      </w:r>
      <w:r w:rsidR="00934DB6" w:rsidRPr="0054452E">
        <w:rPr>
          <w:rStyle w:val="bumpedfont15"/>
          <w:color w:val="000000" w:themeColor="text1"/>
        </w:rPr>
        <w:t xml:space="preserve"> which </w:t>
      </w:r>
      <w:r w:rsidR="00571B97" w:rsidRPr="0054452E">
        <w:rPr>
          <w:rStyle w:val="bumpedfont15"/>
          <w:color w:val="000000" w:themeColor="text1"/>
        </w:rPr>
        <w:t>say</w:t>
      </w:r>
      <w:r w:rsidR="00934DB6" w:rsidRPr="0054452E">
        <w:rPr>
          <w:rStyle w:val="bumpedfont15"/>
          <w:color w:val="000000" w:themeColor="text1"/>
        </w:rPr>
        <w:t>s</w:t>
      </w:r>
      <w:r w:rsidR="00571B97" w:rsidRPr="0054452E">
        <w:rPr>
          <w:rStyle w:val="bumpedfont15"/>
          <w:color w:val="000000" w:themeColor="text1"/>
        </w:rPr>
        <w:t xml:space="preserve"> property</w:t>
      </w:r>
      <w:r w:rsidR="006F2950" w:rsidRPr="0054452E">
        <w:rPr>
          <w:rStyle w:val="bumpedfont15"/>
          <w:color w:val="000000" w:themeColor="text1"/>
        </w:rPr>
        <w:t xml:space="preserve"> is</w:t>
      </w:r>
      <w:r w:rsidR="00571B97" w:rsidRPr="0054452E">
        <w:rPr>
          <w:rStyle w:val="bumpedfont15"/>
          <w:color w:val="000000" w:themeColor="text1"/>
        </w:rPr>
        <w:t xml:space="preserve"> to be sold to </w:t>
      </w:r>
      <w:r w:rsidR="006F2950" w:rsidRPr="0054452E">
        <w:rPr>
          <w:rStyle w:val="bumpedfont15"/>
          <w:color w:val="000000" w:themeColor="text1"/>
        </w:rPr>
        <w:t xml:space="preserve">the </w:t>
      </w:r>
      <w:r w:rsidR="00CF35A1" w:rsidRPr="0054452E">
        <w:rPr>
          <w:rStyle w:val="bumpedfont15"/>
          <w:color w:val="000000" w:themeColor="text1"/>
        </w:rPr>
        <w:t>parties’</w:t>
      </w:r>
      <w:r w:rsidR="001C498A">
        <w:rPr>
          <w:rStyle w:val="bumpedfont15"/>
          <w:color w:val="000000" w:themeColor="text1"/>
        </w:rPr>
        <w:t xml:space="preserve"> </w:t>
      </w:r>
      <w:r w:rsidR="00571B97" w:rsidRPr="0054452E">
        <w:rPr>
          <w:rStyle w:val="bumpedfont15"/>
          <w:color w:val="000000" w:themeColor="text1"/>
        </w:rPr>
        <w:t>best advantage. Th</w:t>
      </w:r>
      <w:r w:rsidR="00934DB6" w:rsidRPr="0054452E">
        <w:rPr>
          <w:rStyle w:val="bumpedfont15"/>
          <w:color w:val="000000" w:themeColor="text1"/>
        </w:rPr>
        <w:t>e property was however not sold to the best adv</w:t>
      </w:r>
      <w:r w:rsidR="00571B97" w:rsidRPr="0054452E">
        <w:rPr>
          <w:rStyle w:val="bumpedfont15"/>
          <w:color w:val="000000" w:themeColor="text1"/>
        </w:rPr>
        <w:t>a</w:t>
      </w:r>
      <w:r w:rsidR="003C10AE" w:rsidRPr="0054452E">
        <w:rPr>
          <w:rStyle w:val="bumpedfont15"/>
          <w:color w:val="000000" w:themeColor="text1"/>
        </w:rPr>
        <w:t>n</w:t>
      </w:r>
      <w:r w:rsidR="00571B97" w:rsidRPr="0054452E">
        <w:rPr>
          <w:rStyle w:val="bumpedfont15"/>
          <w:color w:val="000000" w:themeColor="text1"/>
        </w:rPr>
        <w:t>t</w:t>
      </w:r>
      <w:r w:rsidR="003C10AE" w:rsidRPr="0054452E">
        <w:rPr>
          <w:rStyle w:val="bumpedfont15"/>
          <w:color w:val="000000" w:themeColor="text1"/>
        </w:rPr>
        <w:t>age and in addition,</w:t>
      </w:r>
      <w:r w:rsidR="006F2950" w:rsidRPr="0054452E">
        <w:rPr>
          <w:rStyle w:val="bumpedfont15"/>
          <w:color w:val="000000" w:themeColor="text1"/>
        </w:rPr>
        <w:t xml:space="preserve"> </w:t>
      </w:r>
      <w:r w:rsidR="003C10AE" w:rsidRPr="0054452E">
        <w:rPr>
          <w:rStyle w:val="bumpedfont15"/>
          <w:color w:val="000000" w:themeColor="text1"/>
        </w:rPr>
        <w:t>it was sold without the consent of the first respondent.</w:t>
      </w:r>
      <w:r w:rsidR="006F2950" w:rsidRPr="0054452E">
        <w:rPr>
          <w:rStyle w:val="bumpedfont15"/>
          <w:color w:val="000000" w:themeColor="text1"/>
        </w:rPr>
        <w:t xml:space="preserve"> Owing to </w:t>
      </w:r>
      <w:r w:rsidR="003C10AE" w:rsidRPr="0054452E">
        <w:rPr>
          <w:rStyle w:val="bumpedfont15"/>
          <w:color w:val="000000" w:themeColor="text1"/>
        </w:rPr>
        <w:t>th</w:t>
      </w:r>
      <w:r w:rsidR="00CF35A1" w:rsidRPr="0054452E">
        <w:rPr>
          <w:rStyle w:val="bumpedfont15"/>
          <w:color w:val="000000" w:themeColor="text1"/>
        </w:rPr>
        <w:t>o</w:t>
      </w:r>
      <w:r w:rsidR="003C10AE" w:rsidRPr="0054452E">
        <w:rPr>
          <w:rStyle w:val="bumpedfont15"/>
          <w:color w:val="000000" w:themeColor="text1"/>
        </w:rPr>
        <w:t>se two reasons the applicant should not</w:t>
      </w:r>
      <w:r w:rsidR="00571B97" w:rsidRPr="0054452E">
        <w:rPr>
          <w:rStyle w:val="bumpedfont15"/>
          <w:color w:val="000000" w:themeColor="text1"/>
        </w:rPr>
        <w:t xml:space="preserve"> have</w:t>
      </w:r>
      <w:r w:rsidR="009377E8" w:rsidRPr="0054452E">
        <w:rPr>
          <w:rStyle w:val="bumpedfont15"/>
          <w:color w:val="000000" w:themeColor="text1"/>
        </w:rPr>
        <w:t xml:space="preserve"> a</w:t>
      </w:r>
      <w:r w:rsidR="00571B97" w:rsidRPr="0054452E">
        <w:rPr>
          <w:rStyle w:val="bumpedfont15"/>
          <w:color w:val="000000" w:themeColor="text1"/>
        </w:rPr>
        <w:t xml:space="preserve"> right of</w:t>
      </w:r>
      <w:r w:rsidR="00571B97" w:rsidRPr="0054452E">
        <w:rPr>
          <w:rStyle w:val="apple-converted-space"/>
          <w:color w:val="000000" w:themeColor="text1"/>
        </w:rPr>
        <w:t> </w:t>
      </w:r>
      <w:r w:rsidR="00571B97" w:rsidRPr="0054452E">
        <w:rPr>
          <w:rStyle w:val="bumpedfont15"/>
          <w:color w:val="000000" w:themeColor="text1"/>
        </w:rPr>
        <w:t>audience</w:t>
      </w:r>
      <w:r w:rsidR="009377E8" w:rsidRPr="0054452E">
        <w:rPr>
          <w:rStyle w:val="bumpedfont15"/>
          <w:color w:val="000000" w:themeColor="text1"/>
        </w:rPr>
        <w:t xml:space="preserve"> before this court</w:t>
      </w:r>
      <w:r w:rsidR="006C2BCB" w:rsidRPr="0054452E">
        <w:rPr>
          <w:rStyle w:val="bumpedfont15"/>
          <w:color w:val="000000" w:themeColor="text1"/>
        </w:rPr>
        <w:t>.</w:t>
      </w:r>
    </w:p>
    <w:p w14:paraId="771B15EA" w14:textId="26767C18" w:rsidR="003F6E1B" w:rsidRPr="0054452E" w:rsidRDefault="003F6E1B" w:rsidP="001C498A">
      <w:pPr>
        <w:pStyle w:val="s10"/>
        <w:numPr>
          <w:ilvl w:val="0"/>
          <w:numId w:val="12"/>
        </w:numPr>
        <w:spacing w:before="0" w:beforeAutospacing="0" w:after="0" w:afterAutospacing="0" w:line="360" w:lineRule="auto"/>
        <w:jc w:val="both"/>
        <w:rPr>
          <w:rStyle w:val="bumpedfont15"/>
          <w:color w:val="000000" w:themeColor="text1"/>
        </w:rPr>
      </w:pPr>
      <w:r w:rsidRPr="0054452E">
        <w:rPr>
          <w:rStyle w:val="bumpedfont15"/>
          <w:color w:val="000000" w:themeColor="text1"/>
        </w:rPr>
        <w:t xml:space="preserve">The applicant stated that he had not breached any court order because the divorce order instructed that the property must be sold. That sale cannot give rise to dirty hands. </w:t>
      </w:r>
    </w:p>
    <w:p w14:paraId="123D9921" w14:textId="427BEDE2" w:rsidR="003F6E1B" w:rsidRPr="0054452E" w:rsidRDefault="003F6E1B" w:rsidP="001C498A">
      <w:pPr>
        <w:pStyle w:val="s10"/>
        <w:numPr>
          <w:ilvl w:val="0"/>
          <w:numId w:val="12"/>
        </w:numPr>
        <w:spacing w:before="0" w:beforeAutospacing="0" w:after="0" w:afterAutospacing="0" w:line="360" w:lineRule="auto"/>
        <w:jc w:val="both"/>
        <w:rPr>
          <w:rStyle w:val="bumpedfont15"/>
          <w:color w:val="0D0D0D" w:themeColor="text1" w:themeTint="F2"/>
        </w:rPr>
      </w:pPr>
      <w:r w:rsidRPr="0054452E">
        <w:rPr>
          <w:rStyle w:val="bumpedfont15"/>
          <w:color w:val="000000" w:themeColor="text1"/>
        </w:rPr>
        <w:t xml:space="preserve">In the court’s view, what is apparent is that </w:t>
      </w:r>
      <w:r w:rsidR="006C2BCB" w:rsidRPr="0054452E">
        <w:rPr>
          <w:rStyle w:val="bumpedfont15"/>
          <w:color w:val="000000" w:themeColor="text1"/>
        </w:rPr>
        <w:t xml:space="preserve">the order </w:t>
      </w:r>
      <w:r w:rsidR="00CF35A1" w:rsidRPr="0054452E">
        <w:rPr>
          <w:rStyle w:val="bumpedfont15"/>
          <w:color w:val="000000" w:themeColor="text1"/>
        </w:rPr>
        <w:t>which</w:t>
      </w:r>
      <w:r w:rsidR="006C2BCB" w:rsidRPr="0054452E">
        <w:rPr>
          <w:rStyle w:val="bumpedfont15"/>
          <w:color w:val="000000" w:themeColor="text1"/>
        </w:rPr>
        <w:t xml:space="preserve"> the first respondent seeks to rely</w:t>
      </w:r>
      <w:r w:rsidR="004B61EE" w:rsidRPr="0054452E">
        <w:rPr>
          <w:rStyle w:val="bumpedfont15"/>
          <w:color w:val="000000" w:themeColor="text1"/>
        </w:rPr>
        <w:t xml:space="preserve"> </w:t>
      </w:r>
      <w:r w:rsidR="006C2BCB" w:rsidRPr="0054452E">
        <w:rPr>
          <w:rStyle w:val="bumpedfont15"/>
          <w:color w:val="000000" w:themeColor="text1"/>
        </w:rPr>
        <w:t>on</w:t>
      </w:r>
      <w:r w:rsidR="004B61EE" w:rsidRPr="0054452E">
        <w:rPr>
          <w:rStyle w:val="bumpedfont15"/>
          <w:color w:val="000000" w:themeColor="text1"/>
        </w:rPr>
        <w:t xml:space="preserve"> appointed</w:t>
      </w:r>
      <w:r w:rsidR="00571B97" w:rsidRPr="0054452E">
        <w:rPr>
          <w:rStyle w:val="bumpedfont15"/>
          <w:color w:val="000000" w:themeColor="text1"/>
        </w:rPr>
        <w:t xml:space="preserve"> Knight Frank and</w:t>
      </w:r>
      <w:r w:rsidR="006C2BCB" w:rsidRPr="0054452E">
        <w:rPr>
          <w:rStyle w:val="apple-converted-space"/>
          <w:color w:val="000000" w:themeColor="text1"/>
        </w:rPr>
        <w:t xml:space="preserve"> Rutley</w:t>
      </w:r>
      <w:r w:rsidR="004B61EE" w:rsidRPr="0054452E">
        <w:rPr>
          <w:rStyle w:val="apple-converted-space"/>
          <w:color w:val="000000" w:themeColor="text1"/>
        </w:rPr>
        <w:t xml:space="preserve"> as the agents to handle the sale</w:t>
      </w:r>
      <w:r w:rsidR="004B61EE" w:rsidRPr="0054452E">
        <w:rPr>
          <w:rStyle w:val="bumpedfont15"/>
          <w:color w:val="000000" w:themeColor="text1"/>
        </w:rPr>
        <w:t xml:space="preserve">. </w:t>
      </w:r>
      <w:r w:rsidRPr="0054452E">
        <w:rPr>
          <w:rStyle w:val="bumpedfont15"/>
          <w:color w:val="000000" w:themeColor="text1"/>
        </w:rPr>
        <w:t xml:space="preserve">The first respondent defied that </w:t>
      </w:r>
      <w:r w:rsidR="00CF35A1" w:rsidRPr="0054452E">
        <w:rPr>
          <w:rStyle w:val="bumpedfont15"/>
          <w:color w:val="000000" w:themeColor="text1"/>
        </w:rPr>
        <w:t>court order</w:t>
      </w:r>
      <w:r w:rsidRPr="0054452E">
        <w:rPr>
          <w:rStyle w:val="bumpedfont15"/>
          <w:color w:val="000000" w:themeColor="text1"/>
        </w:rPr>
        <w:t xml:space="preserve"> by</w:t>
      </w:r>
      <w:r w:rsidR="00CF35A1" w:rsidRPr="0054452E">
        <w:rPr>
          <w:rStyle w:val="bumpedfont15"/>
          <w:color w:val="000000" w:themeColor="text1"/>
        </w:rPr>
        <w:t xml:space="preserve"> appoint</w:t>
      </w:r>
      <w:r w:rsidRPr="0054452E">
        <w:rPr>
          <w:rStyle w:val="bumpedfont15"/>
          <w:color w:val="000000" w:themeColor="text1"/>
        </w:rPr>
        <w:t>ing</w:t>
      </w:r>
      <w:r w:rsidR="00CF35A1" w:rsidRPr="0054452E">
        <w:rPr>
          <w:rStyle w:val="bumpedfont15"/>
          <w:color w:val="000000" w:themeColor="text1"/>
        </w:rPr>
        <w:t xml:space="preserve"> a different agent. In his desire to have the matter closed, t</w:t>
      </w:r>
      <w:r w:rsidR="00571B97" w:rsidRPr="0054452E">
        <w:rPr>
          <w:rStyle w:val="bumpedfont15"/>
          <w:color w:val="000000" w:themeColor="text1"/>
        </w:rPr>
        <w:t>he applica</w:t>
      </w:r>
      <w:r w:rsidR="006C2BCB" w:rsidRPr="0054452E">
        <w:rPr>
          <w:rStyle w:val="bumpedfont15"/>
          <w:color w:val="000000" w:themeColor="text1"/>
        </w:rPr>
        <w:t xml:space="preserve">nt </w:t>
      </w:r>
      <w:r w:rsidRPr="0054452E">
        <w:rPr>
          <w:rStyle w:val="bumpedfont15"/>
          <w:color w:val="000000" w:themeColor="text1"/>
        </w:rPr>
        <w:t>did</w:t>
      </w:r>
      <w:r w:rsidR="006C2BCB" w:rsidRPr="0054452E">
        <w:rPr>
          <w:rStyle w:val="bumpedfont15"/>
          <w:color w:val="000000" w:themeColor="text1"/>
        </w:rPr>
        <w:t xml:space="preserve"> not take issue with that</w:t>
      </w:r>
      <w:r w:rsidR="00CF35A1" w:rsidRPr="0054452E">
        <w:rPr>
          <w:rStyle w:val="bumpedfont15"/>
          <w:color w:val="000000" w:themeColor="text1"/>
        </w:rPr>
        <w:t xml:space="preserve"> appointment</w:t>
      </w:r>
      <w:r w:rsidR="006C2BCB" w:rsidRPr="0054452E">
        <w:rPr>
          <w:rStyle w:val="bumpedfont15"/>
          <w:color w:val="000000" w:themeColor="text1"/>
        </w:rPr>
        <w:t>.</w:t>
      </w:r>
      <w:r w:rsidR="00CF35A1" w:rsidRPr="0054452E">
        <w:rPr>
          <w:rStyle w:val="bumpedfont15"/>
          <w:color w:val="000000" w:themeColor="text1"/>
        </w:rPr>
        <w:t xml:space="preserve"> His wish was simply that the agent would sell the property in terms of</w:t>
      </w:r>
      <w:r w:rsidR="004B61EE" w:rsidRPr="0054452E">
        <w:rPr>
          <w:rStyle w:val="bumpedfont15"/>
          <w:color w:val="000000" w:themeColor="text1"/>
        </w:rPr>
        <w:t xml:space="preserve"> the divorce order.</w:t>
      </w:r>
      <w:r w:rsidR="006F2950" w:rsidRPr="0054452E">
        <w:rPr>
          <w:rStyle w:val="bumpedfont15"/>
          <w:color w:val="000000" w:themeColor="text1"/>
        </w:rPr>
        <w:t xml:space="preserve"> </w:t>
      </w:r>
      <w:r w:rsidR="00CF35A1" w:rsidRPr="0054452E">
        <w:rPr>
          <w:rStyle w:val="bumpedfont15"/>
          <w:color w:val="000000" w:themeColor="text1"/>
        </w:rPr>
        <w:t>True to that, t</w:t>
      </w:r>
      <w:r w:rsidR="004B61EE" w:rsidRPr="0054452E">
        <w:rPr>
          <w:rStyle w:val="bumpedfont15"/>
          <w:color w:val="000000" w:themeColor="text1"/>
        </w:rPr>
        <w:t>he property was</w:t>
      </w:r>
      <w:r w:rsidR="006C2BCB" w:rsidRPr="0054452E">
        <w:rPr>
          <w:rStyle w:val="bumpedfont15"/>
          <w:color w:val="000000" w:themeColor="text1"/>
        </w:rPr>
        <w:t xml:space="preserve"> </w:t>
      </w:r>
      <w:r w:rsidR="004B61EE" w:rsidRPr="0054452E">
        <w:rPr>
          <w:rStyle w:val="bumpedfont15"/>
          <w:color w:val="000000" w:themeColor="text1"/>
        </w:rPr>
        <w:t xml:space="preserve">sold through </w:t>
      </w:r>
      <w:r w:rsidR="00571B97" w:rsidRPr="0054452E">
        <w:rPr>
          <w:rStyle w:val="bumpedfont15"/>
          <w:color w:val="000000" w:themeColor="text1"/>
        </w:rPr>
        <w:t>the f</w:t>
      </w:r>
      <w:r w:rsidR="004B61EE" w:rsidRPr="0054452E">
        <w:rPr>
          <w:rStyle w:val="bumpedfont15"/>
          <w:color w:val="000000" w:themeColor="text1"/>
        </w:rPr>
        <w:t>irst respondent’s own agent.</w:t>
      </w:r>
      <w:r w:rsidR="006F2950" w:rsidRPr="0054452E">
        <w:rPr>
          <w:rStyle w:val="bumpedfont15"/>
          <w:color w:val="000000" w:themeColor="text1"/>
        </w:rPr>
        <w:t xml:space="preserve"> </w:t>
      </w:r>
      <w:r w:rsidR="00CD44D2" w:rsidRPr="0054452E">
        <w:rPr>
          <w:rStyle w:val="bumpedfont15"/>
          <w:color w:val="000000" w:themeColor="text1"/>
        </w:rPr>
        <w:t>The</w:t>
      </w:r>
      <w:r w:rsidR="00571B97" w:rsidRPr="0054452E">
        <w:rPr>
          <w:rStyle w:val="bumpedfont15"/>
          <w:color w:val="000000" w:themeColor="text1"/>
        </w:rPr>
        <w:t xml:space="preserve"> </w:t>
      </w:r>
      <w:r w:rsidR="00CD44D2" w:rsidRPr="0054452E">
        <w:rPr>
          <w:rStyle w:val="bumpedfont15"/>
          <w:color w:val="000000" w:themeColor="text1"/>
        </w:rPr>
        <w:t xml:space="preserve">legal principle </w:t>
      </w:r>
      <w:r w:rsidR="00571B97" w:rsidRPr="0054452E">
        <w:rPr>
          <w:rStyle w:val="bumpedfont15"/>
          <w:color w:val="000000" w:themeColor="text1"/>
        </w:rPr>
        <w:t>that,</w:t>
      </w:r>
      <w:r w:rsidR="00571B97" w:rsidRPr="0054452E">
        <w:rPr>
          <w:rStyle w:val="apple-converted-space"/>
          <w:color w:val="000000" w:themeColor="text1"/>
        </w:rPr>
        <w:t> </w:t>
      </w:r>
      <w:r w:rsidR="00571B97" w:rsidRPr="0054452E">
        <w:rPr>
          <w:rStyle w:val="bumpedfont15"/>
          <w:color w:val="000000" w:themeColor="text1"/>
        </w:rPr>
        <w:t>he who does so</w:t>
      </w:r>
      <w:r w:rsidR="00CD44D2" w:rsidRPr="0054452E">
        <w:rPr>
          <w:rStyle w:val="bumpedfont15"/>
          <w:color w:val="000000" w:themeColor="text1"/>
        </w:rPr>
        <w:t>mething through another does so</w:t>
      </w:r>
      <w:r w:rsidR="00571B97" w:rsidRPr="0054452E">
        <w:rPr>
          <w:rStyle w:val="bumpedfont15"/>
          <w:color w:val="000000" w:themeColor="text1"/>
        </w:rPr>
        <w:t xml:space="preserve"> himself</w:t>
      </w:r>
      <w:r w:rsidR="00CD44D2" w:rsidRPr="0054452E">
        <w:rPr>
          <w:rStyle w:val="bumpedfont15"/>
          <w:color w:val="000000" w:themeColor="text1"/>
        </w:rPr>
        <w:t xml:space="preserve"> is relevant</w:t>
      </w:r>
      <w:r w:rsidR="00571B97" w:rsidRPr="0054452E">
        <w:rPr>
          <w:rStyle w:val="bumpedfont15"/>
          <w:color w:val="000000" w:themeColor="text1"/>
        </w:rPr>
        <w:t>.</w:t>
      </w:r>
      <w:r w:rsidR="00571B97" w:rsidRPr="0054452E">
        <w:rPr>
          <w:rStyle w:val="apple-converted-space"/>
          <w:color w:val="000000" w:themeColor="text1"/>
        </w:rPr>
        <w:t> </w:t>
      </w:r>
      <w:r w:rsidR="00CD44D2" w:rsidRPr="0054452E">
        <w:rPr>
          <w:rStyle w:val="apple-converted-space"/>
          <w:color w:val="000000" w:themeColor="text1"/>
        </w:rPr>
        <w:t>Using th</w:t>
      </w:r>
      <w:r w:rsidR="00CF35A1" w:rsidRPr="0054452E">
        <w:rPr>
          <w:rStyle w:val="apple-converted-space"/>
          <w:color w:val="000000" w:themeColor="text1"/>
        </w:rPr>
        <w:t xml:space="preserve">at </w:t>
      </w:r>
      <w:r w:rsidR="00CD44D2" w:rsidRPr="0054452E">
        <w:rPr>
          <w:rStyle w:val="apple-converted-space"/>
          <w:color w:val="000000" w:themeColor="text1"/>
        </w:rPr>
        <w:t xml:space="preserve">legal </w:t>
      </w:r>
      <w:r w:rsidR="006F2950" w:rsidRPr="0054452E">
        <w:rPr>
          <w:rStyle w:val="apple-converted-space"/>
          <w:color w:val="000000" w:themeColor="text1"/>
        </w:rPr>
        <w:t>principle,</w:t>
      </w:r>
      <w:r w:rsidR="00CD44D2" w:rsidRPr="0054452E">
        <w:rPr>
          <w:rStyle w:val="apple-converted-space"/>
          <w:color w:val="000000" w:themeColor="text1"/>
        </w:rPr>
        <w:t xml:space="preserve"> </w:t>
      </w:r>
      <w:r w:rsidR="00CF35A1" w:rsidRPr="0054452E">
        <w:rPr>
          <w:rStyle w:val="apple-converted-space"/>
          <w:color w:val="000000" w:themeColor="text1"/>
        </w:rPr>
        <w:t xml:space="preserve">the applicant </w:t>
      </w:r>
      <w:r w:rsidRPr="0054452E">
        <w:rPr>
          <w:rStyle w:val="apple-converted-space"/>
          <w:color w:val="000000" w:themeColor="text1"/>
        </w:rPr>
        <w:t xml:space="preserve">is correct to </w:t>
      </w:r>
      <w:r w:rsidR="00CD44D2" w:rsidRPr="0054452E">
        <w:rPr>
          <w:rStyle w:val="apple-converted-space"/>
          <w:color w:val="000000" w:themeColor="text1"/>
        </w:rPr>
        <w:t>argue that it was actually the first respondent who disposed of the property</w:t>
      </w:r>
      <w:r w:rsidR="006F2950" w:rsidRPr="0054452E">
        <w:rPr>
          <w:rStyle w:val="apple-converted-space"/>
          <w:color w:val="000000" w:themeColor="text1"/>
        </w:rPr>
        <w:t>.</w:t>
      </w:r>
      <w:r w:rsidR="00CF35A1" w:rsidRPr="0054452E">
        <w:rPr>
          <w:color w:val="000000" w:themeColor="text1"/>
        </w:rPr>
        <w:t xml:space="preserve"> </w:t>
      </w:r>
      <w:r w:rsidR="00571B97" w:rsidRPr="0054452E">
        <w:rPr>
          <w:rStyle w:val="bumpedfont15"/>
          <w:color w:val="000000" w:themeColor="text1"/>
        </w:rPr>
        <w:t>She</w:t>
      </w:r>
      <w:r w:rsidR="00571B97" w:rsidRPr="0054452E">
        <w:rPr>
          <w:rStyle w:val="apple-converted-space"/>
          <w:color w:val="000000" w:themeColor="text1"/>
        </w:rPr>
        <w:t> </w:t>
      </w:r>
      <w:r w:rsidR="00CD44D2" w:rsidRPr="0054452E">
        <w:rPr>
          <w:rStyle w:val="apple-converted-space"/>
          <w:color w:val="000000" w:themeColor="text1"/>
        </w:rPr>
        <w:t xml:space="preserve">however </w:t>
      </w:r>
      <w:r w:rsidR="00571B97" w:rsidRPr="0054452E">
        <w:rPr>
          <w:rStyle w:val="bumpedfont15"/>
          <w:color w:val="000000" w:themeColor="text1"/>
        </w:rPr>
        <w:t>cou</w:t>
      </w:r>
      <w:r w:rsidR="00CD44D2" w:rsidRPr="0054452E">
        <w:rPr>
          <w:rStyle w:val="bumpedfont15"/>
          <w:color w:val="000000" w:themeColor="text1"/>
        </w:rPr>
        <w:t xml:space="preserve">ld not sign </w:t>
      </w:r>
      <w:r w:rsidRPr="0054452E">
        <w:rPr>
          <w:rStyle w:val="bumpedfont15"/>
          <w:color w:val="000000" w:themeColor="text1"/>
        </w:rPr>
        <w:t xml:space="preserve">the agreement of sale because her name does </w:t>
      </w:r>
      <w:r w:rsidR="00571B97" w:rsidRPr="0054452E">
        <w:rPr>
          <w:rStyle w:val="bumpedfont15"/>
          <w:color w:val="000000" w:themeColor="text1"/>
        </w:rPr>
        <w:t xml:space="preserve">not appear on the tittle deed. </w:t>
      </w:r>
      <w:r w:rsidRPr="0054452E">
        <w:rPr>
          <w:rStyle w:val="bumpedfont15"/>
          <w:color w:val="000000" w:themeColor="text1"/>
        </w:rPr>
        <w:t>For that reason, t</w:t>
      </w:r>
      <w:r w:rsidR="00571B97" w:rsidRPr="0054452E">
        <w:rPr>
          <w:rStyle w:val="bumpedfont15"/>
          <w:color w:val="000000" w:themeColor="text1"/>
        </w:rPr>
        <w:t>he applicant signed</w:t>
      </w:r>
      <w:r w:rsidR="00CD44D2" w:rsidRPr="0054452E">
        <w:rPr>
          <w:rStyle w:val="bumpedfont15"/>
          <w:color w:val="000000" w:themeColor="text1"/>
        </w:rPr>
        <w:t xml:space="preserve"> </w:t>
      </w:r>
      <w:r w:rsidR="00571B97" w:rsidRPr="0054452E">
        <w:rPr>
          <w:rStyle w:val="bumpedfont15"/>
          <w:color w:val="000000" w:themeColor="text1"/>
        </w:rPr>
        <w:t>because his name appears on the title deed</w:t>
      </w:r>
      <w:r w:rsidR="00CD44D2" w:rsidRPr="0054452E">
        <w:rPr>
          <w:rStyle w:val="bumpedfont15"/>
          <w:color w:val="000000" w:themeColor="text1"/>
        </w:rPr>
        <w:t>.</w:t>
      </w:r>
      <w:r w:rsidR="009377E8" w:rsidRPr="0054452E">
        <w:rPr>
          <w:rStyle w:val="bumpedfont15"/>
          <w:color w:val="000000" w:themeColor="text1"/>
        </w:rPr>
        <w:t xml:space="preserve"> </w:t>
      </w:r>
      <w:r w:rsidR="00CD44D2" w:rsidRPr="0054452E">
        <w:rPr>
          <w:rStyle w:val="bumpedfont15"/>
          <w:color w:val="000000" w:themeColor="text1"/>
        </w:rPr>
        <w:t xml:space="preserve">There is therefore no </w:t>
      </w:r>
      <w:r w:rsidR="00CD44D2" w:rsidRPr="0054452E">
        <w:rPr>
          <w:rStyle w:val="bumpedfont15"/>
          <w:color w:val="0D0D0D" w:themeColor="text1" w:themeTint="F2"/>
        </w:rPr>
        <w:t xml:space="preserve">contempt that can arise from that. </w:t>
      </w:r>
    </w:p>
    <w:p w14:paraId="1D687A0F" w14:textId="019B6444" w:rsidR="00123257" w:rsidRPr="0054452E" w:rsidRDefault="003F6E1B" w:rsidP="00CF35A1">
      <w:pPr>
        <w:pStyle w:val="s10"/>
        <w:numPr>
          <w:ilvl w:val="0"/>
          <w:numId w:val="12"/>
        </w:numPr>
        <w:spacing w:before="0" w:beforeAutospacing="0" w:after="240" w:afterAutospacing="0" w:line="360" w:lineRule="auto"/>
        <w:jc w:val="both"/>
        <w:rPr>
          <w:color w:val="0D0D0D" w:themeColor="text1" w:themeTint="F2"/>
        </w:rPr>
      </w:pPr>
      <w:r w:rsidRPr="0054452E">
        <w:rPr>
          <w:rStyle w:val="bumpedfont15"/>
          <w:color w:val="0D0D0D" w:themeColor="text1" w:themeTint="F2"/>
        </w:rPr>
        <w:t xml:space="preserve">In addition, the question of whether or not the applicant required the consent of the first respondent to sell the property is the essence of the very dispute that is before this court. </w:t>
      </w:r>
      <w:r w:rsidR="00CD44D2" w:rsidRPr="0054452E">
        <w:rPr>
          <w:rStyle w:val="bumpedfont15"/>
          <w:color w:val="0D0D0D" w:themeColor="text1" w:themeTint="F2"/>
        </w:rPr>
        <w:t>For th</w:t>
      </w:r>
      <w:r w:rsidRPr="0054452E">
        <w:rPr>
          <w:rStyle w:val="bumpedfont15"/>
          <w:color w:val="0D0D0D" w:themeColor="text1" w:themeTint="F2"/>
        </w:rPr>
        <w:t>e above</w:t>
      </w:r>
      <w:r w:rsidR="00CD44D2" w:rsidRPr="0054452E">
        <w:rPr>
          <w:rStyle w:val="bumpedfont15"/>
          <w:color w:val="0D0D0D" w:themeColor="text1" w:themeTint="F2"/>
        </w:rPr>
        <w:t xml:space="preserve"> reason</w:t>
      </w:r>
      <w:r w:rsidRPr="0054452E">
        <w:rPr>
          <w:rStyle w:val="bumpedfont15"/>
          <w:color w:val="0D0D0D" w:themeColor="text1" w:themeTint="F2"/>
        </w:rPr>
        <w:t>s</w:t>
      </w:r>
      <w:r w:rsidR="00CD44D2" w:rsidRPr="0054452E">
        <w:rPr>
          <w:rStyle w:val="bumpedfont15"/>
          <w:color w:val="0D0D0D" w:themeColor="text1" w:themeTint="F2"/>
        </w:rPr>
        <w:t>, the issue</w:t>
      </w:r>
      <w:r w:rsidR="00571B97" w:rsidRPr="0054452E">
        <w:rPr>
          <w:rStyle w:val="bumpedfont15"/>
          <w:color w:val="0D0D0D" w:themeColor="text1" w:themeTint="F2"/>
        </w:rPr>
        <w:t xml:space="preserve"> of dirty hands </w:t>
      </w:r>
      <w:r w:rsidRPr="0054452E">
        <w:rPr>
          <w:rStyle w:val="bumpedfont15"/>
          <w:color w:val="0D0D0D" w:themeColor="text1" w:themeTint="F2"/>
        </w:rPr>
        <w:t xml:space="preserve">cannot arise. </w:t>
      </w:r>
      <w:r w:rsidR="00123257" w:rsidRPr="0054452E">
        <w:rPr>
          <w:color w:val="0D0D0D" w:themeColor="text1" w:themeTint="F2"/>
          <w:lang w:val="en-US"/>
        </w:rPr>
        <w:t xml:space="preserve">The point </w:t>
      </w:r>
      <w:r w:rsidR="00123257" w:rsidRPr="0054452E">
        <w:rPr>
          <w:i/>
          <w:color w:val="0D0D0D" w:themeColor="text1" w:themeTint="F2"/>
          <w:lang w:val="en-US"/>
        </w:rPr>
        <w:t>in limine</w:t>
      </w:r>
      <w:r w:rsidR="00123257" w:rsidRPr="0054452E">
        <w:rPr>
          <w:color w:val="0D0D0D" w:themeColor="text1" w:themeTint="F2"/>
          <w:lang w:val="en-US"/>
        </w:rPr>
        <w:t xml:space="preserve"> is </w:t>
      </w:r>
      <w:r w:rsidRPr="0054452E">
        <w:rPr>
          <w:color w:val="0D0D0D" w:themeColor="text1" w:themeTint="F2"/>
          <w:lang w:val="en-US"/>
        </w:rPr>
        <w:t xml:space="preserve">therefore </w:t>
      </w:r>
      <w:r w:rsidR="00123257" w:rsidRPr="0054452E">
        <w:rPr>
          <w:color w:val="0D0D0D" w:themeColor="text1" w:themeTint="F2"/>
          <w:lang w:val="en-US"/>
        </w:rPr>
        <w:t xml:space="preserve">without merit and must accordingly fail. </w:t>
      </w:r>
    </w:p>
    <w:p w14:paraId="544C7456" w14:textId="77777777" w:rsidR="001C498A" w:rsidRDefault="001C498A" w:rsidP="00B02759">
      <w:pPr>
        <w:spacing w:after="240" w:line="360" w:lineRule="auto"/>
        <w:ind w:firstLine="360"/>
        <w:jc w:val="both"/>
        <w:rPr>
          <w:rFonts w:ascii="Times New Roman" w:hAnsi="Times New Roman" w:cs="Times New Roman"/>
          <w:b/>
          <w:u w:val="single"/>
          <w:lang w:val="en-US"/>
        </w:rPr>
      </w:pPr>
    </w:p>
    <w:p w14:paraId="4C1F5868" w14:textId="39E89329" w:rsidR="00123257" w:rsidRPr="00F556CD" w:rsidRDefault="00123257" w:rsidP="00A0599A">
      <w:pPr>
        <w:spacing w:after="0" w:line="360" w:lineRule="auto"/>
        <w:ind w:left="540" w:hanging="90"/>
        <w:jc w:val="both"/>
        <w:rPr>
          <w:rFonts w:ascii="Times New Roman" w:hAnsi="Times New Roman" w:cs="Times New Roman"/>
          <w:b/>
          <w:u w:val="single"/>
          <w:lang w:val="en-US"/>
        </w:rPr>
      </w:pPr>
      <w:r w:rsidRPr="00F556CD">
        <w:rPr>
          <w:rFonts w:ascii="Times New Roman" w:hAnsi="Times New Roman" w:cs="Times New Roman"/>
          <w:b/>
          <w:u w:val="single"/>
          <w:lang w:val="en-US"/>
        </w:rPr>
        <w:t xml:space="preserve">The </w:t>
      </w:r>
      <w:r w:rsidR="00A0599A" w:rsidRPr="00F556CD">
        <w:rPr>
          <w:rFonts w:ascii="Times New Roman" w:hAnsi="Times New Roman" w:cs="Times New Roman"/>
          <w:b/>
          <w:u w:val="single"/>
          <w:lang w:val="en-US"/>
        </w:rPr>
        <w:t>Dispute</w:t>
      </w:r>
    </w:p>
    <w:p w14:paraId="40A7F5E2" w14:textId="1E924C87" w:rsidR="004C3582" w:rsidRDefault="00EE28EB" w:rsidP="001C498A">
      <w:pPr>
        <w:pStyle w:val="p1"/>
        <w:numPr>
          <w:ilvl w:val="0"/>
          <w:numId w:val="12"/>
        </w:numPr>
        <w:spacing w:line="360" w:lineRule="auto"/>
        <w:jc w:val="both"/>
        <w:rPr>
          <w:rFonts w:ascii="Times New Roman" w:hAnsi="Times New Roman"/>
          <w:sz w:val="24"/>
          <w:szCs w:val="24"/>
        </w:rPr>
      </w:pPr>
      <w:r w:rsidRPr="00F556CD">
        <w:rPr>
          <w:rStyle w:val="s1"/>
          <w:rFonts w:ascii="Times New Roman" w:hAnsi="Times New Roman"/>
          <w:sz w:val="24"/>
          <w:szCs w:val="24"/>
        </w:rPr>
        <w:t xml:space="preserve">The only issue that arises for determination </w:t>
      </w:r>
      <w:r w:rsidR="009377E8" w:rsidRPr="00F556CD">
        <w:rPr>
          <w:rStyle w:val="s1"/>
          <w:rFonts w:ascii="Times New Roman" w:hAnsi="Times New Roman"/>
          <w:sz w:val="24"/>
          <w:szCs w:val="24"/>
        </w:rPr>
        <w:t>is whether the second r</w:t>
      </w:r>
      <w:r w:rsidRPr="00F556CD">
        <w:rPr>
          <w:rStyle w:val="s1"/>
          <w:rFonts w:ascii="Times New Roman" w:hAnsi="Times New Roman"/>
          <w:sz w:val="24"/>
          <w:szCs w:val="24"/>
        </w:rPr>
        <w:t xml:space="preserve">espondent should be ordered to uplift the caveat that he noted </w:t>
      </w:r>
      <w:r w:rsidR="009377E8" w:rsidRPr="00F556CD">
        <w:rPr>
          <w:rStyle w:val="s1"/>
          <w:rFonts w:ascii="Times New Roman" w:hAnsi="Times New Roman"/>
          <w:sz w:val="24"/>
          <w:szCs w:val="24"/>
        </w:rPr>
        <w:t>against the title deed to the a</w:t>
      </w:r>
      <w:r w:rsidRPr="00F556CD">
        <w:rPr>
          <w:rStyle w:val="s1"/>
          <w:rFonts w:ascii="Times New Roman" w:hAnsi="Times New Roman"/>
          <w:sz w:val="24"/>
          <w:szCs w:val="24"/>
        </w:rPr>
        <w:t xml:space="preserve">pplicant's property, </w:t>
      </w:r>
      <w:r w:rsidR="00216B3F">
        <w:rPr>
          <w:rStyle w:val="s1"/>
          <w:rFonts w:ascii="Times New Roman" w:hAnsi="Times New Roman"/>
          <w:sz w:val="24"/>
          <w:szCs w:val="24"/>
        </w:rPr>
        <w:t>S</w:t>
      </w:r>
      <w:r w:rsidR="00216B3F" w:rsidRPr="00F556CD">
        <w:rPr>
          <w:rStyle w:val="s1"/>
          <w:rFonts w:ascii="Times New Roman" w:hAnsi="Times New Roman"/>
          <w:sz w:val="24"/>
          <w:szCs w:val="24"/>
        </w:rPr>
        <w:t>tand 274 Quinnington Township 11 of Lot DC Quinnington</w:t>
      </w:r>
      <w:r w:rsidR="00216B3F">
        <w:rPr>
          <w:rStyle w:val="s1"/>
          <w:rFonts w:ascii="Times New Roman" w:hAnsi="Times New Roman"/>
          <w:sz w:val="24"/>
          <w:szCs w:val="24"/>
        </w:rPr>
        <w:t>, (</w:t>
      </w:r>
      <w:r w:rsidRPr="00F556CD">
        <w:rPr>
          <w:rStyle w:val="s1"/>
          <w:rFonts w:ascii="Times New Roman" w:hAnsi="Times New Roman"/>
          <w:sz w:val="24"/>
          <w:szCs w:val="24"/>
        </w:rPr>
        <w:t>number 5 Waxbill Way, Borrowdale</w:t>
      </w:r>
      <w:r w:rsidR="00216B3F">
        <w:rPr>
          <w:rStyle w:val="s1"/>
          <w:rFonts w:ascii="Times New Roman" w:hAnsi="Times New Roman"/>
          <w:sz w:val="24"/>
          <w:szCs w:val="24"/>
        </w:rPr>
        <w:t>)</w:t>
      </w:r>
      <w:r w:rsidRPr="00F556CD">
        <w:rPr>
          <w:rStyle w:val="s1"/>
          <w:rFonts w:ascii="Times New Roman" w:hAnsi="Times New Roman"/>
          <w:sz w:val="24"/>
          <w:szCs w:val="24"/>
        </w:rPr>
        <w:t xml:space="preserve"> Har</w:t>
      </w:r>
      <w:r w:rsidR="009377E8" w:rsidRPr="00F556CD">
        <w:rPr>
          <w:rStyle w:val="s1"/>
          <w:rFonts w:ascii="Times New Roman" w:hAnsi="Times New Roman"/>
          <w:sz w:val="24"/>
          <w:szCs w:val="24"/>
        </w:rPr>
        <w:t>are, at the instance of the first</w:t>
      </w:r>
      <w:r w:rsidRPr="00F556CD">
        <w:rPr>
          <w:rStyle w:val="s1"/>
          <w:rFonts w:ascii="Times New Roman" w:hAnsi="Times New Roman"/>
          <w:sz w:val="24"/>
          <w:szCs w:val="24"/>
        </w:rPr>
        <w:t xml:space="preserve"> </w:t>
      </w:r>
      <w:r w:rsidR="009377E8" w:rsidRPr="00F556CD">
        <w:rPr>
          <w:rStyle w:val="s1"/>
          <w:rFonts w:ascii="Times New Roman" w:hAnsi="Times New Roman"/>
          <w:sz w:val="24"/>
          <w:szCs w:val="24"/>
        </w:rPr>
        <w:t>r</w:t>
      </w:r>
      <w:r w:rsidRPr="00F556CD">
        <w:rPr>
          <w:rStyle w:val="s1"/>
          <w:rFonts w:ascii="Times New Roman" w:hAnsi="Times New Roman"/>
          <w:sz w:val="24"/>
          <w:szCs w:val="24"/>
        </w:rPr>
        <w:t>espondent.</w:t>
      </w:r>
    </w:p>
    <w:p w14:paraId="4A20F6A3" w14:textId="06E753FF" w:rsidR="00EE28EB" w:rsidRPr="004C3582" w:rsidRDefault="00EE28EB" w:rsidP="001C498A">
      <w:pPr>
        <w:pStyle w:val="p1"/>
        <w:numPr>
          <w:ilvl w:val="0"/>
          <w:numId w:val="12"/>
        </w:numPr>
        <w:spacing w:line="360" w:lineRule="auto"/>
        <w:jc w:val="both"/>
        <w:rPr>
          <w:rStyle w:val="s1"/>
          <w:rFonts w:ascii="Times New Roman" w:hAnsi="Times New Roman"/>
          <w:sz w:val="24"/>
          <w:szCs w:val="24"/>
        </w:rPr>
      </w:pPr>
      <w:r w:rsidRPr="004C3582">
        <w:rPr>
          <w:rStyle w:val="s1"/>
          <w:rFonts w:ascii="Times New Roman" w:hAnsi="Times New Roman"/>
          <w:sz w:val="24"/>
          <w:szCs w:val="24"/>
        </w:rPr>
        <w:t>The applicant submits that there is no legal justification for the continuance of the caveat that was placed</w:t>
      </w:r>
      <w:r w:rsidR="009377E8" w:rsidRPr="004C3582">
        <w:rPr>
          <w:rStyle w:val="s1"/>
          <w:rFonts w:ascii="Times New Roman" w:hAnsi="Times New Roman"/>
          <w:sz w:val="24"/>
          <w:szCs w:val="24"/>
        </w:rPr>
        <w:t xml:space="preserve"> against the property by the second r</w:t>
      </w:r>
      <w:r w:rsidRPr="004C3582">
        <w:rPr>
          <w:rStyle w:val="s1"/>
          <w:rFonts w:ascii="Times New Roman" w:hAnsi="Times New Roman"/>
          <w:sz w:val="24"/>
          <w:szCs w:val="24"/>
        </w:rPr>
        <w:t>espondent over twenty years ago</w:t>
      </w:r>
      <w:r w:rsidR="004C3582">
        <w:rPr>
          <w:rStyle w:val="s1"/>
          <w:rFonts w:ascii="Times New Roman" w:hAnsi="Times New Roman"/>
          <w:sz w:val="24"/>
          <w:szCs w:val="24"/>
        </w:rPr>
        <w:t xml:space="preserve">. </w:t>
      </w:r>
      <w:r w:rsidRPr="004C3582">
        <w:rPr>
          <w:rStyle w:val="s1"/>
          <w:rFonts w:ascii="Times New Roman" w:hAnsi="Times New Roman"/>
          <w:sz w:val="24"/>
          <w:szCs w:val="24"/>
        </w:rPr>
        <w:t xml:space="preserve"> </w:t>
      </w:r>
      <w:r w:rsidR="004C3582">
        <w:rPr>
          <w:rStyle w:val="s1"/>
          <w:rFonts w:ascii="Times New Roman" w:hAnsi="Times New Roman"/>
          <w:sz w:val="24"/>
          <w:szCs w:val="24"/>
        </w:rPr>
        <w:t>He</w:t>
      </w:r>
      <w:r w:rsidR="009377E8" w:rsidRPr="004C3582">
        <w:rPr>
          <w:rStyle w:val="s1"/>
          <w:rFonts w:ascii="Times New Roman" w:hAnsi="Times New Roman"/>
          <w:sz w:val="24"/>
          <w:szCs w:val="24"/>
        </w:rPr>
        <w:t xml:space="preserve"> contends that the second r</w:t>
      </w:r>
      <w:r w:rsidRPr="004C3582">
        <w:rPr>
          <w:rStyle w:val="s1"/>
          <w:rFonts w:ascii="Times New Roman" w:hAnsi="Times New Roman"/>
          <w:sz w:val="24"/>
          <w:szCs w:val="24"/>
        </w:rPr>
        <w:t>espondent's refusal to uplift the caveat is wrongful and illegal.</w:t>
      </w:r>
      <w:r w:rsidR="006F2950" w:rsidRPr="004C3582">
        <w:rPr>
          <w:rStyle w:val="s1"/>
          <w:rFonts w:ascii="Times New Roman" w:hAnsi="Times New Roman"/>
          <w:sz w:val="24"/>
          <w:szCs w:val="24"/>
        </w:rPr>
        <w:t xml:space="preserve"> </w:t>
      </w:r>
      <w:r w:rsidR="009377E8" w:rsidRPr="004C3582">
        <w:rPr>
          <w:rStyle w:val="s1"/>
          <w:rFonts w:ascii="Times New Roman" w:hAnsi="Times New Roman"/>
          <w:sz w:val="24"/>
          <w:szCs w:val="24"/>
        </w:rPr>
        <w:t>On the other hand</w:t>
      </w:r>
      <w:r w:rsidR="006F2950" w:rsidRPr="004C3582">
        <w:rPr>
          <w:rStyle w:val="s1"/>
          <w:rFonts w:ascii="Times New Roman" w:hAnsi="Times New Roman"/>
          <w:sz w:val="24"/>
          <w:szCs w:val="24"/>
        </w:rPr>
        <w:t xml:space="preserve">, </w:t>
      </w:r>
      <w:r w:rsidR="009377E8" w:rsidRPr="004C3582">
        <w:rPr>
          <w:rStyle w:val="s1"/>
          <w:rFonts w:ascii="Times New Roman" w:hAnsi="Times New Roman"/>
          <w:sz w:val="24"/>
          <w:szCs w:val="24"/>
        </w:rPr>
        <w:t>the first and third</w:t>
      </w:r>
      <w:r w:rsidRPr="004C3582">
        <w:rPr>
          <w:rStyle w:val="s1"/>
          <w:rFonts w:ascii="Times New Roman" w:hAnsi="Times New Roman"/>
          <w:sz w:val="24"/>
          <w:szCs w:val="24"/>
        </w:rPr>
        <w:t xml:space="preserve"> respondent</w:t>
      </w:r>
      <w:r w:rsidR="009377E8" w:rsidRPr="004C3582">
        <w:rPr>
          <w:rStyle w:val="s1"/>
          <w:rFonts w:ascii="Times New Roman" w:hAnsi="Times New Roman"/>
          <w:sz w:val="24"/>
          <w:szCs w:val="24"/>
        </w:rPr>
        <w:t>s</w:t>
      </w:r>
      <w:r w:rsidRPr="004C3582">
        <w:rPr>
          <w:rStyle w:val="s1"/>
          <w:rFonts w:ascii="Times New Roman" w:hAnsi="Times New Roman"/>
          <w:sz w:val="24"/>
          <w:szCs w:val="24"/>
        </w:rPr>
        <w:t xml:space="preserve"> contend that the existence of the caveat is justified and the sale of the propert</w:t>
      </w:r>
      <w:r w:rsidR="009377E8" w:rsidRPr="004C3582">
        <w:rPr>
          <w:rStyle w:val="s1"/>
          <w:rFonts w:ascii="Times New Roman" w:hAnsi="Times New Roman"/>
          <w:sz w:val="24"/>
          <w:szCs w:val="24"/>
        </w:rPr>
        <w:t>y should only be made with the first</w:t>
      </w:r>
      <w:r w:rsidRPr="004C3582">
        <w:rPr>
          <w:rStyle w:val="s1"/>
          <w:rFonts w:ascii="Times New Roman" w:hAnsi="Times New Roman"/>
          <w:sz w:val="24"/>
          <w:szCs w:val="24"/>
        </w:rPr>
        <w:t xml:space="preserve"> respondent’s consent.</w:t>
      </w:r>
    </w:p>
    <w:p w14:paraId="3D9B2F87" w14:textId="3C5A5F80" w:rsidR="00123257" w:rsidRPr="00943905" w:rsidRDefault="00123257" w:rsidP="00A0599A">
      <w:pPr>
        <w:spacing w:after="0" w:line="360" w:lineRule="auto"/>
        <w:ind w:left="90" w:firstLine="360"/>
        <w:jc w:val="both"/>
        <w:rPr>
          <w:rFonts w:ascii="Times New Roman" w:hAnsi="Times New Roman" w:cs="Times New Roman"/>
          <w:b/>
          <w:color w:val="0D0D0D" w:themeColor="text1" w:themeTint="F2"/>
          <w:u w:val="single"/>
          <w:lang w:val="en-US"/>
        </w:rPr>
      </w:pPr>
      <w:r w:rsidRPr="00943905">
        <w:rPr>
          <w:rFonts w:ascii="Times New Roman" w:hAnsi="Times New Roman" w:cs="Times New Roman"/>
          <w:b/>
          <w:color w:val="0D0D0D" w:themeColor="text1" w:themeTint="F2"/>
          <w:u w:val="single"/>
          <w:lang w:val="en-US"/>
        </w:rPr>
        <w:t xml:space="preserve">The </w:t>
      </w:r>
      <w:r w:rsidR="00A0599A" w:rsidRPr="00943905">
        <w:rPr>
          <w:rFonts w:ascii="Times New Roman" w:hAnsi="Times New Roman" w:cs="Times New Roman"/>
          <w:b/>
          <w:color w:val="0D0D0D" w:themeColor="text1" w:themeTint="F2"/>
          <w:u w:val="single"/>
          <w:lang w:val="en-US"/>
        </w:rPr>
        <w:t xml:space="preserve">Law </w:t>
      </w:r>
    </w:p>
    <w:p w14:paraId="46D9E7C0" w14:textId="1E929DBB" w:rsidR="00711BAA" w:rsidRPr="00943905" w:rsidRDefault="00A80AA3" w:rsidP="001C498A">
      <w:pPr>
        <w:pStyle w:val="ListParagraph"/>
        <w:numPr>
          <w:ilvl w:val="0"/>
          <w:numId w:val="12"/>
        </w:numPr>
        <w:spacing w:line="360" w:lineRule="auto"/>
        <w:jc w:val="both"/>
        <w:rPr>
          <w:rFonts w:ascii="Times New Roman" w:hAnsi="Times New Roman" w:cs="Times New Roman"/>
          <w:color w:val="0D0D0D" w:themeColor="text1" w:themeTint="F2"/>
        </w:rPr>
      </w:pPr>
      <w:r w:rsidRPr="00943905">
        <w:rPr>
          <w:rFonts w:ascii="Times New Roman" w:eastAsia="Calibri" w:hAnsi="Times New Roman" w:cs="Times New Roman"/>
          <w:color w:val="0D0D0D" w:themeColor="text1" w:themeTint="F2"/>
          <w:kern w:val="0"/>
          <w:lang w:eastAsia="en-US"/>
          <w14:ligatures w14:val="none"/>
        </w:rPr>
        <w:t xml:space="preserve">Clearly in this case, the applicant seeks a mandamus or mandatory interdict. In its raw sense, the mandatory interdict is a judicial remedy which forces a respondent to do certain specified acts which he/she/it is required at law to perform. </w:t>
      </w:r>
      <w:r w:rsidR="00711BAA" w:rsidRPr="00943905">
        <w:rPr>
          <w:rFonts w:ascii="Times New Roman" w:eastAsia="Calibri" w:hAnsi="Times New Roman" w:cs="Times New Roman"/>
          <w:color w:val="0D0D0D" w:themeColor="text1" w:themeTint="F2"/>
          <w:kern w:val="0"/>
          <w:lang w:eastAsia="en-US"/>
          <w14:ligatures w14:val="none"/>
        </w:rPr>
        <w:t xml:space="preserve">In the case of </w:t>
      </w:r>
      <w:r w:rsidR="00711BAA" w:rsidRPr="00943905">
        <w:rPr>
          <w:rFonts w:ascii="Times New Roman" w:hAnsi="Times New Roman" w:cs="Times New Roman"/>
          <w:i/>
          <w:color w:val="0D0D0D" w:themeColor="text1" w:themeTint="F2"/>
        </w:rPr>
        <w:t xml:space="preserve">CRG Quarries (Pvt) Ltd </w:t>
      </w:r>
      <w:r w:rsidR="00711BAA" w:rsidRPr="001C498A">
        <w:rPr>
          <w:rFonts w:ascii="Times New Roman" w:hAnsi="Times New Roman" w:cs="Times New Roman"/>
          <w:color w:val="0D0D0D" w:themeColor="text1" w:themeTint="F2"/>
        </w:rPr>
        <w:t>versus</w:t>
      </w:r>
      <w:r w:rsidR="00711BAA" w:rsidRPr="00943905">
        <w:rPr>
          <w:rFonts w:ascii="Times New Roman" w:hAnsi="Times New Roman" w:cs="Times New Roman"/>
          <w:i/>
          <w:color w:val="0D0D0D" w:themeColor="text1" w:themeTint="F2"/>
        </w:rPr>
        <w:t xml:space="preserve"> The Provincial Mining Director Mashonaland East Province N.O and Others</w:t>
      </w:r>
      <w:r w:rsidR="00711BAA" w:rsidRPr="00943905">
        <w:rPr>
          <w:rFonts w:ascii="Times New Roman" w:hAnsi="Times New Roman" w:cs="Times New Roman"/>
          <w:color w:val="0D0D0D" w:themeColor="text1" w:themeTint="F2"/>
        </w:rPr>
        <w:t xml:space="preserve"> HH</w:t>
      </w:r>
      <w:r w:rsidR="001C498A">
        <w:rPr>
          <w:rFonts w:ascii="Times New Roman" w:hAnsi="Times New Roman" w:cs="Times New Roman"/>
          <w:color w:val="0D0D0D" w:themeColor="text1" w:themeTint="F2"/>
        </w:rPr>
        <w:t xml:space="preserve"> </w:t>
      </w:r>
      <w:r w:rsidR="00711BAA" w:rsidRPr="00943905">
        <w:rPr>
          <w:rFonts w:ascii="Times New Roman" w:hAnsi="Times New Roman" w:cs="Times New Roman"/>
          <w:color w:val="0D0D0D" w:themeColor="text1" w:themeTint="F2"/>
        </w:rPr>
        <w:t>700/20, this court cited with approval, Professor</w:t>
      </w:r>
      <w:r w:rsidR="00711BAA" w:rsidRPr="00943905">
        <w:rPr>
          <w:i/>
          <w:color w:val="0D0D0D" w:themeColor="text1" w:themeTint="F2"/>
        </w:rPr>
        <w:t xml:space="preserve"> </w:t>
      </w:r>
      <w:r w:rsidR="00711BAA" w:rsidRPr="001C498A">
        <w:rPr>
          <w:color w:val="0D0D0D" w:themeColor="text1" w:themeTint="F2"/>
        </w:rPr>
        <w:t xml:space="preserve">G. </w:t>
      </w:r>
      <w:r w:rsidR="00711BAA" w:rsidRPr="001C498A">
        <w:rPr>
          <w:rFonts w:ascii="Times New Roman" w:hAnsi="Times New Roman" w:cs="Times New Roman"/>
          <w:color w:val="0D0D0D" w:themeColor="text1" w:themeTint="F2"/>
        </w:rPr>
        <w:t>Feltoe</w:t>
      </w:r>
      <w:r w:rsidR="00711BAA" w:rsidRPr="00943905">
        <w:rPr>
          <w:rFonts w:ascii="Times New Roman" w:hAnsi="Times New Roman" w:cs="Times New Roman"/>
          <w:i/>
          <w:color w:val="0D0D0D" w:themeColor="text1" w:themeTint="F2"/>
        </w:rPr>
        <w:t>, A Guide to Administrative and Local Government Law in Zimbabwe,</w:t>
      </w:r>
      <w:r w:rsidR="00711BAA" w:rsidRPr="00943905">
        <w:rPr>
          <w:rFonts w:ascii="Times New Roman" w:hAnsi="Times New Roman" w:cs="Times New Roman"/>
          <w:color w:val="0D0D0D" w:themeColor="text1" w:themeTint="F2"/>
        </w:rPr>
        <w:t xml:space="preserve"> 2007, who defined a mandamus as follows:</w:t>
      </w:r>
    </w:p>
    <w:p w14:paraId="4C0E0DF2" w14:textId="657D0060" w:rsidR="00A80AA3" w:rsidRPr="001C498A" w:rsidRDefault="00711BAA" w:rsidP="001C498A">
      <w:pPr>
        <w:spacing w:line="240" w:lineRule="auto"/>
        <w:ind w:left="1440"/>
        <w:jc w:val="both"/>
        <w:rPr>
          <w:rFonts w:ascii="Times New Roman" w:hAnsi="Times New Roman" w:cs="Times New Roman"/>
          <w:color w:val="0D0D0D" w:themeColor="text1" w:themeTint="F2"/>
          <w:sz w:val="22"/>
          <w:szCs w:val="18"/>
        </w:rPr>
      </w:pPr>
      <w:r w:rsidRPr="001C498A">
        <w:rPr>
          <w:rFonts w:ascii="Times New Roman" w:hAnsi="Times New Roman" w:cs="Times New Roman"/>
          <w:color w:val="0D0D0D" w:themeColor="text1" w:themeTint="F2"/>
          <w:sz w:val="22"/>
          <w:szCs w:val="18"/>
        </w:rPr>
        <w:t>“This remedy can be used to require an administrative authority to perform a mandatory statutory duty imposed upon it that it is wrongly refusing to perform, or to require the authority to correct the effects of its unlawful administrative action.”</w:t>
      </w:r>
    </w:p>
    <w:p w14:paraId="0EDF6813" w14:textId="4417132A" w:rsidR="00A80AA3" w:rsidRPr="00943905" w:rsidRDefault="00711BAA" w:rsidP="00A80AA3">
      <w:pPr>
        <w:pStyle w:val="ListParagraph"/>
        <w:numPr>
          <w:ilvl w:val="0"/>
          <w:numId w:val="12"/>
        </w:numPr>
        <w:spacing w:after="0" w:line="360" w:lineRule="auto"/>
        <w:jc w:val="both"/>
        <w:rPr>
          <w:rFonts w:ascii="Times New Roman" w:eastAsia="Calibri" w:hAnsi="Times New Roman" w:cs="Times New Roman"/>
          <w:color w:val="0D0D0D" w:themeColor="text1" w:themeTint="F2"/>
          <w:kern w:val="0"/>
          <w:lang w:eastAsia="en-US"/>
          <w14:ligatures w14:val="none"/>
        </w:rPr>
      </w:pPr>
      <w:r w:rsidRPr="00943905">
        <w:rPr>
          <w:rFonts w:ascii="Times New Roman" w:eastAsia="Calibri" w:hAnsi="Times New Roman" w:cs="Times New Roman"/>
          <w:color w:val="0D0D0D" w:themeColor="text1" w:themeTint="F2"/>
          <w:kern w:val="0"/>
          <w:lang w:eastAsia="en-US"/>
          <w14:ligatures w14:val="none"/>
        </w:rPr>
        <w:t xml:space="preserve"> The mandatory interdict is commonly used by litigants who seek to force </w:t>
      </w:r>
      <w:r w:rsidR="00A80AA3" w:rsidRPr="00943905">
        <w:rPr>
          <w:rFonts w:ascii="Times New Roman" w:eastAsia="Calibri" w:hAnsi="Times New Roman" w:cs="Times New Roman"/>
          <w:color w:val="0D0D0D" w:themeColor="text1" w:themeTint="F2"/>
          <w:kern w:val="0"/>
          <w:lang w:eastAsia="en-US"/>
          <w14:ligatures w14:val="none"/>
        </w:rPr>
        <w:t>government department</w:t>
      </w:r>
      <w:r w:rsidRPr="00943905">
        <w:rPr>
          <w:rFonts w:ascii="Times New Roman" w:eastAsia="Calibri" w:hAnsi="Times New Roman" w:cs="Times New Roman"/>
          <w:color w:val="0D0D0D" w:themeColor="text1" w:themeTint="F2"/>
          <w:kern w:val="0"/>
          <w:lang w:eastAsia="en-US"/>
          <w14:ligatures w14:val="none"/>
        </w:rPr>
        <w:t>s</w:t>
      </w:r>
      <w:r w:rsidR="00A80AA3" w:rsidRPr="00943905">
        <w:rPr>
          <w:rFonts w:ascii="Times New Roman" w:eastAsia="Calibri" w:hAnsi="Times New Roman" w:cs="Times New Roman"/>
          <w:color w:val="0D0D0D" w:themeColor="text1" w:themeTint="F2"/>
          <w:kern w:val="0"/>
          <w:lang w:eastAsia="en-US"/>
          <w14:ligatures w14:val="none"/>
        </w:rPr>
        <w:t>, administrative bod</w:t>
      </w:r>
      <w:r w:rsidRPr="00943905">
        <w:rPr>
          <w:rFonts w:ascii="Times New Roman" w:eastAsia="Calibri" w:hAnsi="Times New Roman" w:cs="Times New Roman"/>
          <w:color w:val="0D0D0D" w:themeColor="text1" w:themeTint="F2"/>
          <w:kern w:val="0"/>
          <w:lang w:eastAsia="en-US"/>
          <w14:ligatures w14:val="none"/>
        </w:rPr>
        <w:t>ies</w:t>
      </w:r>
      <w:r w:rsidR="00A80AA3" w:rsidRPr="00943905">
        <w:rPr>
          <w:rFonts w:ascii="Times New Roman" w:eastAsia="Calibri" w:hAnsi="Times New Roman" w:cs="Times New Roman"/>
          <w:color w:val="0D0D0D" w:themeColor="text1" w:themeTint="F2"/>
          <w:kern w:val="0"/>
          <w:lang w:eastAsia="en-US"/>
          <w14:ligatures w14:val="none"/>
        </w:rPr>
        <w:t xml:space="preserve"> or </w:t>
      </w:r>
      <w:r w:rsidRPr="00943905">
        <w:rPr>
          <w:rFonts w:ascii="Times New Roman" w:eastAsia="Calibri" w:hAnsi="Times New Roman" w:cs="Times New Roman"/>
          <w:color w:val="0D0D0D" w:themeColor="text1" w:themeTint="F2"/>
          <w:kern w:val="0"/>
          <w:lang w:eastAsia="en-US"/>
          <w14:ligatures w14:val="none"/>
        </w:rPr>
        <w:t>their</w:t>
      </w:r>
      <w:r w:rsidR="00A80AA3" w:rsidRPr="00943905">
        <w:rPr>
          <w:rFonts w:ascii="Times New Roman" w:eastAsia="Calibri" w:hAnsi="Times New Roman" w:cs="Times New Roman"/>
          <w:color w:val="0D0D0D" w:themeColor="text1" w:themeTint="F2"/>
          <w:kern w:val="0"/>
          <w:lang w:eastAsia="en-US"/>
          <w14:ligatures w14:val="none"/>
        </w:rPr>
        <w:t xml:space="preserve"> agent</w:t>
      </w:r>
      <w:r w:rsidRPr="00943905">
        <w:rPr>
          <w:rFonts w:ascii="Times New Roman" w:eastAsia="Calibri" w:hAnsi="Times New Roman" w:cs="Times New Roman"/>
          <w:color w:val="0D0D0D" w:themeColor="text1" w:themeTint="F2"/>
          <w:kern w:val="0"/>
          <w:lang w:eastAsia="en-US"/>
          <w14:ligatures w14:val="none"/>
        </w:rPr>
        <w:t>s</w:t>
      </w:r>
      <w:r w:rsidR="00A80AA3" w:rsidRPr="00943905">
        <w:rPr>
          <w:rFonts w:ascii="Times New Roman" w:eastAsia="Calibri" w:hAnsi="Times New Roman" w:cs="Times New Roman"/>
          <w:color w:val="0D0D0D" w:themeColor="text1" w:themeTint="F2"/>
          <w:kern w:val="0"/>
          <w:lang w:eastAsia="en-US"/>
          <w14:ligatures w14:val="none"/>
        </w:rPr>
        <w:t xml:space="preserve"> to </w:t>
      </w:r>
      <w:r w:rsidRPr="00943905">
        <w:rPr>
          <w:rFonts w:ascii="Times New Roman" w:eastAsia="Calibri" w:hAnsi="Times New Roman" w:cs="Times New Roman"/>
          <w:color w:val="0D0D0D" w:themeColor="text1" w:themeTint="F2"/>
          <w:kern w:val="0"/>
          <w:lang w:eastAsia="en-US"/>
          <w14:ligatures w14:val="none"/>
        </w:rPr>
        <w:t>do or to refrain</w:t>
      </w:r>
      <w:r w:rsidR="00A80AA3" w:rsidRPr="00943905">
        <w:rPr>
          <w:rFonts w:ascii="Times New Roman" w:eastAsia="Calibri" w:hAnsi="Times New Roman" w:cs="Times New Roman"/>
          <w:color w:val="0D0D0D" w:themeColor="text1" w:themeTint="F2"/>
          <w:kern w:val="0"/>
          <w:lang w:eastAsia="en-US"/>
          <w14:ligatures w14:val="none"/>
        </w:rPr>
        <w:t xml:space="preserve"> from </w:t>
      </w:r>
      <w:r w:rsidRPr="00943905">
        <w:rPr>
          <w:rFonts w:ascii="Times New Roman" w:eastAsia="Calibri" w:hAnsi="Times New Roman" w:cs="Times New Roman"/>
          <w:color w:val="0D0D0D" w:themeColor="text1" w:themeTint="F2"/>
          <w:kern w:val="0"/>
          <w:lang w:eastAsia="en-US"/>
          <w14:ligatures w14:val="none"/>
        </w:rPr>
        <w:t>doing</w:t>
      </w:r>
      <w:r w:rsidR="00A80AA3" w:rsidRPr="00943905">
        <w:rPr>
          <w:rFonts w:ascii="Times New Roman" w:eastAsia="Calibri" w:hAnsi="Times New Roman" w:cs="Times New Roman"/>
          <w:color w:val="0D0D0D" w:themeColor="text1" w:themeTint="F2"/>
          <w:kern w:val="0"/>
          <w:lang w:eastAsia="en-US"/>
          <w14:ligatures w14:val="none"/>
        </w:rPr>
        <w:t xml:space="preserve"> particular act</w:t>
      </w:r>
      <w:r w:rsidRPr="00943905">
        <w:rPr>
          <w:rFonts w:ascii="Times New Roman" w:eastAsia="Calibri" w:hAnsi="Times New Roman" w:cs="Times New Roman"/>
          <w:color w:val="0D0D0D" w:themeColor="text1" w:themeTint="F2"/>
          <w:kern w:val="0"/>
          <w:lang w:eastAsia="en-US"/>
          <w14:ligatures w14:val="none"/>
        </w:rPr>
        <w:t>s which they are obligated by law to do or not to do. The requirements of a mandatory interdict are essentially similar to those of a prohibitory interdict</w:t>
      </w:r>
      <w:r w:rsidR="00A80AA3" w:rsidRPr="00943905">
        <w:rPr>
          <w:rFonts w:ascii="Times New Roman" w:eastAsia="Calibri" w:hAnsi="Times New Roman" w:cs="Times New Roman"/>
          <w:color w:val="0D0D0D" w:themeColor="text1" w:themeTint="F2"/>
          <w:kern w:val="0"/>
          <w:lang w:eastAsia="en-US"/>
          <w14:ligatures w14:val="none"/>
        </w:rPr>
        <w:t>.</w:t>
      </w:r>
      <w:r w:rsidR="00A80AA3" w:rsidRPr="00943905">
        <w:rPr>
          <w:rFonts w:ascii="Calibri" w:eastAsia="Calibri" w:hAnsi="Calibri" w:cs="Times New Roman"/>
          <w:color w:val="0D0D0D" w:themeColor="text1" w:themeTint="F2"/>
          <w:kern w:val="0"/>
          <w:sz w:val="22"/>
          <w:szCs w:val="22"/>
          <w:lang w:eastAsia="en-US"/>
          <w14:ligatures w14:val="none"/>
        </w:rPr>
        <w:t xml:space="preserve"> </w:t>
      </w:r>
      <w:r w:rsidRPr="00943905">
        <w:rPr>
          <w:rFonts w:ascii="Times New Roman" w:eastAsia="Calibri" w:hAnsi="Times New Roman" w:cs="Times New Roman"/>
          <w:color w:val="0D0D0D" w:themeColor="text1" w:themeTint="F2"/>
          <w:kern w:val="0"/>
          <w:lang w:eastAsia="en-US"/>
          <w14:ligatures w14:val="none"/>
        </w:rPr>
        <w:t xml:space="preserve">The famous case of </w:t>
      </w:r>
      <w:r w:rsidR="00A80AA3" w:rsidRPr="00943905">
        <w:rPr>
          <w:rFonts w:ascii="Times New Roman" w:eastAsia="Calibri" w:hAnsi="Times New Roman" w:cs="Times New Roman"/>
          <w:i/>
          <w:color w:val="0D0D0D" w:themeColor="text1" w:themeTint="F2"/>
          <w:kern w:val="0"/>
          <w:lang w:eastAsia="en-US"/>
          <w14:ligatures w14:val="none"/>
        </w:rPr>
        <w:t xml:space="preserve">Setlogelo </w:t>
      </w:r>
      <w:r w:rsidR="00A80AA3" w:rsidRPr="001C498A">
        <w:rPr>
          <w:rFonts w:ascii="Times New Roman" w:eastAsia="Calibri" w:hAnsi="Times New Roman" w:cs="Times New Roman"/>
          <w:color w:val="0D0D0D" w:themeColor="text1" w:themeTint="F2"/>
          <w:kern w:val="0"/>
          <w:lang w:eastAsia="en-US"/>
          <w14:ligatures w14:val="none"/>
        </w:rPr>
        <w:t>v</w:t>
      </w:r>
      <w:r w:rsidR="00A80AA3" w:rsidRPr="00943905">
        <w:rPr>
          <w:rFonts w:ascii="Times New Roman" w:eastAsia="Calibri" w:hAnsi="Times New Roman" w:cs="Times New Roman"/>
          <w:i/>
          <w:color w:val="0D0D0D" w:themeColor="text1" w:themeTint="F2"/>
          <w:kern w:val="0"/>
          <w:lang w:eastAsia="en-US"/>
          <w14:ligatures w14:val="none"/>
        </w:rPr>
        <w:t xml:space="preserve"> Setlogelo</w:t>
      </w:r>
      <w:r w:rsidR="00A80AA3" w:rsidRPr="00943905">
        <w:rPr>
          <w:rFonts w:ascii="Times New Roman" w:eastAsia="Calibri" w:hAnsi="Times New Roman" w:cs="Times New Roman"/>
          <w:color w:val="0D0D0D" w:themeColor="text1" w:themeTint="F2"/>
          <w:kern w:val="0"/>
          <w:lang w:eastAsia="en-US"/>
          <w14:ligatures w14:val="none"/>
        </w:rPr>
        <w:t xml:space="preserve"> 1914 AD 221</w:t>
      </w:r>
      <w:r w:rsidRPr="00943905">
        <w:rPr>
          <w:rFonts w:ascii="Times New Roman" w:eastAsia="Calibri" w:hAnsi="Times New Roman" w:cs="Times New Roman"/>
          <w:color w:val="0D0D0D" w:themeColor="text1" w:themeTint="F2"/>
          <w:kern w:val="0"/>
          <w:lang w:eastAsia="en-US"/>
          <w14:ligatures w14:val="none"/>
        </w:rPr>
        <w:t xml:space="preserve"> defines those requirements to be the following:</w:t>
      </w:r>
    </w:p>
    <w:p w14:paraId="4FF540EC" w14:textId="77777777" w:rsidR="001C498A" w:rsidRDefault="00A80AA3" w:rsidP="00A80AA3">
      <w:pPr>
        <w:pStyle w:val="ListParagraph"/>
        <w:numPr>
          <w:ilvl w:val="0"/>
          <w:numId w:val="38"/>
        </w:numPr>
        <w:spacing w:after="0" w:line="360" w:lineRule="auto"/>
        <w:jc w:val="both"/>
        <w:rPr>
          <w:rFonts w:ascii="Times New Roman" w:eastAsia="Calibri" w:hAnsi="Times New Roman" w:cs="Times New Roman"/>
          <w:color w:val="0D0D0D" w:themeColor="text1" w:themeTint="F2"/>
          <w:kern w:val="0"/>
          <w:lang w:eastAsia="en-US"/>
          <w14:ligatures w14:val="none"/>
        </w:rPr>
      </w:pPr>
      <w:r w:rsidRPr="001C498A">
        <w:rPr>
          <w:rFonts w:ascii="Times New Roman" w:eastAsia="Calibri" w:hAnsi="Times New Roman" w:cs="Times New Roman"/>
          <w:color w:val="0D0D0D" w:themeColor="text1" w:themeTint="F2"/>
          <w:kern w:val="0"/>
          <w:lang w:eastAsia="en-US"/>
          <w14:ligatures w14:val="none"/>
        </w:rPr>
        <w:t>a clear or definite right</w:t>
      </w:r>
    </w:p>
    <w:p w14:paraId="13CFCA74" w14:textId="77777777" w:rsidR="001C498A" w:rsidRDefault="00A80AA3" w:rsidP="00A80AA3">
      <w:pPr>
        <w:pStyle w:val="ListParagraph"/>
        <w:numPr>
          <w:ilvl w:val="0"/>
          <w:numId w:val="38"/>
        </w:numPr>
        <w:spacing w:after="0" w:line="360" w:lineRule="auto"/>
        <w:jc w:val="both"/>
        <w:rPr>
          <w:rFonts w:ascii="Times New Roman" w:eastAsia="Calibri" w:hAnsi="Times New Roman" w:cs="Times New Roman"/>
          <w:color w:val="0D0D0D" w:themeColor="text1" w:themeTint="F2"/>
          <w:kern w:val="0"/>
          <w:lang w:eastAsia="en-US"/>
          <w14:ligatures w14:val="none"/>
        </w:rPr>
      </w:pPr>
      <w:r w:rsidRPr="001C498A">
        <w:rPr>
          <w:rFonts w:ascii="Times New Roman" w:eastAsia="Calibri" w:hAnsi="Times New Roman" w:cs="Times New Roman"/>
          <w:color w:val="0D0D0D" w:themeColor="text1" w:themeTint="F2"/>
          <w:kern w:val="0"/>
          <w:lang w:eastAsia="en-US"/>
          <w14:ligatures w14:val="none"/>
        </w:rPr>
        <w:t xml:space="preserve">that the respondent has a duty to perform the act requested </w:t>
      </w:r>
    </w:p>
    <w:p w14:paraId="61E45D35" w14:textId="25966FE7" w:rsidR="00A80AA3" w:rsidRPr="001C498A" w:rsidRDefault="00A80AA3" w:rsidP="00A80AA3">
      <w:pPr>
        <w:pStyle w:val="ListParagraph"/>
        <w:numPr>
          <w:ilvl w:val="0"/>
          <w:numId w:val="38"/>
        </w:numPr>
        <w:spacing w:after="0" w:line="360" w:lineRule="auto"/>
        <w:jc w:val="both"/>
        <w:rPr>
          <w:rFonts w:ascii="Times New Roman" w:eastAsia="Calibri" w:hAnsi="Times New Roman" w:cs="Times New Roman"/>
          <w:color w:val="0D0D0D" w:themeColor="text1" w:themeTint="F2"/>
          <w:kern w:val="0"/>
          <w:lang w:eastAsia="en-US"/>
          <w14:ligatures w14:val="none"/>
        </w:rPr>
      </w:pPr>
      <w:r w:rsidRPr="001C498A">
        <w:rPr>
          <w:rFonts w:ascii="Times New Roman" w:eastAsia="Calibri" w:hAnsi="Times New Roman" w:cs="Times New Roman"/>
          <w:color w:val="0D0D0D" w:themeColor="text1" w:themeTint="F2"/>
          <w:kern w:val="0"/>
          <w:lang w:eastAsia="en-US"/>
          <w14:ligatures w14:val="none"/>
        </w:rPr>
        <w:t>absence of similar protection by other ordinary remedy</w:t>
      </w:r>
    </w:p>
    <w:p w14:paraId="5DFDFF3E" w14:textId="77777777" w:rsidR="001C498A" w:rsidRDefault="00C4770A" w:rsidP="001C498A">
      <w:pPr>
        <w:pStyle w:val="ListParagraph"/>
        <w:numPr>
          <w:ilvl w:val="0"/>
          <w:numId w:val="12"/>
        </w:numPr>
        <w:spacing w:after="0" w:line="360" w:lineRule="auto"/>
        <w:jc w:val="both"/>
        <w:rPr>
          <w:rFonts w:ascii="Times New Roman" w:eastAsia="Calibri" w:hAnsi="Times New Roman" w:cs="Times New Roman"/>
          <w:color w:val="0D0D0D" w:themeColor="text1" w:themeTint="F2"/>
          <w:kern w:val="0"/>
          <w:lang w:eastAsia="en-US"/>
          <w14:ligatures w14:val="none"/>
        </w:rPr>
      </w:pPr>
      <w:r w:rsidRPr="00943905">
        <w:rPr>
          <w:rFonts w:ascii="Times New Roman" w:eastAsia="Calibri" w:hAnsi="Times New Roman" w:cs="Times New Roman"/>
          <w:color w:val="0D0D0D" w:themeColor="text1" w:themeTint="F2"/>
          <w:kern w:val="0"/>
          <w:lang w:eastAsia="en-US"/>
          <w14:ligatures w14:val="none"/>
        </w:rPr>
        <w:lastRenderedPageBreak/>
        <w:t>An applicant must demonstrate that the respondent has refused or neglected</w:t>
      </w:r>
      <w:r w:rsidR="00A80AA3" w:rsidRPr="00943905">
        <w:rPr>
          <w:rFonts w:ascii="Times New Roman" w:eastAsia="Calibri" w:hAnsi="Times New Roman" w:cs="Times New Roman"/>
          <w:color w:val="0D0D0D" w:themeColor="text1" w:themeTint="F2"/>
          <w:kern w:val="0"/>
          <w:lang w:eastAsia="en-US"/>
          <w14:ligatures w14:val="none"/>
        </w:rPr>
        <w:t xml:space="preserve"> to </w:t>
      </w:r>
      <w:r w:rsidRPr="00943905">
        <w:rPr>
          <w:rFonts w:ascii="Times New Roman" w:eastAsia="Calibri" w:hAnsi="Times New Roman" w:cs="Times New Roman"/>
          <w:color w:val="0D0D0D" w:themeColor="text1" w:themeTint="F2"/>
          <w:kern w:val="0"/>
          <w:lang w:eastAsia="en-US"/>
          <w14:ligatures w14:val="none"/>
        </w:rPr>
        <w:t xml:space="preserve">fulfil the duty which he/she/it has in terms of the law and that there is no other way by which the applicant can redress the issue. As such an applicant seeking a mandamus must show that he/she has exhausted </w:t>
      </w:r>
      <w:r w:rsidR="00A80AA3" w:rsidRPr="00943905">
        <w:rPr>
          <w:rFonts w:ascii="Times New Roman" w:eastAsia="Calibri" w:hAnsi="Times New Roman" w:cs="Times New Roman"/>
          <w:color w:val="0D0D0D" w:themeColor="text1" w:themeTint="F2"/>
          <w:kern w:val="0"/>
          <w:lang w:eastAsia="en-US"/>
          <w14:ligatures w14:val="none"/>
        </w:rPr>
        <w:t xml:space="preserve">other </w:t>
      </w:r>
      <w:r w:rsidRPr="00943905">
        <w:rPr>
          <w:rFonts w:ascii="Times New Roman" w:eastAsia="Calibri" w:hAnsi="Times New Roman" w:cs="Times New Roman"/>
          <w:color w:val="0D0D0D" w:themeColor="text1" w:themeTint="F2"/>
          <w:kern w:val="0"/>
          <w:lang w:eastAsia="en-US"/>
          <w14:ligatures w14:val="none"/>
        </w:rPr>
        <w:t xml:space="preserve">available and alternative </w:t>
      </w:r>
      <w:r w:rsidR="00A80AA3" w:rsidRPr="00943905">
        <w:rPr>
          <w:rFonts w:ascii="Times New Roman" w:eastAsia="Calibri" w:hAnsi="Times New Roman" w:cs="Times New Roman"/>
          <w:color w:val="0D0D0D" w:themeColor="text1" w:themeTint="F2"/>
          <w:kern w:val="0"/>
          <w:lang w:eastAsia="en-US"/>
          <w14:ligatures w14:val="none"/>
        </w:rPr>
        <w:t xml:space="preserve">remedies </w:t>
      </w:r>
      <w:r w:rsidRPr="00943905">
        <w:rPr>
          <w:rFonts w:ascii="Times New Roman" w:eastAsia="Calibri" w:hAnsi="Times New Roman" w:cs="Times New Roman"/>
          <w:color w:val="0D0D0D" w:themeColor="text1" w:themeTint="F2"/>
          <w:kern w:val="0"/>
          <w:lang w:eastAsia="en-US"/>
          <w14:ligatures w14:val="none"/>
        </w:rPr>
        <w:t>before seeking protection via the mandamus. It is so, because of the extra ordinary natur</w:t>
      </w:r>
      <w:r w:rsidR="001C498A">
        <w:rPr>
          <w:rFonts w:ascii="Times New Roman" w:eastAsia="Calibri" w:hAnsi="Times New Roman" w:cs="Times New Roman"/>
          <w:color w:val="0D0D0D" w:themeColor="text1" w:themeTint="F2"/>
          <w:kern w:val="0"/>
          <w:lang w:eastAsia="en-US"/>
          <w14:ligatures w14:val="none"/>
        </w:rPr>
        <w:t>e of the remedy of a mandamus.</w:t>
      </w:r>
    </w:p>
    <w:p w14:paraId="44E3748D" w14:textId="77777777" w:rsidR="001C498A" w:rsidRDefault="00A80AA3" w:rsidP="001C498A">
      <w:pPr>
        <w:pStyle w:val="ListParagraph"/>
        <w:numPr>
          <w:ilvl w:val="0"/>
          <w:numId w:val="12"/>
        </w:numPr>
        <w:spacing w:after="0" w:line="360" w:lineRule="auto"/>
        <w:jc w:val="both"/>
        <w:rPr>
          <w:rFonts w:ascii="Times New Roman" w:eastAsia="Calibri" w:hAnsi="Times New Roman" w:cs="Times New Roman"/>
          <w:color w:val="0D0D0D" w:themeColor="text1" w:themeTint="F2"/>
          <w:kern w:val="0"/>
          <w:lang w:eastAsia="en-US"/>
          <w14:ligatures w14:val="none"/>
        </w:rPr>
      </w:pPr>
      <w:r w:rsidRPr="001C498A">
        <w:rPr>
          <w:rFonts w:ascii="Times New Roman" w:eastAsia="Calibri" w:hAnsi="Times New Roman" w:cs="Times New Roman"/>
          <w:color w:val="0D0D0D" w:themeColor="text1" w:themeTint="F2"/>
          <w:kern w:val="0"/>
          <w:lang w:eastAsia="en-US"/>
          <w14:ligatures w14:val="none"/>
        </w:rPr>
        <w:t>A</w:t>
      </w:r>
      <w:r w:rsidR="00C4770A" w:rsidRPr="001C498A">
        <w:rPr>
          <w:rFonts w:ascii="Times New Roman" w:eastAsia="Calibri" w:hAnsi="Times New Roman" w:cs="Times New Roman"/>
          <w:color w:val="0D0D0D" w:themeColor="text1" w:themeTint="F2"/>
          <w:kern w:val="0"/>
          <w:lang w:eastAsia="en-US"/>
          <w14:ligatures w14:val="none"/>
        </w:rPr>
        <w:t xml:space="preserve">n applicant such as in this case must demonstrate that he/she has previously tried to have the respondent perform the duty which he/she needs him to carry out. </w:t>
      </w:r>
      <w:r w:rsidRPr="001C498A">
        <w:rPr>
          <w:rFonts w:ascii="Times New Roman" w:eastAsia="Calibri" w:hAnsi="Times New Roman" w:cs="Times New Roman"/>
          <w:color w:val="0D0D0D" w:themeColor="text1" w:themeTint="F2"/>
          <w:kern w:val="0"/>
          <w:lang w:eastAsia="en-US"/>
          <w14:ligatures w14:val="none"/>
        </w:rPr>
        <w:t xml:space="preserve"> </w:t>
      </w:r>
      <w:r w:rsidR="00C4770A" w:rsidRPr="001C498A">
        <w:rPr>
          <w:rFonts w:ascii="Times New Roman" w:eastAsia="Calibri" w:hAnsi="Times New Roman" w:cs="Times New Roman"/>
          <w:color w:val="0D0D0D" w:themeColor="text1" w:themeTint="F2"/>
          <w:kern w:val="0"/>
          <w:lang w:eastAsia="en-US"/>
          <w14:ligatures w14:val="none"/>
        </w:rPr>
        <w:t xml:space="preserve">It must appear from the pleadings that a request was made to the respondent for the performance of the duty and that the respondent has refused to do so. </w:t>
      </w:r>
    </w:p>
    <w:p w14:paraId="0B8E8DE5" w14:textId="77777777" w:rsidR="001C498A" w:rsidRDefault="00C4770A" w:rsidP="001C498A">
      <w:pPr>
        <w:pStyle w:val="ListParagraph"/>
        <w:numPr>
          <w:ilvl w:val="0"/>
          <w:numId w:val="12"/>
        </w:numPr>
        <w:spacing w:after="0" w:line="360" w:lineRule="auto"/>
        <w:jc w:val="both"/>
        <w:rPr>
          <w:rFonts w:ascii="Times New Roman" w:eastAsia="Calibri" w:hAnsi="Times New Roman" w:cs="Times New Roman"/>
          <w:color w:val="0D0D0D" w:themeColor="text1" w:themeTint="F2"/>
          <w:kern w:val="0"/>
          <w:lang w:eastAsia="en-US"/>
          <w14:ligatures w14:val="none"/>
        </w:rPr>
      </w:pPr>
      <w:r w:rsidRPr="001C498A">
        <w:rPr>
          <w:rStyle w:val="s1"/>
          <w:rFonts w:ascii="Times New Roman" w:hAnsi="Times New Roman"/>
          <w:color w:val="0D0D0D" w:themeColor="text1" w:themeTint="F2"/>
          <w:sz w:val="24"/>
          <w:szCs w:val="24"/>
        </w:rPr>
        <w:t xml:space="preserve">In this case, </w:t>
      </w:r>
      <w:r w:rsidR="004759F9" w:rsidRPr="001C498A">
        <w:rPr>
          <w:rFonts w:ascii="Times New Roman" w:hAnsi="Times New Roman" w:cs="Times New Roman"/>
          <w:color w:val="0D0D0D" w:themeColor="text1" w:themeTint="F2"/>
          <w:lang w:val="en-US"/>
        </w:rPr>
        <w:t xml:space="preserve">in seeking to establish a definite right the applicant made it clear to the court that he </w:t>
      </w:r>
      <w:r w:rsidR="004759F9" w:rsidRPr="001C498A">
        <w:rPr>
          <w:rFonts w:ascii="Times New Roman" w:hAnsi="Times New Roman" w:cs="Times New Roman"/>
          <w:color w:val="0D0D0D" w:themeColor="text1" w:themeTint="F2"/>
        </w:rPr>
        <w:t>is the registered owner of the property in question. In fact, it is not disputed that</w:t>
      </w:r>
      <w:r w:rsidR="006E06D2" w:rsidRPr="001C498A">
        <w:rPr>
          <w:rFonts w:ascii="Times New Roman" w:hAnsi="Times New Roman" w:cs="Times New Roman"/>
          <w:color w:val="0D0D0D" w:themeColor="text1" w:themeTint="F2"/>
        </w:rPr>
        <w:t xml:space="preserve"> he holds title to the property. </w:t>
      </w:r>
      <w:r w:rsidR="004759F9" w:rsidRPr="001C498A">
        <w:rPr>
          <w:rFonts w:ascii="Times New Roman" w:hAnsi="Times New Roman" w:cs="Times New Roman"/>
          <w:color w:val="0D0D0D" w:themeColor="text1" w:themeTint="F2"/>
        </w:rPr>
        <w:t xml:space="preserve"> That ownership gives the applicant absolute rights to the property, which rights are enforceable</w:t>
      </w:r>
      <w:r w:rsidR="006E06D2" w:rsidRPr="001C498A">
        <w:rPr>
          <w:rFonts w:ascii="Times New Roman" w:hAnsi="Times New Roman" w:cs="Times New Roman"/>
          <w:color w:val="0D0D0D" w:themeColor="text1" w:themeTint="F2"/>
        </w:rPr>
        <w:t xml:space="preserve">. He can enforce them in compliance with the court order which awarded rights to the first respondent and to some </w:t>
      </w:r>
      <w:r w:rsidR="00943905" w:rsidRPr="001C498A">
        <w:rPr>
          <w:rFonts w:ascii="Times New Roman" w:hAnsi="Times New Roman" w:cs="Times New Roman"/>
          <w:color w:val="0D0D0D" w:themeColor="text1" w:themeTint="F2"/>
        </w:rPr>
        <w:t>extent the third respondent. He</w:t>
      </w:r>
      <w:r w:rsidR="006E06D2" w:rsidRPr="001C498A">
        <w:rPr>
          <w:rFonts w:ascii="Times New Roman" w:hAnsi="Times New Roman" w:cs="Times New Roman"/>
          <w:color w:val="0D0D0D" w:themeColor="text1" w:themeTint="F2"/>
        </w:rPr>
        <w:t xml:space="preserve"> therefor clearly satisfies the first requirement for the mandamus. </w:t>
      </w:r>
    </w:p>
    <w:p w14:paraId="19C7844E" w14:textId="76E64A07" w:rsidR="00F53795" w:rsidRPr="001C498A" w:rsidRDefault="006E06D2" w:rsidP="001C498A">
      <w:pPr>
        <w:pStyle w:val="ListParagraph"/>
        <w:numPr>
          <w:ilvl w:val="0"/>
          <w:numId w:val="12"/>
        </w:numPr>
        <w:spacing w:line="360" w:lineRule="auto"/>
        <w:jc w:val="both"/>
        <w:rPr>
          <w:rStyle w:val="s1"/>
          <w:rFonts w:ascii="Times New Roman" w:eastAsia="Calibri" w:hAnsi="Times New Roman" w:cs="Times New Roman"/>
          <w:color w:val="0D0D0D" w:themeColor="text1" w:themeTint="F2"/>
          <w:kern w:val="0"/>
          <w:sz w:val="24"/>
          <w:szCs w:val="24"/>
          <w:lang w:eastAsia="en-US"/>
          <w14:ligatures w14:val="none"/>
        </w:rPr>
      </w:pPr>
      <w:r w:rsidRPr="001C498A">
        <w:rPr>
          <w:rStyle w:val="s1"/>
          <w:rFonts w:ascii="Times New Roman" w:hAnsi="Times New Roman"/>
          <w:color w:val="0D0D0D" w:themeColor="text1" w:themeTint="F2"/>
          <w:sz w:val="24"/>
          <w:szCs w:val="24"/>
        </w:rPr>
        <w:t xml:space="preserve">That the second respondent, as the registrar of deeds, has a duty to place or remove caveats placed on immovable properties is not debatable. He therefore bears the obligation to remove the caveat sought to be impugned by the applicant.  </w:t>
      </w:r>
      <w:r w:rsidR="006112D8" w:rsidRPr="001C498A">
        <w:rPr>
          <w:rStyle w:val="s1"/>
          <w:rFonts w:ascii="Times New Roman" w:hAnsi="Times New Roman"/>
          <w:color w:val="0D0D0D" w:themeColor="text1" w:themeTint="F2"/>
          <w:sz w:val="24"/>
          <w:szCs w:val="24"/>
        </w:rPr>
        <w:t xml:space="preserve">The caveat which was placed on the property was on the strength of the order that was issued by this court on </w:t>
      </w:r>
      <w:r w:rsidR="006112D8" w:rsidRPr="001C498A">
        <w:rPr>
          <w:rFonts w:ascii="Times New Roman" w:hAnsi="Times New Roman"/>
          <w:color w:val="0D0D0D" w:themeColor="text1" w:themeTint="F2"/>
        </w:rPr>
        <w:t xml:space="preserve">16 January 2004. That order simply directed the Registrar of Deeds not </w:t>
      </w:r>
      <w:r w:rsidR="0078650B" w:rsidRPr="001C498A">
        <w:rPr>
          <w:rFonts w:ascii="Times New Roman" w:hAnsi="Times New Roman"/>
          <w:color w:val="0D0D0D" w:themeColor="text1" w:themeTint="F2"/>
        </w:rPr>
        <w:t>to allow the applicant or anyone else for that matter to</w:t>
      </w:r>
      <w:r w:rsidR="006112D8" w:rsidRPr="001C498A">
        <w:rPr>
          <w:rFonts w:ascii="Times New Roman" w:hAnsi="Times New Roman"/>
          <w:color w:val="0D0D0D" w:themeColor="text1" w:themeTint="F2"/>
        </w:rPr>
        <w:t xml:space="preserve"> </w:t>
      </w:r>
      <w:r w:rsidR="0078650B" w:rsidRPr="001C498A">
        <w:rPr>
          <w:rFonts w:ascii="Times New Roman" w:hAnsi="Times New Roman"/>
          <w:color w:val="0D0D0D" w:themeColor="text1" w:themeTint="F2"/>
        </w:rPr>
        <w:t>transfer</w:t>
      </w:r>
      <w:r w:rsidR="006112D8" w:rsidRPr="001C498A">
        <w:rPr>
          <w:rFonts w:ascii="Times New Roman" w:hAnsi="Times New Roman"/>
          <w:color w:val="0D0D0D" w:themeColor="text1" w:themeTint="F2"/>
        </w:rPr>
        <w:t xml:space="preserve"> or </w:t>
      </w:r>
      <w:r w:rsidR="0078650B" w:rsidRPr="001C498A">
        <w:rPr>
          <w:rFonts w:ascii="Times New Roman" w:hAnsi="Times New Roman"/>
          <w:color w:val="0D0D0D" w:themeColor="text1" w:themeTint="F2"/>
        </w:rPr>
        <w:t>encumber</w:t>
      </w:r>
      <w:r w:rsidR="006112D8" w:rsidRPr="001C498A">
        <w:rPr>
          <w:rFonts w:ascii="Times New Roman" w:hAnsi="Times New Roman"/>
          <w:color w:val="0D0D0D" w:themeColor="text1" w:themeTint="F2"/>
        </w:rPr>
        <w:t xml:space="preserve"> the property in </w:t>
      </w:r>
      <w:r w:rsidR="0078650B" w:rsidRPr="001C498A">
        <w:rPr>
          <w:rFonts w:ascii="Times New Roman" w:hAnsi="Times New Roman"/>
          <w:color w:val="0D0D0D" w:themeColor="text1" w:themeTint="F2"/>
        </w:rPr>
        <w:t>dispute</w:t>
      </w:r>
      <w:r w:rsidR="006112D8" w:rsidRPr="001C498A">
        <w:rPr>
          <w:rFonts w:ascii="Times New Roman" w:hAnsi="Times New Roman"/>
          <w:color w:val="0D0D0D" w:themeColor="text1" w:themeTint="F2"/>
        </w:rPr>
        <w:t xml:space="preserve"> without the written consent of the </w:t>
      </w:r>
      <w:r w:rsidR="0078650B" w:rsidRPr="001C498A">
        <w:rPr>
          <w:rFonts w:ascii="Times New Roman" w:hAnsi="Times New Roman"/>
          <w:color w:val="0D0D0D" w:themeColor="text1" w:themeTint="F2"/>
        </w:rPr>
        <w:t>first respondent. But that bar was not placed in perpetuity. It was only operational during the pendency of the applicant and the first respondent’s matrimonial dispute in the High Court. It could not have been intended to operate ad infinitum</w:t>
      </w:r>
      <w:r w:rsidR="00F53795" w:rsidRPr="001C498A">
        <w:rPr>
          <w:rFonts w:ascii="Times New Roman" w:hAnsi="Times New Roman"/>
          <w:color w:val="0D0D0D" w:themeColor="text1" w:themeTint="F2"/>
        </w:rPr>
        <w:t>.</w:t>
      </w:r>
      <w:r w:rsidR="00F53795" w:rsidRPr="001C498A">
        <w:rPr>
          <w:rStyle w:val="s1"/>
          <w:rFonts w:ascii="Times New Roman" w:hAnsi="Times New Roman"/>
          <w:color w:val="0D0D0D" w:themeColor="text1" w:themeTint="F2"/>
          <w:sz w:val="24"/>
          <w:szCs w:val="24"/>
        </w:rPr>
        <w:t xml:space="preserve"> In the case of </w:t>
      </w:r>
      <w:r w:rsidR="00F53795" w:rsidRPr="001C498A">
        <w:rPr>
          <w:rStyle w:val="s1"/>
          <w:rFonts w:ascii="Times New Roman" w:hAnsi="Times New Roman"/>
          <w:i/>
          <w:color w:val="0D0D0D" w:themeColor="text1" w:themeTint="F2"/>
          <w:sz w:val="24"/>
          <w:szCs w:val="24"/>
        </w:rPr>
        <w:t xml:space="preserve">Stenhope Investments (Pvt) Ltd and Anor </w:t>
      </w:r>
      <w:r w:rsidR="00F53795" w:rsidRPr="001C498A">
        <w:rPr>
          <w:rStyle w:val="s1"/>
          <w:rFonts w:ascii="Times New Roman" w:hAnsi="Times New Roman"/>
          <w:color w:val="0D0D0D" w:themeColor="text1" w:themeTint="F2"/>
          <w:sz w:val="24"/>
          <w:szCs w:val="24"/>
        </w:rPr>
        <w:t>v</w:t>
      </w:r>
      <w:r w:rsidR="00F53795" w:rsidRPr="001C498A">
        <w:rPr>
          <w:rStyle w:val="s1"/>
          <w:rFonts w:ascii="Times New Roman" w:hAnsi="Times New Roman"/>
          <w:i/>
          <w:color w:val="0D0D0D" w:themeColor="text1" w:themeTint="F2"/>
          <w:sz w:val="24"/>
          <w:szCs w:val="24"/>
        </w:rPr>
        <w:t xml:space="preserve"> Blessing Mukoko, </w:t>
      </w:r>
      <w:r w:rsidR="00F53795" w:rsidRPr="001C498A">
        <w:rPr>
          <w:rStyle w:val="s1"/>
          <w:rFonts w:ascii="Times New Roman" w:hAnsi="Times New Roman"/>
          <w:color w:val="0D0D0D" w:themeColor="text1" w:themeTint="F2"/>
          <w:sz w:val="24"/>
          <w:szCs w:val="24"/>
        </w:rPr>
        <w:t>HH 132/18 p. 5, the Court stated</w:t>
      </w:r>
      <w:r w:rsidR="00F53795" w:rsidRPr="001C498A">
        <w:rPr>
          <w:rFonts w:ascii="Times New Roman" w:hAnsi="Times New Roman"/>
          <w:color w:val="0D0D0D" w:themeColor="text1" w:themeTint="F2"/>
        </w:rPr>
        <w:t xml:space="preserve"> </w:t>
      </w:r>
      <w:r w:rsidR="00F53795" w:rsidRPr="001C498A">
        <w:rPr>
          <w:rStyle w:val="s1"/>
          <w:rFonts w:ascii="Times New Roman" w:hAnsi="Times New Roman"/>
          <w:color w:val="0D0D0D" w:themeColor="text1" w:themeTint="F2"/>
          <w:sz w:val="24"/>
          <w:szCs w:val="24"/>
        </w:rPr>
        <w:t>that,</w:t>
      </w:r>
    </w:p>
    <w:p w14:paraId="162B5784" w14:textId="0664984B" w:rsidR="00F53795" w:rsidRPr="001C498A" w:rsidRDefault="001C498A" w:rsidP="001C498A">
      <w:pPr>
        <w:pStyle w:val="p1"/>
        <w:spacing w:after="240"/>
        <w:ind w:left="1080"/>
        <w:jc w:val="both"/>
        <w:rPr>
          <w:rFonts w:ascii="Times New Roman" w:hAnsi="Times New Roman"/>
          <w:color w:val="0D0D0D" w:themeColor="text1" w:themeTint="F2"/>
          <w:sz w:val="22"/>
          <w:szCs w:val="20"/>
        </w:rPr>
      </w:pPr>
      <w:r>
        <w:rPr>
          <w:rStyle w:val="s1"/>
          <w:rFonts w:ascii="Times New Roman" w:hAnsi="Times New Roman"/>
          <w:color w:val="0D0D0D" w:themeColor="text1" w:themeTint="F2"/>
          <w:sz w:val="22"/>
          <w:szCs w:val="20"/>
        </w:rPr>
        <w:t>“</w:t>
      </w:r>
      <w:r w:rsidR="00F53795" w:rsidRPr="001C498A">
        <w:rPr>
          <w:rStyle w:val="s1"/>
          <w:rFonts w:ascii="Times New Roman" w:hAnsi="Times New Roman"/>
          <w:color w:val="0D0D0D" w:themeColor="text1" w:themeTint="F2"/>
          <w:sz w:val="22"/>
          <w:szCs w:val="20"/>
        </w:rPr>
        <w:t>A caveator does not have to show that the other party is about to dispose of the property. The applicant has to show that he has a matter pending that concerns the property. The moment that the pending matter is determined, the caveat lapses by operation of law. The caveat cannot continue in perpetuity. The interest claimed by the caveator may be challenged by the owner of the property. It is the duty of the court to determine the validity and correctness o</w:t>
      </w:r>
      <w:r>
        <w:rPr>
          <w:rStyle w:val="s1"/>
          <w:rFonts w:ascii="Times New Roman" w:hAnsi="Times New Roman"/>
          <w:color w:val="0D0D0D" w:themeColor="text1" w:themeTint="F2"/>
          <w:sz w:val="22"/>
          <w:szCs w:val="20"/>
        </w:rPr>
        <w:t>f the application for a caveat.”</w:t>
      </w:r>
    </w:p>
    <w:p w14:paraId="1D385E68" w14:textId="77777777" w:rsidR="00A0599A" w:rsidRDefault="0078650B" w:rsidP="00A0599A">
      <w:pPr>
        <w:pStyle w:val="p1"/>
        <w:numPr>
          <w:ilvl w:val="0"/>
          <w:numId w:val="12"/>
        </w:numPr>
        <w:spacing w:line="360" w:lineRule="auto"/>
        <w:jc w:val="both"/>
        <w:rPr>
          <w:rFonts w:ascii="Times New Roman" w:hAnsi="Times New Roman"/>
          <w:color w:val="0D0D0D" w:themeColor="text1" w:themeTint="F2"/>
          <w:sz w:val="24"/>
          <w:szCs w:val="24"/>
        </w:rPr>
      </w:pPr>
      <w:r w:rsidRPr="00943905">
        <w:rPr>
          <w:rFonts w:ascii="Times New Roman" w:hAnsi="Times New Roman"/>
          <w:color w:val="0D0D0D" w:themeColor="text1" w:themeTint="F2"/>
          <w:sz w:val="24"/>
          <w:szCs w:val="24"/>
        </w:rPr>
        <w:lastRenderedPageBreak/>
        <w:t>On the date that this court settled the matrimonial dispute between the parties and granted them a decree of divorce, the order of 16 January 2004 ceased to operate.   It meant that if the applicant wished to transfer or encumber the property in one way or another, the requirement that the second respondent needed the written consent of the first respondent fell off. Instead, the disposal of the property became regulated by the terms of the order which granted the parties their divorce.</w:t>
      </w:r>
    </w:p>
    <w:p w14:paraId="25CDEDE0" w14:textId="77777777" w:rsidR="00A0599A" w:rsidRDefault="0078650B" w:rsidP="00A0599A">
      <w:pPr>
        <w:pStyle w:val="p1"/>
        <w:numPr>
          <w:ilvl w:val="0"/>
          <w:numId w:val="12"/>
        </w:numPr>
        <w:spacing w:line="360" w:lineRule="auto"/>
        <w:jc w:val="both"/>
        <w:rPr>
          <w:rFonts w:ascii="Times New Roman" w:hAnsi="Times New Roman"/>
          <w:color w:val="0D0D0D" w:themeColor="text1" w:themeTint="F2"/>
          <w:sz w:val="24"/>
          <w:szCs w:val="24"/>
        </w:rPr>
      </w:pPr>
      <w:r w:rsidRPr="00A0599A">
        <w:rPr>
          <w:rFonts w:ascii="Times New Roman" w:hAnsi="Times New Roman"/>
          <w:color w:val="0D0D0D" w:themeColor="text1" w:themeTint="F2"/>
          <w:sz w:val="24"/>
          <w:szCs w:val="24"/>
        </w:rPr>
        <w:t xml:space="preserve">In terms of that order as recited in the earlier paragraphs of this judgment, there was no stipulation that the written consent of the first respondent was required for the transfer of the property. </w:t>
      </w:r>
      <w:r w:rsidR="006E06D2" w:rsidRPr="00A0599A">
        <w:rPr>
          <w:rFonts w:ascii="Times New Roman" w:hAnsi="Times New Roman"/>
          <w:color w:val="0D0D0D" w:themeColor="text1" w:themeTint="F2"/>
          <w:sz w:val="24"/>
          <w:szCs w:val="24"/>
        </w:rPr>
        <w:t>The written consent was required if the property were to be transferred before the conclusion of the divorce claim. After that, the parties were bound by the order granted at divorce which</w:t>
      </w:r>
      <w:r w:rsidR="004E7E82" w:rsidRPr="00A0599A">
        <w:rPr>
          <w:rFonts w:ascii="Times New Roman" w:hAnsi="Times New Roman"/>
          <w:color w:val="0D0D0D" w:themeColor="text1" w:themeTint="F2"/>
          <w:sz w:val="24"/>
          <w:szCs w:val="24"/>
        </w:rPr>
        <w:t xml:space="preserve"> stated that stand 274 Quinnington Borrowdale was to be sold on the open market and to the best advantage of the parties through the agency </w:t>
      </w:r>
      <w:r w:rsidR="006E06D2" w:rsidRPr="00A0599A">
        <w:rPr>
          <w:rFonts w:ascii="Times New Roman" w:hAnsi="Times New Roman"/>
          <w:color w:val="0D0D0D" w:themeColor="text1" w:themeTint="F2"/>
          <w:sz w:val="24"/>
          <w:szCs w:val="24"/>
        </w:rPr>
        <w:t xml:space="preserve">of </w:t>
      </w:r>
      <w:r w:rsidR="004E7E82" w:rsidRPr="00A0599A">
        <w:rPr>
          <w:rFonts w:ascii="Times New Roman" w:hAnsi="Times New Roman"/>
          <w:color w:val="0D0D0D" w:themeColor="text1" w:themeTint="F2"/>
          <w:sz w:val="24"/>
          <w:szCs w:val="24"/>
        </w:rPr>
        <w:t>Knight Frank and Rutley. My reading of that clause of the order is that it does not even include the aspect of the valuation of the property. Where that is required, the courts usually make it an express term of the order. But the order did not also preclude the parties from having their property valued by professional valuers. In fact, it could have been the only way to determine the market value of the property especially given that the court had stipulated its sale on the open market. Further, the parties’ shares from the proceeds of the sale were predetermined by the court order. The plaintiff was entitled to 50%, the defendant 30% with the remaining 20% being earmarked for the maintenance of the minor child of their union. In addition, the defendant was given the right of occupation of the house. The usufruct would last until December 2006</w:t>
      </w:r>
      <w:r w:rsidR="00B93CEF" w:rsidRPr="00A0599A">
        <w:rPr>
          <w:rFonts w:ascii="Times New Roman" w:hAnsi="Times New Roman"/>
          <w:color w:val="0D0D0D" w:themeColor="text1" w:themeTint="F2"/>
          <w:sz w:val="24"/>
          <w:szCs w:val="24"/>
        </w:rPr>
        <w:t xml:space="preserve">. Almost two decades later, she is still staying in the house in complete violation of the court order. The 20% which was supposed to be deposited into the guardian’s fund for the benefit of the then minor child was not so deposited. </w:t>
      </w:r>
    </w:p>
    <w:p w14:paraId="4DB582FF" w14:textId="77777777" w:rsidR="00A0599A" w:rsidRDefault="00B93CEF" w:rsidP="00A0599A">
      <w:pPr>
        <w:pStyle w:val="p1"/>
        <w:numPr>
          <w:ilvl w:val="0"/>
          <w:numId w:val="12"/>
        </w:numPr>
        <w:spacing w:line="360" w:lineRule="auto"/>
        <w:jc w:val="both"/>
        <w:rPr>
          <w:rStyle w:val="s1"/>
          <w:rFonts w:ascii="Times New Roman" w:hAnsi="Times New Roman"/>
          <w:color w:val="0D0D0D" w:themeColor="text1" w:themeTint="F2"/>
          <w:sz w:val="24"/>
          <w:szCs w:val="24"/>
        </w:rPr>
      </w:pPr>
      <w:r w:rsidRPr="00A0599A">
        <w:rPr>
          <w:rFonts w:ascii="Times New Roman" w:hAnsi="Times New Roman"/>
          <w:color w:val="0D0D0D" w:themeColor="text1" w:themeTint="F2"/>
          <w:sz w:val="24"/>
          <w:szCs w:val="24"/>
        </w:rPr>
        <w:t>The fact that the applicant and the first respondent do not agree on the value of the property does not give the second respondent’s office the power to keep</w:t>
      </w:r>
      <w:r w:rsidR="00F53795" w:rsidRPr="00A0599A">
        <w:rPr>
          <w:rFonts w:ascii="Times New Roman" w:hAnsi="Times New Roman"/>
          <w:color w:val="0D0D0D" w:themeColor="text1" w:themeTint="F2"/>
          <w:sz w:val="24"/>
          <w:szCs w:val="24"/>
        </w:rPr>
        <w:t xml:space="preserve"> on the property,</w:t>
      </w:r>
      <w:r w:rsidRPr="00A0599A">
        <w:rPr>
          <w:rFonts w:ascii="Times New Roman" w:hAnsi="Times New Roman"/>
          <w:color w:val="0D0D0D" w:themeColor="text1" w:themeTint="F2"/>
          <w:sz w:val="24"/>
          <w:szCs w:val="24"/>
        </w:rPr>
        <w:t xml:space="preserve"> a </w:t>
      </w:r>
      <w:r w:rsidR="00607E70" w:rsidRPr="00A0599A">
        <w:rPr>
          <w:rFonts w:ascii="Times New Roman" w:hAnsi="Times New Roman"/>
          <w:color w:val="0D0D0D" w:themeColor="text1" w:themeTint="F2"/>
          <w:sz w:val="24"/>
          <w:szCs w:val="24"/>
        </w:rPr>
        <w:t>caveat</w:t>
      </w:r>
      <w:r w:rsidRPr="00A0599A">
        <w:rPr>
          <w:rFonts w:ascii="Times New Roman" w:hAnsi="Times New Roman"/>
          <w:color w:val="0D0D0D" w:themeColor="text1" w:themeTint="F2"/>
          <w:sz w:val="24"/>
          <w:szCs w:val="24"/>
        </w:rPr>
        <w:t xml:space="preserve"> which</w:t>
      </w:r>
      <w:r w:rsidR="00607E70" w:rsidRPr="00A0599A">
        <w:rPr>
          <w:rFonts w:ascii="Times New Roman" w:hAnsi="Times New Roman"/>
          <w:color w:val="0D0D0D" w:themeColor="text1" w:themeTint="F2"/>
          <w:sz w:val="24"/>
          <w:szCs w:val="24"/>
        </w:rPr>
        <w:t xml:space="preserve"> fell off by operation of law</w:t>
      </w:r>
      <w:r w:rsidRPr="00A0599A">
        <w:rPr>
          <w:rFonts w:ascii="Times New Roman" w:hAnsi="Times New Roman"/>
          <w:color w:val="0D0D0D" w:themeColor="text1" w:themeTint="F2"/>
          <w:sz w:val="24"/>
          <w:szCs w:val="24"/>
        </w:rPr>
        <w:t>. The</w:t>
      </w:r>
      <w:r w:rsidR="00607E70" w:rsidRPr="00A0599A">
        <w:rPr>
          <w:rFonts w:ascii="Times New Roman" w:hAnsi="Times New Roman"/>
          <w:color w:val="0D0D0D" w:themeColor="text1" w:themeTint="F2"/>
          <w:sz w:val="24"/>
          <w:szCs w:val="24"/>
        </w:rPr>
        <w:t xml:space="preserve"> applicant and the first respondent</w:t>
      </w:r>
      <w:r w:rsidRPr="00A0599A">
        <w:rPr>
          <w:rFonts w:ascii="Times New Roman" w:hAnsi="Times New Roman"/>
          <w:color w:val="0D0D0D" w:themeColor="text1" w:themeTint="F2"/>
          <w:sz w:val="24"/>
          <w:szCs w:val="24"/>
        </w:rPr>
        <w:t xml:space="preserve"> could sell the </w:t>
      </w:r>
      <w:r w:rsidR="00607E70" w:rsidRPr="00A0599A">
        <w:rPr>
          <w:rFonts w:ascii="Times New Roman" w:hAnsi="Times New Roman"/>
          <w:color w:val="0D0D0D" w:themeColor="text1" w:themeTint="F2"/>
          <w:sz w:val="24"/>
          <w:szCs w:val="24"/>
        </w:rPr>
        <w:t>property</w:t>
      </w:r>
      <w:r w:rsidRPr="00A0599A">
        <w:rPr>
          <w:rFonts w:ascii="Times New Roman" w:hAnsi="Times New Roman"/>
          <w:color w:val="0D0D0D" w:themeColor="text1" w:themeTint="F2"/>
          <w:sz w:val="24"/>
          <w:szCs w:val="24"/>
        </w:rPr>
        <w:t xml:space="preserve"> for a song and the second respondent will still be obligated to transfer it to </w:t>
      </w:r>
      <w:r w:rsidR="00607E70" w:rsidRPr="00A0599A">
        <w:rPr>
          <w:rFonts w:ascii="Times New Roman" w:hAnsi="Times New Roman"/>
          <w:color w:val="0D0D0D" w:themeColor="text1" w:themeTint="F2"/>
          <w:sz w:val="24"/>
          <w:szCs w:val="24"/>
        </w:rPr>
        <w:t>anybody who</w:t>
      </w:r>
      <w:r w:rsidRPr="00A0599A">
        <w:rPr>
          <w:rFonts w:ascii="Times New Roman" w:hAnsi="Times New Roman"/>
          <w:color w:val="0D0D0D" w:themeColor="text1" w:themeTint="F2"/>
          <w:sz w:val="24"/>
          <w:szCs w:val="24"/>
        </w:rPr>
        <w:t xml:space="preserve"> purchase</w:t>
      </w:r>
      <w:r w:rsidR="00607E70" w:rsidRPr="00A0599A">
        <w:rPr>
          <w:rFonts w:ascii="Times New Roman" w:hAnsi="Times New Roman"/>
          <w:color w:val="0D0D0D" w:themeColor="text1" w:themeTint="F2"/>
          <w:sz w:val="24"/>
          <w:szCs w:val="24"/>
        </w:rPr>
        <w:t>s it</w:t>
      </w:r>
      <w:r w:rsidRPr="00A0599A">
        <w:rPr>
          <w:rFonts w:ascii="Times New Roman" w:hAnsi="Times New Roman"/>
          <w:color w:val="0D0D0D" w:themeColor="text1" w:themeTint="F2"/>
          <w:sz w:val="24"/>
          <w:szCs w:val="24"/>
        </w:rPr>
        <w:t xml:space="preserve">. </w:t>
      </w:r>
      <w:r w:rsidR="00607E70" w:rsidRPr="00A0599A">
        <w:rPr>
          <w:rFonts w:ascii="Times New Roman" w:hAnsi="Times New Roman"/>
          <w:color w:val="0D0D0D" w:themeColor="text1" w:themeTint="F2"/>
          <w:sz w:val="24"/>
          <w:szCs w:val="24"/>
        </w:rPr>
        <w:t xml:space="preserve">If the respondent wishes to contest the value at which the price was sold, she must do so through other means and not to arm-twist the second respondent into arrogating himself powers that he does not have. The second respondent is relying on a court order whose effect long expired.  </w:t>
      </w:r>
      <w:r w:rsidR="00607E70" w:rsidRPr="00A0599A">
        <w:rPr>
          <w:rStyle w:val="s1"/>
          <w:rFonts w:ascii="Times New Roman" w:hAnsi="Times New Roman"/>
          <w:color w:val="0D0D0D" w:themeColor="text1" w:themeTint="F2"/>
          <w:sz w:val="24"/>
          <w:szCs w:val="24"/>
        </w:rPr>
        <w:t xml:space="preserve">The </w:t>
      </w:r>
      <w:r w:rsidR="00607E70" w:rsidRPr="00A0599A">
        <w:rPr>
          <w:rStyle w:val="s1"/>
          <w:rFonts w:ascii="Times New Roman" w:hAnsi="Times New Roman"/>
          <w:color w:val="0D0D0D" w:themeColor="text1" w:themeTint="F2"/>
          <w:sz w:val="24"/>
          <w:szCs w:val="24"/>
        </w:rPr>
        <w:lastRenderedPageBreak/>
        <w:t>divorce proceedings were concluded on 28 July 2006, with the Court ordering the sale of the property in question to the best advantage of the applicant and the first respondent.</w:t>
      </w:r>
      <w:r w:rsidR="00607E70" w:rsidRPr="00A0599A">
        <w:rPr>
          <w:rFonts w:ascii="Times New Roman" w:hAnsi="Times New Roman"/>
          <w:color w:val="0D0D0D" w:themeColor="text1" w:themeTint="F2"/>
          <w:sz w:val="24"/>
          <w:szCs w:val="24"/>
        </w:rPr>
        <w:t xml:space="preserve"> </w:t>
      </w:r>
      <w:r w:rsidR="00607E70" w:rsidRPr="00A0599A">
        <w:rPr>
          <w:rStyle w:val="s1"/>
          <w:rFonts w:ascii="Times New Roman" w:hAnsi="Times New Roman"/>
          <w:color w:val="0D0D0D" w:themeColor="text1" w:themeTint="F2"/>
          <w:sz w:val="24"/>
          <w:szCs w:val="24"/>
        </w:rPr>
        <w:t>The property was sold as required by the Court order. It was sold for more than the US$160,000.00 value indicated by the first respondent's own appointed agent, Stohill Properties.</w:t>
      </w:r>
    </w:p>
    <w:p w14:paraId="3E70E889" w14:textId="476F5664" w:rsidR="003D3474" w:rsidRPr="00A0599A" w:rsidRDefault="00607E70" w:rsidP="00A0599A">
      <w:pPr>
        <w:pStyle w:val="p1"/>
        <w:numPr>
          <w:ilvl w:val="0"/>
          <w:numId w:val="12"/>
        </w:numPr>
        <w:spacing w:line="360" w:lineRule="auto"/>
        <w:jc w:val="both"/>
        <w:rPr>
          <w:rFonts w:ascii="Times New Roman" w:hAnsi="Times New Roman"/>
          <w:color w:val="0D0D0D" w:themeColor="text1" w:themeTint="F2"/>
          <w:sz w:val="24"/>
          <w:szCs w:val="24"/>
        </w:rPr>
      </w:pPr>
      <w:r w:rsidRPr="00A0599A">
        <w:rPr>
          <w:rStyle w:val="s1"/>
          <w:rFonts w:ascii="Times New Roman" w:hAnsi="Times New Roman"/>
          <w:color w:val="0D0D0D" w:themeColor="text1" w:themeTint="F2"/>
          <w:sz w:val="24"/>
          <w:szCs w:val="24"/>
        </w:rPr>
        <w:t xml:space="preserve">Like I have already indicated, nothing turns on the valuations produced by the first respondent because those were concluded after the property had already been sold. At any rate, the valuations do not represent the actual amounts obtainable for the property. They remain estimates. At times it is important when couples divorce for both of them to accept the reality of their divorce and the consequences it comes with. </w:t>
      </w:r>
      <w:r w:rsidR="004E5D8C" w:rsidRPr="00A0599A">
        <w:rPr>
          <w:rStyle w:val="s1"/>
          <w:rFonts w:ascii="Times New Roman" w:hAnsi="Times New Roman"/>
          <w:color w:val="0D0D0D" w:themeColor="text1" w:themeTint="F2"/>
          <w:sz w:val="24"/>
          <w:szCs w:val="24"/>
        </w:rPr>
        <w:t xml:space="preserve">For the first respondent to imagine that she is going to hold on to a property whose sale a court directed </w:t>
      </w:r>
      <w:r w:rsidR="00F53795" w:rsidRPr="00A0599A">
        <w:rPr>
          <w:rStyle w:val="s1"/>
          <w:rFonts w:ascii="Times New Roman" w:hAnsi="Times New Roman"/>
          <w:color w:val="0D0D0D" w:themeColor="text1" w:themeTint="F2"/>
          <w:sz w:val="24"/>
          <w:szCs w:val="24"/>
        </w:rPr>
        <w:t xml:space="preserve">twenty years ago, </w:t>
      </w:r>
      <w:r w:rsidR="004E5D8C" w:rsidRPr="00A0599A">
        <w:rPr>
          <w:rStyle w:val="s1"/>
          <w:rFonts w:ascii="Times New Roman" w:hAnsi="Times New Roman"/>
          <w:color w:val="0D0D0D" w:themeColor="text1" w:themeTint="F2"/>
          <w:sz w:val="24"/>
          <w:szCs w:val="24"/>
        </w:rPr>
        <w:t xml:space="preserve">may be wishful thinking. In any case, it is not as if the first respondent did not have options. She had numerous. In terms of the court order, she could have simply bought out the applicant. She chose not to despite her claim that the house could be sold for more than USD$350 000. The irresistible inference is that the first respondent simply does not want to let go of the house. </w:t>
      </w:r>
      <w:r w:rsidR="004E5D8C" w:rsidRPr="00A0599A">
        <w:rPr>
          <w:rFonts w:ascii="Times New Roman" w:hAnsi="Times New Roman"/>
          <w:color w:val="0D0D0D" w:themeColor="text1" w:themeTint="F2"/>
          <w:sz w:val="24"/>
          <w:szCs w:val="24"/>
        </w:rPr>
        <w:t xml:space="preserve">Second, if she did not agree with the valuation of </w:t>
      </w:r>
      <w:r w:rsidR="009E49C0" w:rsidRPr="00A0599A">
        <w:rPr>
          <w:rFonts w:ascii="Times New Roman" w:hAnsi="Times New Roman"/>
          <w:color w:val="0D0D0D" w:themeColor="text1" w:themeTint="F2"/>
          <w:sz w:val="24"/>
          <w:szCs w:val="24"/>
        </w:rPr>
        <w:t>USD</w:t>
      </w:r>
      <w:r w:rsidR="004E5D8C" w:rsidRPr="00A0599A">
        <w:rPr>
          <w:rFonts w:ascii="Times New Roman" w:hAnsi="Times New Roman"/>
          <w:color w:val="0D0D0D" w:themeColor="text1" w:themeTint="F2"/>
          <w:sz w:val="24"/>
          <w:szCs w:val="24"/>
        </w:rPr>
        <w:t xml:space="preserve">$350 000 </w:t>
      </w:r>
      <w:r w:rsidR="00A80AA3" w:rsidRPr="00A0599A">
        <w:rPr>
          <w:rStyle w:val="s1"/>
          <w:rFonts w:ascii="Times New Roman" w:hAnsi="Times New Roman"/>
          <w:color w:val="0D0D0D" w:themeColor="text1" w:themeTint="F2"/>
          <w:sz w:val="24"/>
          <w:szCs w:val="24"/>
        </w:rPr>
        <w:t>she ought to have</w:t>
      </w:r>
      <w:r w:rsidRPr="00A0599A">
        <w:rPr>
          <w:rStyle w:val="s1"/>
          <w:rFonts w:ascii="Times New Roman" w:hAnsi="Times New Roman"/>
          <w:color w:val="0D0D0D" w:themeColor="text1" w:themeTint="F2"/>
          <w:sz w:val="24"/>
          <w:szCs w:val="24"/>
        </w:rPr>
        <w:t xml:space="preserve"> taken the necessary step</w:t>
      </w:r>
      <w:r w:rsidR="00A80AA3" w:rsidRPr="00A0599A">
        <w:rPr>
          <w:rStyle w:val="s1"/>
          <w:rFonts w:ascii="Times New Roman" w:hAnsi="Times New Roman"/>
          <w:color w:val="0D0D0D" w:themeColor="text1" w:themeTint="F2"/>
          <w:sz w:val="24"/>
          <w:szCs w:val="24"/>
        </w:rPr>
        <w:t>s</w:t>
      </w:r>
      <w:r w:rsidRPr="00A0599A">
        <w:rPr>
          <w:rStyle w:val="s1"/>
          <w:rFonts w:ascii="Times New Roman" w:hAnsi="Times New Roman"/>
          <w:color w:val="0D0D0D" w:themeColor="text1" w:themeTint="F2"/>
          <w:sz w:val="24"/>
          <w:szCs w:val="24"/>
        </w:rPr>
        <w:t xml:space="preserve"> of seeking the setting aside of the sale of the property</w:t>
      </w:r>
      <w:r w:rsidR="00A80AA3" w:rsidRPr="00A0599A">
        <w:rPr>
          <w:rStyle w:val="s1"/>
          <w:rFonts w:ascii="Times New Roman" w:hAnsi="Times New Roman"/>
          <w:color w:val="0D0D0D" w:themeColor="text1" w:themeTint="F2"/>
          <w:sz w:val="24"/>
          <w:szCs w:val="24"/>
        </w:rPr>
        <w:t>. All that she stated was that</w:t>
      </w:r>
      <w:r w:rsidRPr="00A0599A">
        <w:rPr>
          <w:rStyle w:val="s1"/>
          <w:rFonts w:ascii="Times New Roman" w:hAnsi="Times New Roman"/>
          <w:color w:val="0D0D0D" w:themeColor="text1" w:themeTint="F2"/>
          <w:sz w:val="24"/>
          <w:szCs w:val="24"/>
        </w:rPr>
        <w:t xml:space="preserve"> she wishe</w:t>
      </w:r>
      <w:r w:rsidR="00A80AA3" w:rsidRPr="00A0599A">
        <w:rPr>
          <w:rStyle w:val="s1"/>
          <w:rFonts w:ascii="Times New Roman" w:hAnsi="Times New Roman"/>
          <w:color w:val="0D0D0D" w:themeColor="text1" w:themeTint="F2"/>
          <w:sz w:val="24"/>
          <w:szCs w:val="24"/>
        </w:rPr>
        <w:t>d</w:t>
      </w:r>
      <w:r w:rsidRPr="00A0599A">
        <w:rPr>
          <w:rStyle w:val="s1"/>
          <w:rFonts w:ascii="Times New Roman" w:hAnsi="Times New Roman"/>
          <w:color w:val="0D0D0D" w:themeColor="text1" w:themeTint="F2"/>
          <w:sz w:val="24"/>
          <w:szCs w:val="24"/>
        </w:rPr>
        <w:t xml:space="preserve"> to contest the sale</w:t>
      </w:r>
      <w:r w:rsidR="00A80AA3" w:rsidRPr="00A0599A">
        <w:rPr>
          <w:rStyle w:val="s1"/>
          <w:rFonts w:ascii="Times New Roman" w:hAnsi="Times New Roman"/>
          <w:color w:val="0D0D0D" w:themeColor="text1" w:themeTint="F2"/>
          <w:sz w:val="24"/>
          <w:szCs w:val="24"/>
        </w:rPr>
        <w:t xml:space="preserve"> but as it stands that</w:t>
      </w:r>
      <w:r w:rsidRPr="00A0599A">
        <w:rPr>
          <w:rStyle w:val="s1"/>
          <w:rFonts w:ascii="Times New Roman" w:hAnsi="Times New Roman"/>
          <w:color w:val="0D0D0D" w:themeColor="text1" w:themeTint="F2"/>
          <w:sz w:val="24"/>
          <w:szCs w:val="24"/>
        </w:rPr>
        <w:t xml:space="preserve"> sale remains valid until</w:t>
      </w:r>
      <w:r w:rsidR="00A80AA3" w:rsidRPr="00A0599A">
        <w:rPr>
          <w:rStyle w:val="s1"/>
          <w:rFonts w:ascii="Times New Roman" w:hAnsi="Times New Roman"/>
          <w:color w:val="0D0D0D" w:themeColor="text1" w:themeTint="F2"/>
          <w:sz w:val="24"/>
          <w:szCs w:val="24"/>
        </w:rPr>
        <w:t xml:space="preserve"> it is</w:t>
      </w:r>
      <w:r w:rsidRPr="00A0599A">
        <w:rPr>
          <w:rStyle w:val="s1"/>
          <w:rFonts w:ascii="Times New Roman" w:hAnsi="Times New Roman"/>
          <w:color w:val="0D0D0D" w:themeColor="text1" w:themeTint="F2"/>
          <w:sz w:val="24"/>
          <w:szCs w:val="24"/>
        </w:rPr>
        <w:t xml:space="preserve"> set aside. </w:t>
      </w:r>
      <w:r w:rsidR="00A80AA3" w:rsidRPr="00A0599A">
        <w:rPr>
          <w:rStyle w:val="s1"/>
          <w:rFonts w:ascii="Times New Roman" w:hAnsi="Times New Roman"/>
          <w:color w:val="0D0D0D" w:themeColor="text1" w:themeTint="F2"/>
          <w:sz w:val="24"/>
          <w:szCs w:val="24"/>
        </w:rPr>
        <w:t>It can only be given effect</w:t>
      </w:r>
      <w:r w:rsidRPr="00A0599A">
        <w:rPr>
          <w:rStyle w:val="s1"/>
          <w:rFonts w:ascii="Times New Roman" w:hAnsi="Times New Roman"/>
          <w:color w:val="0D0D0D" w:themeColor="text1" w:themeTint="F2"/>
          <w:sz w:val="24"/>
          <w:szCs w:val="24"/>
        </w:rPr>
        <w:t xml:space="preserve"> to by ordering the removal of the caveat.</w:t>
      </w:r>
    </w:p>
    <w:p w14:paraId="328DB1F1" w14:textId="7B40B9C0" w:rsidR="00123257" w:rsidRPr="00943905" w:rsidRDefault="00123257" w:rsidP="00A0599A">
      <w:pPr>
        <w:spacing w:after="0" w:line="360" w:lineRule="auto"/>
        <w:ind w:firstLine="450"/>
        <w:jc w:val="both"/>
        <w:rPr>
          <w:rFonts w:ascii="Times New Roman" w:hAnsi="Times New Roman" w:cs="Times New Roman"/>
          <w:b/>
          <w:color w:val="0D0D0D" w:themeColor="text1" w:themeTint="F2"/>
          <w:u w:val="single"/>
          <w:lang w:val="en-US"/>
        </w:rPr>
      </w:pPr>
      <w:r w:rsidRPr="00943905">
        <w:rPr>
          <w:rFonts w:ascii="Times New Roman" w:hAnsi="Times New Roman" w:cs="Times New Roman"/>
          <w:b/>
          <w:color w:val="0D0D0D" w:themeColor="text1" w:themeTint="F2"/>
          <w:u w:val="single"/>
          <w:lang w:val="en-US"/>
        </w:rPr>
        <w:t>Availability of other remedies</w:t>
      </w:r>
    </w:p>
    <w:p w14:paraId="00F026B9" w14:textId="2BC57EF4" w:rsidR="00123257" w:rsidRPr="00943905" w:rsidRDefault="00123257" w:rsidP="00A0599A">
      <w:pPr>
        <w:pStyle w:val="ListParagraph"/>
        <w:numPr>
          <w:ilvl w:val="0"/>
          <w:numId w:val="12"/>
        </w:numPr>
        <w:spacing w:after="240" w:line="360" w:lineRule="auto"/>
        <w:jc w:val="both"/>
        <w:rPr>
          <w:rFonts w:ascii="Times New Roman" w:hAnsi="Times New Roman" w:cs="Times New Roman"/>
          <w:color w:val="0D0D0D" w:themeColor="text1" w:themeTint="F2"/>
        </w:rPr>
      </w:pPr>
      <w:r w:rsidRPr="00943905">
        <w:rPr>
          <w:rFonts w:ascii="Times New Roman" w:hAnsi="Times New Roman" w:cs="Times New Roman"/>
          <w:color w:val="0D0D0D" w:themeColor="text1" w:themeTint="F2"/>
          <w:lang w:val="en-US"/>
        </w:rPr>
        <w:t xml:space="preserve">There is no other remedy which can adequately vindicate the applicants’ rights other </w:t>
      </w:r>
      <w:r w:rsidR="00544F7B">
        <w:rPr>
          <w:rFonts w:ascii="Times New Roman" w:hAnsi="Times New Roman" w:cs="Times New Roman"/>
          <w:color w:val="0D0D0D" w:themeColor="text1" w:themeTint="F2"/>
          <w:lang w:val="en-US"/>
        </w:rPr>
        <w:t xml:space="preserve">than </w:t>
      </w:r>
      <w:r w:rsidR="00A1278E" w:rsidRPr="00943905">
        <w:rPr>
          <w:rFonts w:ascii="Times New Roman" w:hAnsi="Times New Roman" w:cs="Times New Roman"/>
          <w:color w:val="0D0D0D" w:themeColor="text1" w:themeTint="F2"/>
          <w:lang w:val="en-US"/>
        </w:rPr>
        <w:t>a mandamus</w:t>
      </w:r>
      <w:r w:rsidRPr="00943905">
        <w:rPr>
          <w:rFonts w:ascii="Times New Roman" w:hAnsi="Times New Roman" w:cs="Times New Roman"/>
          <w:color w:val="0D0D0D" w:themeColor="text1" w:themeTint="F2"/>
          <w:lang w:val="en-US"/>
        </w:rPr>
        <w:t xml:space="preserve">.  </w:t>
      </w:r>
      <w:r w:rsidRPr="00943905">
        <w:rPr>
          <w:rFonts w:ascii="Times New Roman" w:hAnsi="Times New Roman" w:cs="Times New Roman"/>
          <w:color w:val="0D0D0D" w:themeColor="text1" w:themeTint="F2"/>
        </w:rPr>
        <w:t>Herbstein &amp; van Winsen,</w:t>
      </w:r>
      <w:r w:rsidRPr="00943905">
        <w:rPr>
          <w:rFonts w:ascii="Times New Roman" w:hAnsi="Times New Roman" w:cs="Times New Roman"/>
          <w:i/>
          <w:color w:val="0D0D0D" w:themeColor="text1" w:themeTint="F2"/>
        </w:rPr>
        <w:t xml:space="preserve"> The Civil Practice of the High Courts of South Africa </w:t>
      </w:r>
      <w:r w:rsidRPr="00943905">
        <w:rPr>
          <w:rFonts w:ascii="Times New Roman" w:hAnsi="Times New Roman" w:cs="Times New Roman"/>
          <w:color w:val="0D0D0D" w:themeColor="text1" w:themeTint="F2"/>
        </w:rPr>
        <w:t xml:space="preserve">5 ed, pp 1467-1468 articulates this principle: </w:t>
      </w:r>
    </w:p>
    <w:p w14:paraId="180A3537" w14:textId="77777777" w:rsidR="00123257" w:rsidRPr="00A0599A" w:rsidRDefault="00123257" w:rsidP="00A0599A">
      <w:pPr>
        <w:spacing w:after="240" w:line="240" w:lineRule="auto"/>
        <w:ind w:left="1440"/>
        <w:jc w:val="both"/>
        <w:rPr>
          <w:rFonts w:ascii="Times New Roman" w:hAnsi="Times New Roman" w:cs="Times New Roman"/>
          <w:color w:val="0D0D0D" w:themeColor="text1" w:themeTint="F2"/>
          <w:sz w:val="22"/>
          <w:szCs w:val="20"/>
        </w:rPr>
      </w:pPr>
      <w:r w:rsidRPr="00A0599A">
        <w:rPr>
          <w:rFonts w:ascii="Times New Roman" w:hAnsi="Times New Roman" w:cs="Times New Roman"/>
          <w:color w:val="0D0D0D" w:themeColor="text1" w:themeTint="F2"/>
          <w:sz w:val="22"/>
          <w:szCs w:val="20"/>
        </w:rPr>
        <w:t>“The question of the absence of an alternative remedy must be understood in the context of the remedy envisaged by law.  For it to qualify as an alternative remedy, it must:</w:t>
      </w:r>
    </w:p>
    <w:p w14:paraId="5AA846B0" w14:textId="77777777" w:rsidR="00123257" w:rsidRPr="00A0599A" w:rsidRDefault="00123257" w:rsidP="00A0599A">
      <w:pPr>
        <w:pStyle w:val="ListParagraph"/>
        <w:numPr>
          <w:ilvl w:val="0"/>
          <w:numId w:val="5"/>
        </w:numPr>
        <w:spacing w:after="240" w:line="240" w:lineRule="auto"/>
        <w:ind w:left="1800"/>
        <w:jc w:val="both"/>
        <w:rPr>
          <w:rFonts w:ascii="Times New Roman" w:hAnsi="Times New Roman" w:cs="Times New Roman"/>
          <w:color w:val="0D0D0D" w:themeColor="text1" w:themeTint="F2"/>
          <w:sz w:val="22"/>
          <w:szCs w:val="20"/>
        </w:rPr>
      </w:pPr>
      <w:r w:rsidRPr="00A0599A">
        <w:rPr>
          <w:rFonts w:ascii="Times New Roman" w:hAnsi="Times New Roman" w:cs="Times New Roman"/>
          <w:color w:val="0D0D0D" w:themeColor="text1" w:themeTint="F2"/>
          <w:sz w:val="22"/>
          <w:szCs w:val="20"/>
        </w:rPr>
        <w:t>be adequate, having regard to the circumstances of the matter;</w:t>
      </w:r>
    </w:p>
    <w:p w14:paraId="04ACACC3" w14:textId="77777777" w:rsidR="00123257" w:rsidRPr="00A0599A" w:rsidRDefault="00123257" w:rsidP="00A0599A">
      <w:pPr>
        <w:pStyle w:val="ListParagraph"/>
        <w:numPr>
          <w:ilvl w:val="0"/>
          <w:numId w:val="5"/>
        </w:numPr>
        <w:spacing w:after="240" w:line="240" w:lineRule="auto"/>
        <w:ind w:left="1800"/>
        <w:jc w:val="both"/>
        <w:rPr>
          <w:rFonts w:ascii="Times New Roman" w:hAnsi="Times New Roman" w:cs="Times New Roman"/>
          <w:color w:val="0D0D0D" w:themeColor="text1" w:themeTint="F2"/>
          <w:sz w:val="22"/>
          <w:szCs w:val="20"/>
        </w:rPr>
      </w:pPr>
      <w:r w:rsidRPr="00A0599A">
        <w:rPr>
          <w:rFonts w:ascii="Times New Roman" w:hAnsi="Times New Roman" w:cs="Times New Roman"/>
          <w:color w:val="0D0D0D" w:themeColor="text1" w:themeTint="F2"/>
          <w:sz w:val="22"/>
          <w:szCs w:val="20"/>
        </w:rPr>
        <w:t>be ordinary and reasonable;</w:t>
      </w:r>
    </w:p>
    <w:p w14:paraId="6F6C7653" w14:textId="77777777" w:rsidR="00123257" w:rsidRPr="00A0599A" w:rsidRDefault="00123257" w:rsidP="00A0599A">
      <w:pPr>
        <w:pStyle w:val="ListParagraph"/>
        <w:numPr>
          <w:ilvl w:val="0"/>
          <w:numId w:val="5"/>
        </w:numPr>
        <w:spacing w:after="240" w:line="240" w:lineRule="auto"/>
        <w:ind w:left="1800"/>
        <w:jc w:val="both"/>
        <w:rPr>
          <w:rFonts w:ascii="Times New Roman" w:hAnsi="Times New Roman" w:cs="Times New Roman"/>
          <w:color w:val="0D0D0D" w:themeColor="text1" w:themeTint="F2"/>
          <w:sz w:val="22"/>
          <w:szCs w:val="20"/>
        </w:rPr>
      </w:pPr>
      <w:r w:rsidRPr="00A0599A">
        <w:rPr>
          <w:rFonts w:ascii="Times New Roman" w:hAnsi="Times New Roman" w:cs="Times New Roman"/>
          <w:color w:val="0D0D0D" w:themeColor="text1" w:themeTint="F2"/>
          <w:sz w:val="22"/>
          <w:szCs w:val="20"/>
        </w:rPr>
        <w:t>be a legal remedy;</w:t>
      </w:r>
    </w:p>
    <w:p w14:paraId="51D49B1A" w14:textId="6E6999C5" w:rsidR="00123257" w:rsidRDefault="00123257" w:rsidP="00A0599A">
      <w:pPr>
        <w:pStyle w:val="ListParagraph"/>
        <w:numPr>
          <w:ilvl w:val="0"/>
          <w:numId w:val="5"/>
        </w:numPr>
        <w:spacing w:after="240" w:line="240" w:lineRule="auto"/>
        <w:ind w:left="1800"/>
        <w:jc w:val="both"/>
        <w:rPr>
          <w:rFonts w:ascii="Times New Roman" w:hAnsi="Times New Roman" w:cs="Times New Roman"/>
          <w:color w:val="0D0D0D" w:themeColor="text1" w:themeTint="F2"/>
          <w:sz w:val="22"/>
          <w:szCs w:val="20"/>
        </w:rPr>
      </w:pPr>
      <w:r w:rsidRPr="00A0599A">
        <w:rPr>
          <w:rFonts w:ascii="Times New Roman" w:hAnsi="Times New Roman" w:cs="Times New Roman"/>
          <w:color w:val="0D0D0D" w:themeColor="text1" w:themeTint="F2"/>
          <w:sz w:val="22"/>
          <w:szCs w:val="20"/>
        </w:rPr>
        <w:t>grant similar protection.”</w:t>
      </w:r>
    </w:p>
    <w:p w14:paraId="0C5254F2" w14:textId="77777777" w:rsidR="00A0599A" w:rsidRPr="00A0599A" w:rsidRDefault="00A0599A" w:rsidP="00A0599A">
      <w:pPr>
        <w:pStyle w:val="ListParagraph"/>
        <w:spacing w:after="240" w:line="240" w:lineRule="auto"/>
        <w:ind w:left="1800"/>
        <w:jc w:val="both"/>
        <w:rPr>
          <w:rFonts w:ascii="Times New Roman" w:hAnsi="Times New Roman" w:cs="Times New Roman"/>
          <w:color w:val="0D0D0D" w:themeColor="text1" w:themeTint="F2"/>
          <w:sz w:val="22"/>
          <w:szCs w:val="20"/>
        </w:rPr>
      </w:pPr>
    </w:p>
    <w:p w14:paraId="644F02F8" w14:textId="7A3318FD" w:rsidR="00123257" w:rsidRPr="00943905" w:rsidRDefault="00123257" w:rsidP="00A0599A">
      <w:pPr>
        <w:pStyle w:val="ListParagraph"/>
        <w:numPr>
          <w:ilvl w:val="0"/>
          <w:numId w:val="12"/>
        </w:numPr>
        <w:spacing w:after="240" w:line="360" w:lineRule="auto"/>
        <w:jc w:val="both"/>
        <w:rPr>
          <w:rFonts w:ascii="Times New Roman" w:hAnsi="Times New Roman" w:cs="Times New Roman"/>
          <w:color w:val="0D0D0D" w:themeColor="text1" w:themeTint="F2"/>
          <w:lang w:val="en-US"/>
        </w:rPr>
      </w:pPr>
      <w:r w:rsidRPr="00943905">
        <w:rPr>
          <w:rFonts w:ascii="Times New Roman" w:hAnsi="Times New Roman" w:cs="Times New Roman"/>
          <w:i/>
          <w:color w:val="0D0D0D" w:themeColor="text1" w:themeTint="F2"/>
        </w:rPr>
        <w:t xml:space="preserve">In casu </w:t>
      </w:r>
      <w:r w:rsidR="00CA4A58" w:rsidRPr="00943905">
        <w:rPr>
          <w:rFonts w:ascii="Times New Roman" w:hAnsi="Times New Roman" w:cs="Times New Roman"/>
          <w:color w:val="0D0D0D" w:themeColor="text1" w:themeTint="F2"/>
        </w:rPr>
        <w:t>there is none. The second</w:t>
      </w:r>
      <w:r w:rsidRPr="00943905">
        <w:rPr>
          <w:rFonts w:ascii="Times New Roman" w:hAnsi="Times New Roman" w:cs="Times New Roman"/>
          <w:color w:val="0D0D0D" w:themeColor="text1" w:themeTint="F2"/>
        </w:rPr>
        <w:t xml:space="preserve"> respondent is unrelenting and is bent on </w:t>
      </w:r>
      <w:r w:rsidR="00CA4A58" w:rsidRPr="00943905">
        <w:rPr>
          <w:rFonts w:ascii="Times New Roman" w:hAnsi="Times New Roman" w:cs="Times New Roman"/>
          <w:color w:val="0D0D0D" w:themeColor="text1" w:themeTint="F2"/>
        </w:rPr>
        <w:t xml:space="preserve">uplifting the caveat only when he receives the written consent of the first respondent. </w:t>
      </w:r>
      <w:r w:rsidRPr="00943905">
        <w:rPr>
          <w:rFonts w:ascii="Times New Roman" w:hAnsi="Times New Roman" w:cs="Times New Roman"/>
          <w:color w:val="0D0D0D" w:themeColor="text1" w:themeTint="F2"/>
        </w:rPr>
        <w:lastRenderedPageBreak/>
        <w:t>The demands of the m</w:t>
      </w:r>
      <w:r w:rsidR="00CA4A58" w:rsidRPr="00943905">
        <w:rPr>
          <w:rFonts w:ascii="Times New Roman" w:hAnsi="Times New Roman" w:cs="Times New Roman"/>
          <w:color w:val="0D0D0D" w:themeColor="text1" w:themeTint="F2"/>
        </w:rPr>
        <w:t xml:space="preserve">atter therefore call for </w:t>
      </w:r>
      <w:r w:rsidRPr="00943905">
        <w:rPr>
          <w:rFonts w:ascii="Times New Roman" w:hAnsi="Times New Roman" w:cs="Times New Roman"/>
          <w:color w:val="0D0D0D" w:themeColor="text1" w:themeTint="F2"/>
        </w:rPr>
        <w:t>action in the f</w:t>
      </w:r>
      <w:r w:rsidR="00CA4A58" w:rsidRPr="00943905">
        <w:rPr>
          <w:rFonts w:ascii="Times New Roman" w:hAnsi="Times New Roman" w:cs="Times New Roman"/>
          <w:color w:val="0D0D0D" w:themeColor="text1" w:themeTint="F2"/>
        </w:rPr>
        <w:t xml:space="preserve">orm and stature of a </w:t>
      </w:r>
      <w:r w:rsidR="00A1278E" w:rsidRPr="00943905">
        <w:rPr>
          <w:rFonts w:ascii="Times New Roman" w:hAnsi="Times New Roman" w:cs="Times New Roman"/>
          <w:color w:val="0D0D0D" w:themeColor="text1" w:themeTint="F2"/>
        </w:rPr>
        <w:t>mandamus</w:t>
      </w:r>
      <w:r w:rsidRPr="00943905">
        <w:rPr>
          <w:rFonts w:ascii="Times New Roman" w:hAnsi="Times New Roman" w:cs="Times New Roman"/>
          <w:color w:val="0D0D0D" w:themeColor="text1" w:themeTint="F2"/>
        </w:rPr>
        <w:t xml:space="preserve">. </w:t>
      </w:r>
      <w:r w:rsidRPr="00943905">
        <w:rPr>
          <w:rFonts w:ascii="Times New Roman" w:hAnsi="Times New Roman" w:cs="Times New Roman"/>
          <w:color w:val="0D0D0D" w:themeColor="text1" w:themeTint="F2"/>
          <w:lang w:val="en-US"/>
        </w:rPr>
        <w:t xml:space="preserve">I am therefore satisfied that the applicant </w:t>
      </w:r>
      <w:r w:rsidR="00B85E74" w:rsidRPr="00943905">
        <w:rPr>
          <w:rFonts w:ascii="Times New Roman" w:hAnsi="Times New Roman" w:cs="Times New Roman"/>
          <w:color w:val="0D0D0D" w:themeColor="text1" w:themeTint="F2"/>
          <w:lang w:val="en-US"/>
        </w:rPr>
        <w:t xml:space="preserve">has </w:t>
      </w:r>
      <w:r w:rsidRPr="00943905">
        <w:rPr>
          <w:rFonts w:ascii="Times New Roman" w:hAnsi="Times New Roman" w:cs="Times New Roman"/>
          <w:color w:val="0D0D0D" w:themeColor="text1" w:themeTint="F2"/>
          <w:lang w:val="en-US"/>
        </w:rPr>
        <w:t xml:space="preserve">made out a case for the relief </w:t>
      </w:r>
      <w:r w:rsidR="00A1278E" w:rsidRPr="00943905">
        <w:rPr>
          <w:rFonts w:ascii="Times New Roman" w:hAnsi="Times New Roman" w:cs="Times New Roman"/>
          <w:color w:val="0D0D0D" w:themeColor="text1" w:themeTint="F2"/>
          <w:lang w:val="en-US"/>
        </w:rPr>
        <w:t xml:space="preserve">he </w:t>
      </w:r>
      <w:r w:rsidRPr="00943905">
        <w:rPr>
          <w:rFonts w:ascii="Times New Roman" w:hAnsi="Times New Roman" w:cs="Times New Roman"/>
          <w:color w:val="0D0D0D" w:themeColor="text1" w:themeTint="F2"/>
          <w:lang w:val="en-US"/>
        </w:rPr>
        <w:t>seeks.</w:t>
      </w:r>
    </w:p>
    <w:p w14:paraId="4D9174F2" w14:textId="77777777" w:rsidR="00A0599A" w:rsidRDefault="00A0599A" w:rsidP="00B0713D">
      <w:pPr>
        <w:spacing w:after="240" w:line="360" w:lineRule="auto"/>
        <w:ind w:firstLine="720"/>
        <w:jc w:val="both"/>
        <w:rPr>
          <w:rFonts w:ascii="Times New Roman" w:hAnsi="Times New Roman" w:cs="Times New Roman"/>
          <w:b/>
          <w:color w:val="0D0D0D" w:themeColor="text1" w:themeTint="F2"/>
          <w:u w:val="single"/>
          <w:lang w:val="en-US"/>
        </w:rPr>
      </w:pPr>
    </w:p>
    <w:p w14:paraId="5CDB3C86" w14:textId="77777777" w:rsidR="00A0599A" w:rsidRDefault="00B85E74" w:rsidP="00A0599A">
      <w:pPr>
        <w:spacing w:after="0" w:line="360" w:lineRule="auto"/>
        <w:ind w:firstLine="450"/>
        <w:jc w:val="both"/>
        <w:rPr>
          <w:rFonts w:ascii="Times New Roman" w:hAnsi="Times New Roman" w:cs="Times New Roman"/>
          <w:b/>
          <w:color w:val="0D0D0D" w:themeColor="text1" w:themeTint="F2"/>
          <w:u w:val="single"/>
          <w:lang w:val="en-US"/>
        </w:rPr>
      </w:pPr>
      <w:r w:rsidRPr="00943905">
        <w:rPr>
          <w:rFonts w:ascii="Times New Roman" w:hAnsi="Times New Roman" w:cs="Times New Roman"/>
          <w:b/>
          <w:color w:val="0D0D0D" w:themeColor="text1" w:themeTint="F2"/>
          <w:u w:val="single"/>
          <w:lang w:val="en-US"/>
        </w:rPr>
        <w:t>Costs</w:t>
      </w:r>
    </w:p>
    <w:p w14:paraId="77490E48" w14:textId="77777777" w:rsidR="00A0599A" w:rsidRDefault="00B85E74" w:rsidP="00A0599A">
      <w:pPr>
        <w:pStyle w:val="ListParagraph"/>
        <w:numPr>
          <w:ilvl w:val="0"/>
          <w:numId w:val="12"/>
        </w:numPr>
        <w:spacing w:after="0" w:line="360" w:lineRule="auto"/>
        <w:jc w:val="both"/>
        <w:rPr>
          <w:rFonts w:ascii="Times New Roman" w:hAnsi="Times New Roman" w:cs="Times New Roman"/>
          <w:b/>
          <w:color w:val="0D0D0D" w:themeColor="text1" w:themeTint="F2"/>
          <w:u w:val="single"/>
          <w:lang w:val="en-US"/>
        </w:rPr>
      </w:pPr>
      <w:r w:rsidRPr="00A0599A">
        <w:rPr>
          <w:rFonts w:ascii="Times New Roman" w:hAnsi="Times New Roman" w:cs="Times New Roman"/>
          <w:color w:val="0D0D0D" w:themeColor="text1" w:themeTint="F2"/>
          <w:lang w:val="en-US"/>
        </w:rPr>
        <w:t xml:space="preserve">The applicant proposed </w:t>
      </w:r>
      <w:r w:rsidR="003B6D5E" w:rsidRPr="00A0599A">
        <w:rPr>
          <w:rFonts w:ascii="Times New Roman" w:hAnsi="Times New Roman" w:cs="Times New Roman"/>
          <w:color w:val="0D0D0D" w:themeColor="text1" w:themeTint="F2"/>
          <w:lang w:val="en-US"/>
        </w:rPr>
        <w:t xml:space="preserve">in his draft order </w:t>
      </w:r>
      <w:r w:rsidRPr="00A0599A">
        <w:rPr>
          <w:rFonts w:ascii="Times New Roman" w:hAnsi="Times New Roman" w:cs="Times New Roman"/>
          <w:color w:val="0D0D0D" w:themeColor="text1" w:themeTint="F2"/>
          <w:lang w:val="en-US"/>
        </w:rPr>
        <w:t>that the respondents be ordered to pay cost</w:t>
      </w:r>
      <w:r w:rsidR="003B6D5E" w:rsidRPr="00A0599A">
        <w:rPr>
          <w:rFonts w:ascii="Times New Roman" w:hAnsi="Times New Roman" w:cs="Times New Roman"/>
          <w:color w:val="0D0D0D" w:themeColor="text1" w:themeTint="F2"/>
          <w:lang w:val="en-US"/>
        </w:rPr>
        <w:t>s</w:t>
      </w:r>
      <w:r w:rsidRPr="00A0599A">
        <w:rPr>
          <w:rFonts w:ascii="Times New Roman" w:hAnsi="Times New Roman" w:cs="Times New Roman"/>
          <w:color w:val="0D0D0D" w:themeColor="text1" w:themeTint="F2"/>
          <w:lang w:val="en-US"/>
        </w:rPr>
        <w:t xml:space="preserve"> on an attorney client scale if they oppose the application. “Respondents”</w:t>
      </w:r>
      <w:r w:rsidR="003D3474" w:rsidRPr="00A0599A">
        <w:rPr>
          <w:rFonts w:ascii="Times New Roman" w:hAnsi="Times New Roman" w:cs="Times New Roman"/>
          <w:color w:val="0D0D0D" w:themeColor="text1" w:themeTint="F2"/>
          <w:lang w:val="en-US"/>
        </w:rPr>
        <w:t xml:space="preserve"> </w:t>
      </w:r>
      <w:r w:rsidRPr="00A0599A">
        <w:rPr>
          <w:rFonts w:ascii="Times New Roman" w:hAnsi="Times New Roman" w:cs="Times New Roman"/>
          <w:color w:val="0D0D0D" w:themeColor="text1" w:themeTint="F2"/>
          <w:lang w:val="en-US"/>
        </w:rPr>
        <w:t>refers to all the three respondents.</w:t>
      </w:r>
      <w:r w:rsidR="003B6D5E" w:rsidRPr="00A0599A">
        <w:rPr>
          <w:rFonts w:ascii="Times New Roman" w:hAnsi="Times New Roman" w:cs="Times New Roman"/>
          <w:color w:val="0D0D0D" w:themeColor="text1" w:themeTint="F2"/>
          <w:lang w:val="en-US"/>
        </w:rPr>
        <w:t xml:space="preserve"> </w:t>
      </w:r>
      <w:r w:rsidRPr="00A0599A">
        <w:rPr>
          <w:rFonts w:ascii="Times New Roman" w:hAnsi="Times New Roman" w:cs="Times New Roman"/>
          <w:color w:val="0D0D0D" w:themeColor="text1" w:themeTint="F2"/>
          <w:lang w:val="en-US"/>
        </w:rPr>
        <w:t xml:space="preserve">The second respondent however cannot be judged with the same </w:t>
      </w:r>
      <w:r w:rsidR="00B0713D" w:rsidRPr="00A0599A">
        <w:rPr>
          <w:rFonts w:ascii="Times New Roman" w:hAnsi="Times New Roman" w:cs="Times New Roman"/>
          <w:color w:val="0D0D0D" w:themeColor="text1" w:themeTint="F2"/>
          <w:lang w:val="en-US"/>
        </w:rPr>
        <w:t>yard</w:t>
      </w:r>
      <w:r w:rsidRPr="00A0599A">
        <w:rPr>
          <w:rFonts w:ascii="Times New Roman" w:hAnsi="Times New Roman" w:cs="Times New Roman"/>
          <w:color w:val="0D0D0D" w:themeColor="text1" w:themeTint="F2"/>
          <w:lang w:val="en-US"/>
        </w:rPr>
        <w:t>stick as the other two.</w:t>
      </w:r>
      <w:r w:rsidR="003B6D5E" w:rsidRPr="00A0599A">
        <w:rPr>
          <w:rFonts w:ascii="Times New Roman" w:hAnsi="Times New Roman" w:cs="Times New Roman"/>
          <w:color w:val="0D0D0D" w:themeColor="text1" w:themeTint="F2"/>
          <w:lang w:val="en-US"/>
        </w:rPr>
        <w:t xml:space="preserve"> </w:t>
      </w:r>
      <w:r w:rsidRPr="00A0599A">
        <w:rPr>
          <w:rFonts w:ascii="Times New Roman" w:hAnsi="Times New Roman" w:cs="Times New Roman"/>
          <w:color w:val="0D0D0D" w:themeColor="text1" w:themeTint="F2"/>
          <w:lang w:val="en-US"/>
        </w:rPr>
        <w:t>He did not file any opposing papers</w:t>
      </w:r>
      <w:r w:rsidR="00B0713D" w:rsidRPr="00A0599A">
        <w:rPr>
          <w:rFonts w:ascii="Times New Roman" w:hAnsi="Times New Roman" w:cs="Times New Roman"/>
          <w:color w:val="0D0D0D" w:themeColor="text1" w:themeTint="F2"/>
          <w:lang w:val="en-US"/>
        </w:rPr>
        <w:t xml:space="preserve"> which showed that he had no interest in the substantive dispute</w:t>
      </w:r>
      <w:r w:rsidRPr="00A0599A">
        <w:rPr>
          <w:rFonts w:ascii="Times New Roman" w:hAnsi="Times New Roman" w:cs="Times New Roman"/>
          <w:color w:val="0D0D0D" w:themeColor="text1" w:themeTint="F2"/>
          <w:lang w:val="en-US"/>
        </w:rPr>
        <w:t>.</w:t>
      </w:r>
      <w:r w:rsidR="00E469C1" w:rsidRPr="00A0599A">
        <w:rPr>
          <w:rFonts w:ascii="Times New Roman" w:hAnsi="Times New Roman" w:cs="Times New Roman"/>
          <w:color w:val="0D0D0D" w:themeColor="text1" w:themeTint="F2"/>
          <w:lang w:val="en-US"/>
        </w:rPr>
        <w:t xml:space="preserve"> Furthermore</w:t>
      </w:r>
      <w:r w:rsidR="003D3474" w:rsidRPr="00A0599A">
        <w:rPr>
          <w:rFonts w:ascii="Times New Roman" w:hAnsi="Times New Roman" w:cs="Times New Roman"/>
          <w:color w:val="0D0D0D" w:themeColor="text1" w:themeTint="F2"/>
          <w:lang w:val="en-US"/>
        </w:rPr>
        <w:t>,</w:t>
      </w:r>
      <w:r w:rsidR="00E469C1" w:rsidRPr="00A0599A">
        <w:rPr>
          <w:rFonts w:ascii="Times New Roman" w:hAnsi="Times New Roman" w:cs="Times New Roman"/>
          <w:color w:val="0D0D0D" w:themeColor="text1" w:themeTint="F2"/>
          <w:lang w:val="en-US"/>
        </w:rPr>
        <w:t xml:space="preserve"> he </w:t>
      </w:r>
      <w:r w:rsidR="003B6D5E" w:rsidRPr="00A0599A">
        <w:rPr>
          <w:rFonts w:ascii="Times New Roman" w:hAnsi="Times New Roman" w:cs="Times New Roman"/>
          <w:color w:val="0D0D0D" w:themeColor="text1" w:themeTint="F2"/>
          <w:lang w:val="en-US"/>
        </w:rPr>
        <w:t xml:space="preserve">was cited in his official capacity and in not filing any opposing papers opted to be bound by the decision of this court. </w:t>
      </w:r>
      <w:r w:rsidRPr="00A0599A">
        <w:rPr>
          <w:rFonts w:ascii="Times New Roman" w:hAnsi="Times New Roman" w:cs="Times New Roman"/>
          <w:color w:val="0D0D0D" w:themeColor="text1" w:themeTint="F2"/>
          <w:lang w:val="en-US"/>
        </w:rPr>
        <w:t>He cannot therefore be visited with cost</w:t>
      </w:r>
      <w:r w:rsidR="003B6D5E" w:rsidRPr="00A0599A">
        <w:rPr>
          <w:rFonts w:ascii="Times New Roman" w:hAnsi="Times New Roman" w:cs="Times New Roman"/>
          <w:color w:val="0D0D0D" w:themeColor="text1" w:themeTint="F2"/>
          <w:lang w:val="en-US"/>
        </w:rPr>
        <w:t>s</w:t>
      </w:r>
      <w:r w:rsidR="00E469C1" w:rsidRPr="00A0599A">
        <w:rPr>
          <w:rFonts w:ascii="Times New Roman" w:hAnsi="Times New Roman" w:cs="Times New Roman"/>
          <w:color w:val="0D0D0D" w:themeColor="text1" w:themeTint="F2"/>
          <w:lang w:val="en-US"/>
        </w:rPr>
        <w:t>,</w:t>
      </w:r>
      <w:r w:rsidRPr="00A0599A">
        <w:rPr>
          <w:rFonts w:ascii="Times New Roman" w:hAnsi="Times New Roman" w:cs="Times New Roman"/>
          <w:color w:val="0D0D0D" w:themeColor="text1" w:themeTint="F2"/>
          <w:lang w:val="en-US"/>
        </w:rPr>
        <w:t xml:space="preserve"> more</w:t>
      </w:r>
      <w:r w:rsidR="003B6D5E" w:rsidRPr="00A0599A">
        <w:rPr>
          <w:rFonts w:ascii="Times New Roman" w:hAnsi="Times New Roman" w:cs="Times New Roman"/>
          <w:color w:val="0D0D0D" w:themeColor="text1" w:themeTint="F2"/>
          <w:lang w:val="en-US"/>
        </w:rPr>
        <w:t xml:space="preserve"> </w:t>
      </w:r>
      <w:r w:rsidRPr="00A0599A">
        <w:rPr>
          <w:rFonts w:ascii="Times New Roman" w:hAnsi="Times New Roman" w:cs="Times New Roman"/>
          <w:color w:val="0D0D0D" w:themeColor="text1" w:themeTint="F2"/>
          <w:lang w:val="en-US"/>
        </w:rPr>
        <w:t>so on a higher scale.</w:t>
      </w:r>
    </w:p>
    <w:p w14:paraId="510688A6" w14:textId="48B5C888" w:rsidR="00B85E74" w:rsidRPr="00A0599A" w:rsidRDefault="00B85E74" w:rsidP="00A0599A">
      <w:pPr>
        <w:pStyle w:val="ListParagraph"/>
        <w:numPr>
          <w:ilvl w:val="0"/>
          <w:numId w:val="12"/>
        </w:numPr>
        <w:spacing w:after="0" w:line="360" w:lineRule="auto"/>
        <w:jc w:val="both"/>
        <w:rPr>
          <w:rFonts w:ascii="Times New Roman" w:hAnsi="Times New Roman" w:cs="Times New Roman"/>
          <w:b/>
          <w:color w:val="0D0D0D" w:themeColor="text1" w:themeTint="F2"/>
          <w:u w:val="single"/>
          <w:lang w:val="en-US"/>
        </w:rPr>
      </w:pPr>
      <w:r w:rsidRPr="00A0599A">
        <w:rPr>
          <w:rFonts w:ascii="Times New Roman" w:hAnsi="Times New Roman" w:cs="Times New Roman"/>
          <w:lang w:val="en-US"/>
        </w:rPr>
        <w:t xml:space="preserve">The first and third respondents </w:t>
      </w:r>
      <w:r w:rsidR="003B6D5E" w:rsidRPr="00A0599A">
        <w:rPr>
          <w:rFonts w:ascii="Times New Roman" w:hAnsi="Times New Roman" w:cs="Times New Roman"/>
          <w:lang w:val="en-US"/>
        </w:rPr>
        <w:t xml:space="preserve">filed their opposing papers. </w:t>
      </w:r>
      <w:r w:rsidR="00B0713D" w:rsidRPr="00A0599A">
        <w:rPr>
          <w:rFonts w:ascii="Times New Roman" w:hAnsi="Times New Roman" w:cs="Times New Roman"/>
          <w:lang w:val="en-US"/>
        </w:rPr>
        <w:t xml:space="preserve">Their opposition to the application was intended to defend their rights as they saw fit. There was nothing blatantly unreasonable about it. If the court were to grant </w:t>
      </w:r>
      <w:r w:rsidR="003B6D5E" w:rsidRPr="00A0599A">
        <w:rPr>
          <w:rFonts w:ascii="Times New Roman" w:hAnsi="Times New Roman" w:cs="Times New Roman"/>
          <w:lang w:val="en-US"/>
        </w:rPr>
        <w:t>the applicant</w:t>
      </w:r>
      <w:r w:rsidR="00B0713D" w:rsidRPr="00A0599A">
        <w:rPr>
          <w:rFonts w:ascii="Times New Roman" w:hAnsi="Times New Roman" w:cs="Times New Roman"/>
          <w:lang w:val="en-US"/>
        </w:rPr>
        <w:t>’s request for costs on attorney and client scale it would make it</w:t>
      </w:r>
      <w:r w:rsidR="00544F7B" w:rsidRPr="00A0599A">
        <w:rPr>
          <w:rFonts w:ascii="Times New Roman" w:hAnsi="Times New Roman" w:cs="Times New Roman"/>
          <w:lang w:val="en-US"/>
        </w:rPr>
        <w:t xml:space="preserve"> appear like the courts are bent</w:t>
      </w:r>
      <w:r w:rsidR="00B0713D" w:rsidRPr="00A0599A">
        <w:rPr>
          <w:rFonts w:ascii="Times New Roman" w:hAnsi="Times New Roman" w:cs="Times New Roman"/>
          <w:lang w:val="en-US"/>
        </w:rPr>
        <w:t xml:space="preserve"> on punishing everyone who chooses to defend an action against them. </w:t>
      </w:r>
      <w:r w:rsidR="003B6D5E" w:rsidRPr="00A0599A">
        <w:rPr>
          <w:rFonts w:ascii="Times New Roman" w:hAnsi="Times New Roman" w:cs="Times New Roman"/>
          <w:lang w:val="en-US"/>
        </w:rPr>
        <w:t>In the absence of any other justification,</w:t>
      </w:r>
      <w:r w:rsidR="00544F7B" w:rsidRPr="00A0599A">
        <w:rPr>
          <w:rFonts w:ascii="Times New Roman" w:hAnsi="Times New Roman" w:cs="Times New Roman"/>
          <w:lang w:val="en-US"/>
        </w:rPr>
        <w:t xml:space="preserve"> the court will</w:t>
      </w:r>
      <w:r w:rsidR="00C12AAF" w:rsidRPr="00A0599A">
        <w:rPr>
          <w:rFonts w:ascii="Times New Roman" w:hAnsi="Times New Roman" w:cs="Times New Roman"/>
          <w:lang w:val="en-US"/>
        </w:rPr>
        <w:t xml:space="preserve"> take the usual approach to costs</w:t>
      </w:r>
      <w:r w:rsidR="00544F7B" w:rsidRPr="00A0599A">
        <w:rPr>
          <w:rFonts w:ascii="Times New Roman" w:hAnsi="Times New Roman" w:cs="Times New Roman"/>
          <w:lang w:val="en-US"/>
        </w:rPr>
        <w:t>,</w:t>
      </w:r>
      <w:r w:rsidR="00C12AAF" w:rsidRPr="00A0599A">
        <w:rPr>
          <w:rFonts w:ascii="Times New Roman" w:hAnsi="Times New Roman" w:cs="Times New Roman"/>
          <w:lang w:val="en-US"/>
        </w:rPr>
        <w:t xml:space="preserve"> that</w:t>
      </w:r>
      <w:r w:rsidR="00544F7B" w:rsidRPr="00A0599A">
        <w:rPr>
          <w:rFonts w:ascii="Times New Roman" w:hAnsi="Times New Roman" w:cs="Times New Roman"/>
          <w:lang w:val="en-US"/>
        </w:rPr>
        <w:t xml:space="preserve"> is that</w:t>
      </w:r>
      <w:r w:rsidR="00C12AAF" w:rsidRPr="00A0599A">
        <w:rPr>
          <w:rFonts w:ascii="Times New Roman" w:hAnsi="Times New Roman" w:cs="Times New Roman"/>
          <w:lang w:val="en-US"/>
        </w:rPr>
        <w:t xml:space="preserve"> costs follow the cause. </w:t>
      </w:r>
      <w:r w:rsidR="003B6D5E" w:rsidRPr="00A0599A">
        <w:rPr>
          <w:rFonts w:ascii="Times New Roman" w:hAnsi="Times New Roman" w:cs="Times New Roman"/>
          <w:lang w:val="en-US"/>
        </w:rPr>
        <w:t xml:space="preserve"> </w:t>
      </w:r>
    </w:p>
    <w:p w14:paraId="4B165222" w14:textId="77777777" w:rsidR="00A0599A" w:rsidRDefault="00123257" w:rsidP="00A0599A">
      <w:pPr>
        <w:spacing w:after="0" w:line="360" w:lineRule="auto"/>
        <w:ind w:left="450"/>
        <w:jc w:val="both"/>
        <w:rPr>
          <w:rFonts w:ascii="Times New Roman" w:hAnsi="Times New Roman" w:cs="Times New Roman"/>
          <w:b/>
          <w:u w:val="single"/>
          <w:lang w:val="en-US"/>
        </w:rPr>
      </w:pPr>
      <w:r w:rsidRPr="00F556CD">
        <w:rPr>
          <w:rFonts w:ascii="Times New Roman" w:hAnsi="Times New Roman" w:cs="Times New Roman"/>
          <w:b/>
          <w:u w:val="single"/>
          <w:lang w:val="en-US"/>
        </w:rPr>
        <w:t>Disposition</w:t>
      </w:r>
    </w:p>
    <w:p w14:paraId="50EA1B6C" w14:textId="3259C183" w:rsidR="003B6D5E" w:rsidRPr="00A0599A" w:rsidRDefault="003B6D5E" w:rsidP="00A0599A">
      <w:pPr>
        <w:pStyle w:val="ListParagraph"/>
        <w:numPr>
          <w:ilvl w:val="0"/>
          <w:numId w:val="12"/>
        </w:numPr>
        <w:spacing w:line="360" w:lineRule="auto"/>
        <w:jc w:val="both"/>
        <w:rPr>
          <w:rFonts w:ascii="Times New Roman" w:hAnsi="Times New Roman" w:cs="Times New Roman"/>
          <w:b/>
          <w:u w:val="single"/>
          <w:lang w:val="en-US"/>
        </w:rPr>
      </w:pPr>
      <w:r w:rsidRPr="00A0599A">
        <w:rPr>
          <w:rFonts w:ascii="Times New Roman" w:hAnsi="Times New Roman" w:cs="Times New Roman"/>
          <w:lang w:val="en-US"/>
        </w:rPr>
        <w:t>Accordingly</w:t>
      </w:r>
      <w:r w:rsidR="003D3474" w:rsidRPr="00A0599A">
        <w:rPr>
          <w:rFonts w:ascii="Times New Roman" w:hAnsi="Times New Roman" w:cs="Times New Roman"/>
          <w:lang w:val="en-US"/>
        </w:rPr>
        <w:t>,</w:t>
      </w:r>
      <w:r w:rsidRPr="00A0599A">
        <w:rPr>
          <w:rFonts w:ascii="Times New Roman" w:hAnsi="Times New Roman" w:cs="Times New Roman"/>
          <w:lang w:val="en-US"/>
        </w:rPr>
        <w:t xml:space="preserve"> the application is granted on the following terms:</w:t>
      </w:r>
    </w:p>
    <w:p w14:paraId="7B5949E1" w14:textId="77777777" w:rsidR="00A0599A" w:rsidRPr="00A0599A" w:rsidRDefault="00A0599A" w:rsidP="00A0599A">
      <w:pPr>
        <w:pStyle w:val="ListParagraph"/>
        <w:spacing w:line="240" w:lineRule="auto"/>
        <w:ind w:left="810"/>
        <w:jc w:val="both"/>
        <w:rPr>
          <w:rFonts w:ascii="Times New Roman" w:hAnsi="Times New Roman" w:cs="Times New Roman"/>
          <w:b/>
          <w:u w:val="single"/>
          <w:lang w:val="en-US"/>
        </w:rPr>
      </w:pPr>
    </w:p>
    <w:p w14:paraId="7F6133B2" w14:textId="41723F66" w:rsidR="00123257" w:rsidRPr="003D3474" w:rsidRDefault="00C12AAF" w:rsidP="00C12AAF">
      <w:pPr>
        <w:pStyle w:val="ListParagraph"/>
        <w:numPr>
          <w:ilvl w:val="0"/>
          <w:numId w:val="10"/>
        </w:numPr>
        <w:spacing w:after="240" w:line="360" w:lineRule="auto"/>
        <w:jc w:val="both"/>
        <w:rPr>
          <w:rFonts w:ascii="Times New Roman" w:hAnsi="Times New Roman" w:cs="Times New Roman"/>
          <w:lang w:val="en-US"/>
        </w:rPr>
      </w:pPr>
      <w:r>
        <w:rPr>
          <w:rFonts w:ascii="Times New Roman" w:hAnsi="Times New Roman" w:cs="Times New Roman"/>
          <w:lang w:val="en-US"/>
        </w:rPr>
        <w:t>The</w:t>
      </w:r>
      <w:r w:rsidR="003B6D5E" w:rsidRPr="003D3474">
        <w:rPr>
          <w:rFonts w:ascii="Times New Roman" w:hAnsi="Times New Roman" w:cs="Times New Roman"/>
          <w:lang w:val="en-US"/>
        </w:rPr>
        <w:t xml:space="preserve"> application for upliftment of a caveat be and is hereby granted</w:t>
      </w:r>
      <w:r w:rsidR="003D3474">
        <w:rPr>
          <w:rFonts w:ascii="Times New Roman" w:hAnsi="Times New Roman" w:cs="Times New Roman"/>
          <w:lang w:val="en-US"/>
        </w:rPr>
        <w:t>.</w:t>
      </w:r>
    </w:p>
    <w:p w14:paraId="008302C7" w14:textId="7B76502A" w:rsidR="003B6D5E" w:rsidRPr="003D3474" w:rsidRDefault="003B6D5E" w:rsidP="003D3474">
      <w:pPr>
        <w:pStyle w:val="ListParagraph"/>
        <w:numPr>
          <w:ilvl w:val="0"/>
          <w:numId w:val="10"/>
        </w:numPr>
        <w:spacing w:after="240" w:line="360" w:lineRule="auto"/>
        <w:jc w:val="both"/>
        <w:rPr>
          <w:rFonts w:ascii="Times New Roman" w:hAnsi="Times New Roman" w:cs="Times New Roman"/>
          <w:lang w:val="en-US"/>
        </w:rPr>
      </w:pPr>
      <w:r w:rsidRPr="003D3474">
        <w:rPr>
          <w:rFonts w:ascii="Times New Roman" w:hAnsi="Times New Roman" w:cs="Times New Roman"/>
          <w:lang w:val="en-US"/>
        </w:rPr>
        <w:t xml:space="preserve">The second respondent be and is hereby ordered to uplift caveat no 36/2004 </w:t>
      </w:r>
      <w:r w:rsidR="00C12AAF">
        <w:rPr>
          <w:rFonts w:ascii="Times New Roman" w:hAnsi="Times New Roman" w:cs="Times New Roman"/>
          <w:lang w:val="en-US"/>
        </w:rPr>
        <w:t xml:space="preserve">placed on Deed of Transfer No. </w:t>
      </w:r>
      <w:r w:rsidR="00C12AAF" w:rsidRPr="00F556CD">
        <w:rPr>
          <w:rStyle w:val="s1"/>
          <w:rFonts w:ascii="Times New Roman" w:hAnsi="Times New Roman"/>
          <w:sz w:val="24"/>
          <w:szCs w:val="24"/>
        </w:rPr>
        <w:t>2370/84</w:t>
      </w:r>
      <w:r w:rsidR="00C12AAF">
        <w:rPr>
          <w:rStyle w:val="s1"/>
          <w:rFonts w:ascii="Times New Roman" w:hAnsi="Times New Roman"/>
          <w:sz w:val="24"/>
          <w:szCs w:val="24"/>
        </w:rPr>
        <w:t xml:space="preserve"> relating to S</w:t>
      </w:r>
      <w:r w:rsidR="00C12AAF" w:rsidRPr="00F556CD">
        <w:rPr>
          <w:rStyle w:val="s1"/>
          <w:rFonts w:ascii="Times New Roman" w:hAnsi="Times New Roman"/>
          <w:sz w:val="24"/>
          <w:szCs w:val="24"/>
        </w:rPr>
        <w:t>tand 274 Quinnington Township 11 of Lot DC Quinnington</w:t>
      </w:r>
      <w:r w:rsidR="00C12AAF">
        <w:rPr>
          <w:rStyle w:val="s1"/>
          <w:rFonts w:ascii="Times New Roman" w:hAnsi="Times New Roman"/>
          <w:sz w:val="24"/>
          <w:szCs w:val="24"/>
        </w:rPr>
        <w:t>,</w:t>
      </w:r>
      <w:r w:rsidR="00C12AAF" w:rsidRPr="00F556CD">
        <w:rPr>
          <w:rStyle w:val="s1"/>
          <w:rFonts w:ascii="Times New Roman" w:hAnsi="Times New Roman"/>
          <w:sz w:val="24"/>
          <w:szCs w:val="24"/>
        </w:rPr>
        <w:t xml:space="preserve"> measuring 4242 square metres </w:t>
      </w:r>
      <w:r w:rsidRPr="003D3474">
        <w:rPr>
          <w:rFonts w:ascii="Times New Roman" w:hAnsi="Times New Roman" w:cs="Times New Roman"/>
          <w:lang w:val="en-US"/>
        </w:rPr>
        <w:t>within 14 days of this order</w:t>
      </w:r>
      <w:r w:rsidR="003D3474">
        <w:rPr>
          <w:rFonts w:ascii="Times New Roman" w:hAnsi="Times New Roman" w:cs="Times New Roman"/>
          <w:lang w:val="en-US"/>
        </w:rPr>
        <w:t>.</w:t>
      </w:r>
    </w:p>
    <w:p w14:paraId="6A7B4F3F" w14:textId="09B473C3" w:rsidR="003B6D5E" w:rsidRDefault="003B6D5E" w:rsidP="003D3474">
      <w:pPr>
        <w:pStyle w:val="ListParagraph"/>
        <w:numPr>
          <w:ilvl w:val="0"/>
          <w:numId w:val="10"/>
        </w:numPr>
        <w:spacing w:after="240" w:line="360" w:lineRule="auto"/>
        <w:jc w:val="both"/>
        <w:rPr>
          <w:rFonts w:ascii="Times New Roman" w:hAnsi="Times New Roman" w:cs="Times New Roman"/>
          <w:lang w:val="en-US"/>
        </w:rPr>
      </w:pPr>
      <w:r w:rsidRPr="003D3474">
        <w:rPr>
          <w:rFonts w:ascii="Times New Roman" w:hAnsi="Times New Roman" w:cs="Times New Roman"/>
          <w:lang w:val="en-US"/>
        </w:rPr>
        <w:t xml:space="preserve">The first and third respondents shall pay </w:t>
      </w:r>
      <w:r w:rsidR="00C12AAF">
        <w:rPr>
          <w:rFonts w:ascii="Times New Roman" w:hAnsi="Times New Roman" w:cs="Times New Roman"/>
          <w:lang w:val="en-US"/>
        </w:rPr>
        <w:t xml:space="preserve">the applicant’s </w:t>
      </w:r>
      <w:r w:rsidRPr="003D3474">
        <w:rPr>
          <w:rFonts w:ascii="Times New Roman" w:hAnsi="Times New Roman" w:cs="Times New Roman"/>
          <w:lang w:val="en-US"/>
        </w:rPr>
        <w:t>costs of suit</w:t>
      </w:r>
    </w:p>
    <w:p w14:paraId="5A063798" w14:textId="77777777" w:rsidR="00A0599A" w:rsidRDefault="00A0599A" w:rsidP="00A0599A">
      <w:pPr>
        <w:spacing w:after="240" w:line="360" w:lineRule="auto"/>
        <w:jc w:val="both"/>
        <w:rPr>
          <w:rFonts w:ascii="Times New Roman" w:hAnsi="Times New Roman" w:cs="Times New Roman"/>
          <w:b/>
          <w:smallCaps/>
          <w:lang w:val="en-US"/>
        </w:rPr>
      </w:pPr>
    </w:p>
    <w:p w14:paraId="789E76EF" w14:textId="2F83454C" w:rsidR="00A0599A" w:rsidRPr="00A0599A" w:rsidRDefault="00A0599A" w:rsidP="00A0599A">
      <w:pPr>
        <w:spacing w:after="0" w:line="360" w:lineRule="auto"/>
        <w:jc w:val="both"/>
        <w:rPr>
          <w:rFonts w:ascii="Times New Roman" w:hAnsi="Times New Roman" w:cs="Times New Roman"/>
          <w:lang w:val="en-US"/>
        </w:rPr>
      </w:pPr>
      <w:r w:rsidRPr="00A0599A">
        <w:rPr>
          <w:rFonts w:ascii="Times New Roman" w:hAnsi="Times New Roman" w:cs="Times New Roman"/>
          <w:b/>
          <w:smallCaps/>
          <w:lang w:val="en-US"/>
        </w:rPr>
        <w:t>Mungwari J</w:t>
      </w:r>
      <w:r>
        <w:rPr>
          <w:rFonts w:ascii="Times New Roman" w:hAnsi="Times New Roman" w:cs="Times New Roman"/>
          <w:lang w:val="en-US"/>
        </w:rPr>
        <w:t>: ………………………………………….</w:t>
      </w:r>
    </w:p>
    <w:p w14:paraId="48E22011" w14:textId="79194DD3" w:rsidR="00216B3F" w:rsidRPr="00216B3F" w:rsidRDefault="00A0599A" w:rsidP="00A0599A">
      <w:pPr>
        <w:spacing w:after="0" w:line="240" w:lineRule="auto"/>
        <w:jc w:val="both"/>
        <w:rPr>
          <w:rFonts w:ascii="Times New Roman" w:hAnsi="Times New Roman" w:cs="Times New Roman"/>
          <w:lang w:val="en-US"/>
        </w:rPr>
      </w:pPr>
      <w:r>
        <w:rPr>
          <w:rFonts w:ascii="Times New Roman" w:hAnsi="Times New Roman" w:cs="Times New Roman"/>
          <w:i/>
          <w:lang w:val="en-US"/>
        </w:rPr>
        <w:lastRenderedPageBreak/>
        <w:t>Mataka legal P</w:t>
      </w:r>
      <w:r w:rsidR="00216B3F">
        <w:rPr>
          <w:rFonts w:ascii="Times New Roman" w:hAnsi="Times New Roman" w:cs="Times New Roman"/>
          <w:i/>
          <w:lang w:val="en-US"/>
        </w:rPr>
        <w:t>ractise</w:t>
      </w:r>
      <w:r>
        <w:rPr>
          <w:rFonts w:ascii="Times New Roman" w:hAnsi="Times New Roman" w:cs="Times New Roman"/>
          <w:lang w:val="en-US"/>
        </w:rPr>
        <w:t xml:space="preserve">, </w:t>
      </w:r>
      <w:r w:rsidR="00216B3F" w:rsidRPr="00216B3F">
        <w:rPr>
          <w:rFonts w:ascii="Times New Roman" w:hAnsi="Times New Roman" w:cs="Times New Roman"/>
          <w:lang w:val="en-US"/>
        </w:rPr>
        <w:t>applicants’</w:t>
      </w:r>
      <w:r>
        <w:rPr>
          <w:rFonts w:ascii="Times New Roman" w:hAnsi="Times New Roman" w:cs="Times New Roman"/>
          <w:lang w:val="en-US"/>
        </w:rPr>
        <w:t xml:space="preserve"> legal practitioners</w:t>
      </w:r>
    </w:p>
    <w:p w14:paraId="25F50D36" w14:textId="40065BE7" w:rsidR="00216B3F" w:rsidRPr="00216B3F" w:rsidRDefault="00A0599A" w:rsidP="00A0599A">
      <w:pPr>
        <w:spacing w:after="0" w:line="240" w:lineRule="auto"/>
        <w:jc w:val="both"/>
        <w:rPr>
          <w:rFonts w:ascii="Times New Roman" w:hAnsi="Times New Roman" w:cs="Times New Roman"/>
          <w:lang w:val="en-US"/>
        </w:rPr>
      </w:pPr>
      <w:r>
        <w:rPr>
          <w:rFonts w:ascii="Times New Roman" w:hAnsi="Times New Roman" w:cs="Times New Roman"/>
          <w:i/>
          <w:lang w:val="en-US"/>
        </w:rPr>
        <w:t>T K Hove and Partners,</w:t>
      </w:r>
      <w:r>
        <w:rPr>
          <w:rFonts w:ascii="Times New Roman" w:hAnsi="Times New Roman" w:cs="Times New Roman"/>
          <w:lang w:val="en-US"/>
        </w:rPr>
        <w:t xml:space="preserve"> </w:t>
      </w:r>
      <w:r w:rsidR="00216B3F" w:rsidRPr="00216B3F">
        <w:rPr>
          <w:rFonts w:ascii="Times New Roman" w:hAnsi="Times New Roman" w:cs="Times New Roman"/>
          <w:lang w:val="en-US"/>
        </w:rPr>
        <w:t>first</w:t>
      </w:r>
      <w:r w:rsidR="00216B3F">
        <w:rPr>
          <w:rFonts w:ascii="Times New Roman" w:hAnsi="Times New Roman" w:cs="Times New Roman"/>
          <w:lang w:val="en-US"/>
        </w:rPr>
        <w:t xml:space="preserve"> and third</w:t>
      </w:r>
      <w:r w:rsidR="00216B3F" w:rsidRPr="00216B3F">
        <w:rPr>
          <w:rFonts w:ascii="Times New Roman" w:hAnsi="Times New Roman" w:cs="Times New Roman"/>
          <w:lang w:val="en-US"/>
        </w:rPr>
        <w:t xml:space="preserve"> respondent</w:t>
      </w:r>
      <w:r w:rsidR="00216B3F">
        <w:rPr>
          <w:rFonts w:ascii="Times New Roman" w:hAnsi="Times New Roman" w:cs="Times New Roman"/>
          <w:lang w:val="en-US"/>
        </w:rPr>
        <w:t>s</w:t>
      </w:r>
      <w:r>
        <w:rPr>
          <w:rFonts w:ascii="Times New Roman" w:hAnsi="Times New Roman" w:cs="Times New Roman"/>
          <w:lang w:val="en-US"/>
        </w:rPr>
        <w:t>’ legal practitioners</w:t>
      </w:r>
    </w:p>
    <w:p w14:paraId="4F093C68" w14:textId="77777777" w:rsidR="00123257" w:rsidRPr="00F556CD" w:rsidRDefault="00123257" w:rsidP="003D3474">
      <w:pPr>
        <w:spacing w:after="240" w:line="360" w:lineRule="auto"/>
        <w:jc w:val="both"/>
        <w:rPr>
          <w:rFonts w:ascii="Times New Roman" w:hAnsi="Times New Roman" w:cs="Times New Roman"/>
          <w:lang w:val="en-US"/>
        </w:rPr>
      </w:pPr>
    </w:p>
    <w:p w14:paraId="305F4EA7" w14:textId="77777777" w:rsidR="00123257" w:rsidRPr="00F556CD" w:rsidRDefault="00123257" w:rsidP="003D3474">
      <w:pPr>
        <w:spacing w:after="240" w:line="360" w:lineRule="auto"/>
        <w:jc w:val="both"/>
        <w:rPr>
          <w:rFonts w:ascii="Times New Roman" w:hAnsi="Times New Roman" w:cs="Times New Roman"/>
          <w:lang w:val="en-US"/>
        </w:rPr>
      </w:pPr>
    </w:p>
    <w:p w14:paraId="53593395" w14:textId="77777777" w:rsidR="00123257" w:rsidRPr="00F556CD" w:rsidRDefault="00123257" w:rsidP="003D3474">
      <w:pPr>
        <w:spacing w:after="240" w:line="360" w:lineRule="auto"/>
        <w:jc w:val="both"/>
        <w:rPr>
          <w:rFonts w:ascii="Times New Roman" w:hAnsi="Times New Roman" w:cs="Times New Roman"/>
          <w:lang w:val="en-US"/>
        </w:rPr>
      </w:pPr>
    </w:p>
    <w:p w14:paraId="43AA6699" w14:textId="77777777" w:rsidR="00123257" w:rsidRPr="00F556CD" w:rsidRDefault="00123257" w:rsidP="003D3474">
      <w:pPr>
        <w:spacing w:after="240" w:line="360" w:lineRule="auto"/>
        <w:jc w:val="both"/>
        <w:rPr>
          <w:rFonts w:ascii="Times New Roman" w:hAnsi="Times New Roman" w:cs="Times New Roman"/>
          <w:lang w:val="en-US"/>
        </w:rPr>
      </w:pPr>
    </w:p>
    <w:p w14:paraId="00B0C3F9" w14:textId="214E38D8" w:rsidR="00B01FFF" w:rsidRPr="00F556CD" w:rsidRDefault="00B01FFF" w:rsidP="003D3474">
      <w:pPr>
        <w:pStyle w:val="NormalWeb"/>
        <w:spacing w:after="240" w:afterAutospacing="0" w:line="360" w:lineRule="auto"/>
        <w:jc w:val="both"/>
        <w:rPr>
          <w:color w:val="000000"/>
        </w:rPr>
      </w:pPr>
    </w:p>
    <w:sectPr w:rsidR="00B01FFF" w:rsidRPr="00F556C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20F45" w14:textId="77777777" w:rsidR="004A1B27" w:rsidRDefault="004A1B27" w:rsidP="00CA4A58">
      <w:pPr>
        <w:spacing w:after="0" w:line="240" w:lineRule="auto"/>
      </w:pPr>
      <w:r>
        <w:separator/>
      </w:r>
    </w:p>
  </w:endnote>
  <w:endnote w:type="continuationSeparator" w:id="0">
    <w:p w14:paraId="5C3F00FB" w14:textId="77777777" w:rsidR="004A1B27" w:rsidRDefault="004A1B27" w:rsidP="00CA4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F66ED" w14:textId="77777777" w:rsidR="004A1B27" w:rsidRDefault="004A1B27" w:rsidP="00CA4A58">
      <w:pPr>
        <w:spacing w:after="0" w:line="240" w:lineRule="auto"/>
      </w:pPr>
      <w:r>
        <w:separator/>
      </w:r>
    </w:p>
  </w:footnote>
  <w:footnote w:type="continuationSeparator" w:id="0">
    <w:p w14:paraId="05C219F4" w14:textId="77777777" w:rsidR="004A1B27" w:rsidRDefault="004A1B27" w:rsidP="00CA4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297659"/>
      <w:docPartObj>
        <w:docPartGallery w:val="Page Numbers (Top of Page)"/>
        <w:docPartUnique/>
      </w:docPartObj>
    </w:sdtPr>
    <w:sdtEndPr>
      <w:rPr>
        <w:noProof/>
        <w:sz w:val="22"/>
      </w:rPr>
    </w:sdtEndPr>
    <w:sdtContent>
      <w:p w14:paraId="261FFBF5" w14:textId="7AC1C6A8" w:rsidR="003C6E13" w:rsidRDefault="003C6E13">
        <w:pPr>
          <w:pStyle w:val="Header"/>
          <w:jc w:val="right"/>
          <w:rPr>
            <w:noProof/>
            <w:sz w:val="22"/>
          </w:rPr>
        </w:pPr>
        <w:r w:rsidRPr="003C6E13">
          <w:rPr>
            <w:sz w:val="22"/>
          </w:rPr>
          <w:fldChar w:fldCharType="begin"/>
        </w:r>
        <w:r w:rsidRPr="003C6E13">
          <w:rPr>
            <w:sz w:val="22"/>
          </w:rPr>
          <w:instrText xml:space="preserve"> PAGE   \* MERGEFORMAT </w:instrText>
        </w:r>
        <w:r w:rsidRPr="003C6E13">
          <w:rPr>
            <w:sz w:val="22"/>
          </w:rPr>
          <w:fldChar w:fldCharType="separate"/>
        </w:r>
        <w:r w:rsidR="00CD6D19">
          <w:rPr>
            <w:noProof/>
            <w:sz w:val="22"/>
          </w:rPr>
          <w:t>1</w:t>
        </w:r>
        <w:r w:rsidRPr="003C6E13">
          <w:rPr>
            <w:noProof/>
            <w:sz w:val="22"/>
          </w:rPr>
          <w:fldChar w:fldCharType="end"/>
        </w:r>
      </w:p>
      <w:p w14:paraId="0BCAEFCA" w14:textId="0E71D3B7" w:rsidR="00CA53E5" w:rsidRPr="003C6E13" w:rsidRDefault="00CA53E5">
        <w:pPr>
          <w:pStyle w:val="Header"/>
          <w:jc w:val="right"/>
          <w:rPr>
            <w:noProof/>
            <w:sz w:val="22"/>
          </w:rPr>
        </w:pPr>
        <w:r>
          <w:rPr>
            <w:noProof/>
            <w:sz w:val="22"/>
          </w:rPr>
          <w:t>HH</w:t>
        </w:r>
        <w:r w:rsidR="00FD3508">
          <w:rPr>
            <w:noProof/>
            <w:sz w:val="22"/>
          </w:rPr>
          <w:t xml:space="preserve"> 366</w:t>
        </w:r>
        <w:r>
          <w:rPr>
            <w:noProof/>
            <w:sz w:val="22"/>
          </w:rPr>
          <w:t xml:space="preserve"> - 25</w:t>
        </w:r>
      </w:p>
      <w:p w14:paraId="455D8A5B" w14:textId="5FDE9080" w:rsidR="003C6E13" w:rsidRPr="003C6E13" w:rsidRDefault="003C6E13">
        <w:pPr>
          <w:pStyle w:val="Header"/>
          <w:jc w:val="right"/>
          <w:rPr>
            <w:sz w:val="22"/>
          </w:rPr>
        </w:pPr>
        <w:r w:rsidRPr="003C6E13">
          <w:rPr>
            <w:noProof/>
            <w:sz w:val="22"/>
          </w:rPr>
          <w:t>HCH 3829/24</w:t>
        </w:r>
      </w:p>
    </w:sdtContent>
  </w:sdt>
  <w:p w14:paraId="4104F157" w14:textId="77777777" w:rsidR="003C6E13" w:rsidRDefault="003C6E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0389A"/>
    <w:multiLevelType w:val="multilevel"/>
    <w:tmpl w:val="4C084B9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C2A5F"/>
    <w:multiLevelType w:val="hybridMultilevel"/>
    <w:tmpl w:val="7DE2A3D8"/>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87903"/>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1C141C2"/>
    <w:multiLevelType w:val="hybridMultilevel"/>
    <w:tmpl w:val="CAEC667E"/>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150D9"/>
    <w:multiLevelType w:val="hybridMultilevel"/>
    <w:tmpl w:val="541AC3D4"/>
    <w:lvl w:ilvl="0" w:tplc="6612341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4786F4E"/>
    <w:multiLevelType w:val="hybridMultilevel"/>
    <w:tmpl w:val="B59EE618"/>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F453B2"/>
    <w:multiLevelType w:val="hybridMultilevel"/>
    <w:tmpl w:val="2BD2877A"/>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FC49C8"/>
    <w:multiLevelType w:val="hybridMultilevel"/>
    <w:tmpl w:val="A8DC78BC"/>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94285"/>
    <w:multiLevelType w:val="hybridMultilevel"/>
    <w:tmpl w:val="7004EB5E"/>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C12A5D"/>
    <w:multiLevelType w:val="hybridMultilevel"/>
    <w:tmpl w:val="D76CDE2A"/>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EE90646"/>
    <w:multiLevelType w:val="hybridMultilevel"/>
    <w:tmpl w:val="A09AAD14"/>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F20298"/>
    <w:multiLevelType w:val="hybridMultilevel"/>
    <w:tmpl w:val="48E62288"/>
    <w:lvl w:ilvl="0" w:tplc="5720BCBE">
      <w:start w:val="1"/>
      <w:numFmt w:val="decimal"/>
      <w:lvlText w:val="[%1]"/>
      <w:lvlJc w:val="left"/>
      <w:pPr>
        <w:ind w:left="81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F2D4B"/>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5D64191"/>
    <w:multiLevelType w:val="hybridMultilevel"/>
    <w:tmpl w:val="28243BEC"/>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E70A09"/>
    <w:multiLevelType w:val="hybridMultilevel"/>
    <w:tmpl w:val="2B04AA82"/>
    <w:lvl w:ilvl="0" w:tplc="D50A9386">
      <w:start w:val="1"/>
      <w:numFmt w:val="lowerLetter"/>
      <w:lvlText w:val="%1."/>
      <w:lvlJc w:val="left"/>
      <w:pPr>
        <w:ind w:left="1800" w:hanging="360"/>
      </w:pPr>
      <w:rPr>
        <w:rFonts w:ascii="Times New Roman" w:eastAsiaTheme="minorEastAsia"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CDC1F2A"/>
    <w:multiLevelType w:val="hybridMultilevel"/>
    <w:tmpl w:val="B0D2F42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0F30E64"/>
    <w:multiLevelType w:val="hybridMultilevel"/>
    <w:tmpl w:val="19C4CCE6"/>
    <w:lvl w:ilvl="0" w:tplc="EBEEB7D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326C22C7"/>
    <w:multiLevelType w:val="hybridMultilevel"/>
    <w:tmpl w:val="ECEA6884"/>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2EE1ACE"/>
    <w:multiLevelType w:val="hybridMultilevel"/>
    <w:tmpl w:val="8564CD82"/>
    <w:lvl w:ilvl="0" w:tplc="4DBA3E84">
      <w:start w:val="1"/>
      <w:numFmt w:val="decimal"/>
      <w:lvlText w:val="[%1]"/>
      <w:lvlJc w:val="left"/>
      <w:pPr>
        <w:ind w:left="81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B25EA6"/>
    <w:multiLevelType w:val="hybridMultilevel"/>
    <w:tmpl w:val="C5165AD0"/>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71E3C8A"/>
    <w:multiLevelType w:val="hybridMultilevel"/>
    <w:tmpl w:val="8D20A852"/>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1114F"/>
    <w:multiLevelType w:val="hybridMultilevel"/>
    <w:tmpl w:val="7F00C712"/>
    <w:lvl w:ilvl="0" w:tplc="4DBA3E84">
      <w:start w:val="1"/>
      <w:numFmt w:val="decimal"/>
      <w:lvlText w:val="[%1]"/>
      <w:lvlJc w:val="left"/>
      <w:pPr>
        <w:ind w:left="81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E12B0D"/>
    <w:multiLevelType w:val="hybridMultilevel"/>
    <w:tmpl w:val="86DC2128"/>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E3660A"/>
    <w:multiLevelType w:val="hybridMultilevel"/>
    <w:tmpl w:val="054C867C"/>
    <w:lvl w:ilvl="0" w:tplc="DAD0FD54">
      <w:start w:val="1"/>
      <w:numFmt w:val="lowerLetter"/>
      <w:lvlText w:val="%1."/>
      <w:lvlJc w:val="left"/>
      <w:pPr>
        <w:ind w:left="1440" w:hanging="360"/>
      </w:pPr>
      <w:rPr>
        <w:rFonts w:ascii="Times New Roman" w:eastAsia="Times New Roman" w:hAnsi="Times New Roman" w:cs="Times New Roman"/>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4" w15:restartNumberingAfterBreak="0">
    <w:nsid w:val="43167146"/>
    <w:multiLevelType w:val="hybridMultilevel"/>
    <w:tmpl w:val="378AF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FC6094"/>
    <w:multiLevelType w:val="hybridMultilevel"/>
    <w:tmpl w:val="BE10E132"/>
    <w:lvl w:ilvl="0" w:tplc="3AB2082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4E0A08EA"/>
    <w:multiLevelType w:val="hybridMultilevel"/>
    <w:tmpl w:val="032CF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3637B0"/>
    <w:multiLevelType w:val="hybridMultilevel"/>
    <w:tmpl w:val="5658F5F0"/>
    <w:lvl w:ilvl="0" w:tplc="3AB2082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15:restartNumberingAfterBreak="0">
    <w:nsid w:val="5A0C3497"/>
    <w:multiLevelType w:val="hybridMultilevel"/>
    <w:tmpl w:val="A9B897CE"/>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CBC6D64"/>
    <w:multiLevelType w:val="hybridMultilevel"/>
    <w:tmpl w:val="ADB20564"/>
    <w:lvl w:ilvl="0" w:tplc="7D98BEEA">
      <w:start w:val="4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2153C9"/>
    <w:multiLevelType w:val="hybridMultilevel"/>
    <w:tmpl w:val="F7704B2C"/>
    <w:lvl w:ilvl="0" w:tplc="93F242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E287E87"/>
    <w:multiLevelType w:val="hybridMultilevel"/>
    <w:tmpl w:val="8D881D90"/>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D427EE"/>
    <w:multiLevelType w:val="hybridMultilevel"/>
    <w:tmpl w:val="1ED4F99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5257AE2"/>
    <w:multiLevelType w:val="hybridMultilevel"/>
    <w:tmpl w:val="04268BCC"/>
    <w:lvl w:ilvl="0" w:tplc="074C511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68390D52"/>
    <w:multiLevelType w:val="hybridMultilevel"/>
    <w:tmpl w:val="8E889D44"/>
    <w:lvl w:ilvl="0" w:tplc="EBEEB7D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6E8D5527"/>
    <w:multiLevelType w:val="hybridMultilevel"/>
    <w:tmpl w:val="1F98683E"/>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0C67E7"/>
    <w:multiLevelType w:val="hybridMultilevel"/>
    <w:tmpl w:val="D14878A2"/>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106B19"/>
    <w:multiLevelType w:val="hybridMultilevel"/>
    <w:tmpl w:val="683A012E"/>
    <w:lvl w:ilvl="0" w:tplc="6136F3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331D7A"/>
    <w:multiLevelType w:val="hybridMultilevel"/>
    <w:tmpl w:val="0F5A4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0E6FCD"/>
    <w:multiLevelType w:val="hybridMultilevel"/>
    <w:tmpl w:val="A028ACC0"/>
    <w:lvl w:ilvl="0" w:tplc="3AB2082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2"/>
  </w:num>
  <w:num w:numId="2">
    <w:abstractNumId w:val="2"/>
  </w:num>
  <w:num w:numId="3">
    <w:abstractNumId w:val="0"/>
  </w:num>
  <w:num w:numId="4">
    <w:abstractNumId w:val="23"/>
  </w:num>
  <w:num w:numId="5">
    <w:abstractNumId w:val="4"/>
  </w:num>
  <w:num w:numId="6">
    <w:abstractNumId w:val="16"/>
  </w:num>
  <w:num w:numId="7">
    <w:abstractNumId w:val="34"/>
  </w:num>
  <w:num w:numId="8">
    <w:abstractNumId w:val="24"/>
  </w:num>
  <w:num w:numId="9">
    <w:abstractNumId w:val="37"/>
  </w:num>
  <w:num w:numId="10">
    <w:abstractNumId w:val="14"/>
  </w:num>
  <w:num w:numId="11">
    <w:abstractNumId w:val="4"/>
  </w:num>
  <w:num w:numId="12">
    <w:abstractNumId w:val="18"/>
  </w:num>
  <w:num w:numId="13">
    <w:abstractNumId w:val="10"/>
  </w:num>
  <w:num w:numId="14">
    <w:abstractNumId w:val="5"/>
  </w:num>
  <w:num w:numId="15">
    <w:abstractNumId w:val="3"/>
  </w:num>
  <w:num w:numId="16">
    <w:abstractNumId w:val="1"/>
  </w:num>
  <w:num w:numId="17">
    <w:abstractNumId w:val="28"/>
  </w:num>
  <w:num w:numId="18">
    <w:abstractNumId w:val="6"/>
  </w:num>
  <w:num w:numId="19">
    <w:abstractNumId w:val="25"/>
  </w:num>
  <w:num w:numId="20">
    <w:abstractNumId w:val="9"/>
  </w:num>
  <w:num w:numId="21">
    <w:abstractNumId w:val="8"/>
  </w:num>
  <w:num w:numId="22">
    <w:abstractNumId w:val="36"/>
  </w:num>
  <w:num w:numId="23">
    <w:abstractNumId w:val="13"/>
  </w:num>
  <w:num w:numId="24">
    <w:abstractNumId w:val="35"/>
  </w:num>
  <w:num w:numId="25">
    <w:abstractNumId w:val="39"/>
  </w:num>
  <w:num w:numId="26">
    <w:abstractNumId w:val="20"/>
  </w:num>
  <w:num w:numId="27">
    <w:abstractNumId w:val="17"/>
  </w:num>
  <w:num w:numId="28">
    <w:abstractNumId w:val="22"/>
  </w:num>
  <w:num w:numId="29">
    <w:abstractNumId w:val="7"/>
  </w:num>
  <w:num w:numId="30">
    <w:abstractNumId w:val="29"/>
  </w:num>
  <w:num w:numId="31">
    <w:abstractNumId w:val="31"/>
  </w:num>
  <w:num w:numId="32">
    <w:abstractNumId w:val="27"/>
  </w:num>
  <w:num w:numId="33">
    <w:abstractNumId w:val="19"/>
  </w:num>
  <w:num w:numId="34">
    <w:abstractNumId w:val="26"/>
  </w:num>
  <w:num w:numId="35">
    <w:abstractNumId w:val="38"/>
  </w:num>
  <w:num w:numId="36">
    <w:abstractNumId w:val="15"/>
  </w:num>
  <w:num w:numId="37">
    <w:abstractNumId w:val="32"/>
  </w:num>
  <w:num w:numId="38">
    <w:abstractNumId w:val="30"/>
  </w:num>
  <w:num w:numId="39">
    <w:abstractNumId w:val="33"/>
  </w:num>
  <w:num w:numId="40">
    <w:abstractNumId w:val="11"/>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3A4"/>
    <w:rsid w:val="00000886"/>
    <w:rsid w:val="0000492A"/>
    <w:rsid w:val="0004129C"/>
    <w:rsid w:val="00045E66"/>
    <w:rsid w:val="000622E7"/>
    <w:rsid w:val="0007524B"/>
    <w:rsid w:val="00082B4C"/>
    <w:rsid w:val="000A6F4B"/>
    <w:rsid w:val="000B01A5"/>
    <w:rsid w:val="00107C55"/>
    <w:rsid w:val="00123257"/>
    <w:rsid w:val="001258A7"/>
    <w:rsid w:val="00145899"/>
    <w:rsid w:val="001616E6"/>
    <w:rsid w:val="001A450E"/>
    <w:rsid w:val="001C042E"/>
    <w:rsid w:val="001C3D19"/>
    <w:rsid w:val="001C498A"/>
    <w:rsid w:val="001D3902"/>
    <w:rsid w:val="001F461E"/>
    <w:rsid w:val="00202A86"/>
    <w:rsid w:val="002033A4"/>
    <w:rsid w:val="0021633E"/>
    <w:rsid w:val="00216B3F"/>
    <w:rsid w:val="0022454F"/>
    <w:rsid w:val="00252174"/>
    <w:rsid w:val="002C5845"/>
    <w:rsid w:val="00306E86"/>
    <w:rsid w:val="0031239D"/>
    <w:rsid w:val="00316405"/>
    <w:rsid w:val="003325AE"/>
    <w:rsid w:val="00335D2C"/>
    <w:rsid w:val="0034050F"/>
    <w:rsid w:val="00374345"/>
    <w:rsid w:val="0039367D"/>
    <w:rsid w:val="00395478"/>
    <w:rsid w:val="003A1D97"/>
    <w:rsid w:val="003B6D5E"/>
    <w:rsid w:val="003C10AE"/>
    <w:rsid w:val="003C6E13"/>
    <w:rsid w:val="003D3474"/>
    <w:rsid w:val="003E01B4"/>
    <w:rsid w:val="003F39AB"/>
    <w:rsid w:val="003F6E1B"/>
    <w:rsid w:val="004044AB"/>
    <w:rsid w:val="004222E6"/>
    <w:rsid w:val="004325CF"/>
    <w:rsid w:val="00433E78"/>
    <w:rsid w:val="004759F9"/>
    <w:rsid w:val="0049175B"/>
    <w:rsid w:val="004A1B27"/>
    <w:rsid w:val="004B61EE"/>
    <w:rsid w:val="004C2668"/>
    <w:rsid w:val="004C3582"/>
    <w:rsid w:val="004D6268"/>
    <w:rsid w:val="004D6394"/>
    <w:rsid w:val="004E583E"/>
    <w:rsid w:val="004E5D8C"/>
    <w:rsid w:val="004E7E82"/>
    <w:rsid w:val="00500DB1"/>
    <w:rsid w:val="00515A6B"/>
    <w:rsid w:val="00530B7A"/>
    <w:rsid w:val="0053328F"/>
    <w:rsid w:val="0054452E"/>
    <w:rsid w:val="00544F7B"/>
    <w:rsid w:val="00564255"/>
    <w:rsid w:val="00571B97"/>
    <w:rsid w:val="00573148"/>
    <w:rsid w:val="00577623"/>
    <w:rsid w:val="005A0A86"/>
    <w:rsid w:val="005D4479"/>
    <w:rsid w:val="00602CB8"/>
    <w:rsid w:val="00607B09"/>
    <w:rsid w:val="00607E70"/>
    <w:rsid w:val="006112D8"/>
    <w:rsid w:val="00615EFC"/>
    <w:rsid w:val="00627941"/>
    <w:rsid w:val="00644D4D"/>
    <w:rsid w:val="006A1333"/>
    <w:rsid w:val="006A6393"/>
    <w:rsid w:val="006C2BCB"/>
    <w:rsid w:val="006C3C55"/>
    <w:rsid w:val="006E06D2"/>
    <w:rsid w:val="006F2950"/>
    <w:rsid w:val="006F69B9"/>
    <w:rsid w:val="00701AF2"/>
    <w:rsid w:val="00711BAA"/>
    <w:rsid w:val="007302D8"/>
    <w:rsid w:val="00766225"/>
    <w:rsid w:val="00770D1E"/>
    <w:rsid w:val="0078650B"/>
    <w:rsid w:val="007933C9"/>
    <w:rsid w:val="00797032"/>
    <w:rsid w:val="007A05ED"/>
    <w:rsid w:val="007A3EFB"/>
    <w:rsid w:val="007B70AC"/>
    <w:rsid w:val="007C5652"/>
    <w:rsid w:val="007D183D"/>
    <w:rsid w:val="00800CD0"/>
    <w:rsid w:val="00807F58"/>
    <w:rsid w:val="00857E36"/>
    <w:rsid w:val="008A22A3"/>
    <w:rsid w:val="008A3761"/>
    <w:rsid w:val="008A7270"/>
    <w:rsid w:val="008A7DA4"/>
    <w:rsid w:val="008D6EE1"/>
    <w:rsid w:val="008F736A"/>
    <w:rsid w:val="009072B1"/>
    <w:rsid w:val="00913E57"/>
    <w:rsid w:val="0091752E"/>
    <w:rsid w:val="00934DB6"/>
    <w:rsid w:val="00935F19"/>
    <w:rsid w:val="009377E8"/>
    <w:rsid w:val="00943905"/>
    <w:rsid w:val="009556BC"/>
    <w:rsid w:val="0097045B"/>
    <w:rsid w:val="00970EFB"/>
    <w:rsid w:val="009B3157"/>
    <w:rsid w:val="009C37D5"/>
    <w:rsid w:val="009E09B0"/>
    <w:rsid w:val="009E49C0"/>
    <w:rsid w:val="009F557B"/>
    <w:rsid w:val="00A0599A"/>
    <w:rsid w:val="00A1278E"/>
    <w:rsid w:val="00A13407"/>
    <w:rsid w:val="00A152F3"/>
    <w:rsid w:val="00A17ABC"/>
    <w:rsid w:val="00A24C5D"/>
    <w:rsid w:val="00A37045"/>
    <w:rsid w:val="00A40E89"/>
    <w:rsid w:val="00A449D3"/>
    <w:rsid w:val="00A80AA3"/>
    <w:rsid w:val="00AB2800"/>
    <w:rsid w:val="00AC070A"/>
    <w:rsid w:val="00B01FFF"/>
    <w:rsid w:val="00B02759"/>
    <w:rsid w:val="00B069B2"/>
    <w:rsid w:val="00B06D74"/>
    <w:rsid w:val="00B0713D"/>
    <w:rsid w:val="00B50E9D"/>
    <w:rsid w:val="00B53E8E"/>
    <w:rsid w:val="00B85E74"/>
    <w:rsid w:val="00B93AD8"/>
    <w:rsid w:val="00B93CEF"/>
    <w:rsid w:val="00BA7215"/>
    <w:rsid w:val="00BB339D"/>
    <w:rsid w:val="00BB4EF1"/>
    <w:rsid w:val="00BB799C"/>
    <w:rsid w:val="00BC1D30"/>
    <w:rsid w:val="00BF532B"/>
    <w:rsid w:val="00C12AAF"/>
    <w:rsid w:val="00C2168A"/>
    <w:rsid w:val="00C25381"/>
    <w:rsid w:val="00C27470"/>
    <w:rsid w:val="00C4770A"/>
    <w:rsid w:val="00C72504"/>
    <w:rsid w:val="00CA4A58"/>
    <w:rsid w:val="00CA53E5"/>
    <w:rsid w:val="00CD44D2"/>
    <w:rsid w:val="00CD6D19"/>
    <w:rsid w:val="00CF35A1"/>
    <w:rsid w:val="00D03240"/>
    <w:rsid w:val="00D05784"/>
    <w:rsid w:val="00D06783"/>
    <w:rsid w:val="00D1088B"/>
    <w:rsid w:val="00D13E68"/>
    <w:rsid w:val="00D25E12"/>
    <w:rsid w:val="00D36DD0"/>
    <w:rsid w:val="00D57A9D"/>
    <w:rsid w:val="00D92C6F"/>
    <w:rsid w:val="00DA1420"/>
    <w:rsid w:val="00DA304F"/>
    <w:rsid w:val="00DD1F25"/>
    <w:rsid w:val="00DF3F02"/>
    <w:rsid w:val="00E36833"/>
    <w:rsid w:val="00E435D3"/>
    <w:rsid w:val="00E43A70"/>
    <w:rsid w:val="00E469C1"/>
    <w:rsid w:val="00E61784"/>
    <w:rsid w:val="00E62F07"/>
    <w:rsid w:val="00EE28EB"/>
    <w:rsid w:val="00F349EA"/>
    <w:rsid w:val="00F53795"/>
    <w:rsid w:val="00F556CD"/>
    <w:rsid w:val="00F626AA"/>
    <w:rsid w:val="00F6279D"/>
    <w:rsid w:val="00F66F59"/>
    <w:rsid w:val="00F72F3B"/>
    <w:rsid w:val="00F73C31"/>
    <w:rsid w:val="00F740E0"/>
    <w:rsid w:val="00F9126D"/>
    <w:rsid w:val="00FB74F9"/>
    <w:rsid w:val="00FD350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0D5B0"/>
  <w15:chartTrackingRefBased/>
  <w15:docId w15:val="{4AADC7B7-DB82-E34B-BCCD-CB8BF8FC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ZW"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033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33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33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33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33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33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3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3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3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3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33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33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33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33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33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3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3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3A4"/>
    <w:rPr>
      <w:rFonts w:eastAsiaTheme="majorEastAsia" w:cstheme="majorBidi"/>
      <w:color w:val="272727" w:themeColor="text1" w:themeTint="D8"/>
    </w:rPr>
  </w:style>
  <w:style w:type="paragraph" w:styleId="Title">
    <w:name w:val="Title"/>
    <w:basedOn w:val="Normal"/>
    <w:next w:val="Normal"/>
    <w:link w:val="TitleChar"/>
    <w:uiPriority w:val="10"/>
    <w:qFormat/>
    <w:rsid w:val="00203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3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3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3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3A4"/>
    <w:pPr>
      <w:spacing w:before="160"/>
      <w:jc w:val="center"/>
    </w:pPr>
    <w:rPr>
      <w:i/>
      <w:iCs/>
      <w:color w:val="404040" w:themeColor="text1" w:themeTint="BF"/>
    </w:rPr>
  </w:style>
  <w:style w:type="character" w:customStyle="1" w:styleId="QuoteChar">
    <w:name w:val="Quote Char"/>
    <w:basedOn w:val="DefaultParagraphFont"/>
    <w:link w:val="Quote"/>
    <w:uiPriority w:val="29"/>
    <w:rsid w:val="002033A4"/>
    <w:rPr>
      <w:i/>
      <w:iCs/>
      <w:color w:val="404040" w:themeColor="text1" w:themeTint="BF"/>
    </w:rPr>
  </w:style>
  <w:style w:type="paragraph" w:styleId="ListParagraph">
    <w:name w:val="List Paragraph"/>
    <w:basedOn w:val="Normal"/>
    <w:uiPriority w:val="34"/>
    <w:qFormat/>
    <w:rsid w:val="002033A4"/>
    <w:pPr>
      <w:ind w:left="720"/>
      <w:contextualSpacing/>
    </w:pPr>
  </w:style>
  <w:style w:type="character" w:styleId="IntenseEmphasis">
    <w:name w:val="Intense Emphasis"/>
    <w:basedOn w:val="DefaultParagraphFont"/>
    <w:uiPriority w:val="21"/>
    <w:qFormat/>
    <w:rsid w:val="002033A4"/>
    <w:rPr>
      <w:i/>
      <w:iCs/>
      <w:color w:val="2F5496" w:themeColor="accent1" w:themeShade="BF"/>
    </w:rPr>
  </w:style>
  <w:style w:type="paragraph" w:styleId="IntenseQuote">
    <w:name w:val="Intense Quote"/>
    <w:basedOn w:val="Normal"/>
    <w:next w:val="Normal"/>
    <w:link w:val="IntenseQuoteChar"/>
    <w:uiPriority w:val="30"/>
    <w:qFormat/>
    <w:rsid w:val="002033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33A4"/>
    <w:rPr>
      <w:i/>
      <w:iCs/>
      <w:color w:val="2F5496" w:themeColor="accent1" w:themeShade="BF"/>
    </w:rPr>
  </w:style>
  <w:style w:type="character" w:styleId="IntenseReference">
    <w:name w:val="Intense Reference"/>
    <w:basedOn w:val="DefaultParagraphFont"/>
    <w:uiPriority w:val="32"/>
    <w:qFormat/>
    <w:rsid w:val="002033A4"/>
    <w:rPr>
      <w:b/>
      <w:bCs/>
      <w:smallCaps/>
      <w:color w:val="2F5496" w:themeColor="accent1" w:themeShade="BF"/>
      <w:spacing w:val="5"/>
    </w:rPr>
  </w:style>
  <w:style w:type="paragraph" w:customStyle="1" w:styleId="p1">
    <w:name w:val="p1"/>
    <w:basedOn w:val="Normal"/>
    <w:rsid w:val="002033A4"/>
    <w:pPr>
      <w:spacing w:after="0" w:line="240" w:lineRule="auto"/>
    </w:pPr>
    <w:rPr>
      <w:rFonts w:ascii="Helvetica" w:hAnsi="Helvetica" w:cs="Times New Roman"/>
      <w:kern w:val="0"/>
      <w:sz w:val="18"/>
      <w:szCs w:val="18"/>
      <w14:ligatures w14:val="none"/>
    </w:rPr>
  </w:style>
  <w:style w:type="character" w:customStyle="1" w:styleId="s1">
    <w:name w:val="s1"/>
    <w:basedOn w:val="DefaultParagraphFont"/>
    <w:rsid w:val="002033A4"/>
    <w:rPr>
      <w:rFonts w:ascii="Helvetica" w:hAnsi="Helvetica" w:hint="default"/>
      <w:b w:val="0"/>
      <w:bCs w:val="0"/>
      <w:i w:val="0"/>
      <w:iCs w:val="0"/>
      <w:sz w:val="18"/>
      <w:szCs w:val="18"/>
    </w:rPr>
  </w:style>
  <w:style w:type="paragraph" w:customStyle="1" w:styleId="li1">
    <w:name w:val="li1"/>
    <w:basedOn w:val="Normal"/>
    <w:rsid w:val="002033A4"/>
    <w:pPr>
      <w:spacing w:after="0" w:line="240" w:lineRule="auto"/>
    </w:pPr>
    <w:rPr>
      <w:rFonts w:ascii="Helvetica" w:hAnsi="Helvetica" w:cs="Times New Roman"/>
      <w:kern w:val="0"/>
      <w:sz w:val="18"/>
      <w:szCs w:val="18"/>
      <w14:ligatures w14:val="none"/>
    </w:rPr>
  </w:style>
  <w:style w:type="paragraph" w:customStyle="1" w:styleId="s8">
    <w:name w:val="s8"/>
    <w:basedOn w:val="Normal"/>
    <w:rsid w:val="009E09B0"/>
    <w:pPr>
      <w:spacing w:before="100" w:beforeAutospacing="1" w:after="100" w:afterAutospacing="1" w:line="240" w:lineRule="auto"/>
    </w:pPr>
    <w:rPr>
      <w:rFonts w:ascii="Times New Roman" w:hAnsi="Times New Roman" w:cs="Times New Roman"/>
      <w:kern w:val="0"/>
      <w14:ligatures w14:val="none"/>
    </w:rPr>
  </w:style>
  <w:style w:type="paragraph" w:customStyle="1" w:styleId="s5">
    <w:name w:val="s5"/>
    <w:basedOn w:val="Normal"/>
    <w:rsid w:val="009E09B0"/>
    <w:pPr>
      <w:spacing w:before="100" w:beforeAutospacing="1" w:after="100" w:afterAutospacing="1" w:line="240" w:lineRule="auto"/>
    </w:pPr>
    <w:rPr>
      <w:rFonts w:ascii="Times New Roman" w:hAnsi="Times New Roman" w:cs="Times New Roman"/>
      <w:kern w:val="0"/>
      <w14:ligatures w14:val="none"/>
    </w:rPr>
  </w:style>
  <w:style w:type="paragraph" w:customStyle="1" w:styleId="s10">
    <w:name w:val="s10"/>
    <w:basedOn w:val="Normal"/>
    <w:rsid w:val="009E09B0"/>
    <w:pPr>
      <w:spacing w:before="100" w:beforeAutospacing="1" w:after="100" w:afterAutospacing="1" w:line="240" w:lineRule="auto"/>
    </w:pPr>
    <w:rPr>
      <w:rFonts w:ascii="Times New Roman" w:hAnsi="Times New Roman" w:cs="Times New Roman"/>
      <w:kern w:val="0"/>
      <w14:ligatures w14:val="none"/>
    </w:rPr>
  </w:style>
  <w:style w:type="paragraph" w:customStyle="1" w:styleId="s12">
    <w:name w:val="s12"/>
    <w:basedOn w:val="Normal"/>
    <w:rsid w:val="009E09B0"/>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DefaultParagraphFont"/>
    <w:rsid w:val="009E09B0"/>
  </w:style>
  <w:style w:type="character" w:customStyle="1" w:styleId="apple-converted-space">
    <w:name w:val="apple-converted-space"/>
    <w:basedOn w:val="DefaultParagraphFont"/>
    <w:rsid w:val="009E09B0"/>
  </w:style>
  <w:style w:type="paragraph" w:styleId="NormalWeb">
    <w:name w:val="Normal (Web)"/>
    <w:basedOn w:val="Normal"/>
    <w:uiPriority w:val="99"/>
    <w:unhideWhenUsed/>
    <w:rsid w:val="000B01A5"/>
    <w:pPr>
      <w:spacing w:before="100" w:beforeAutospacing="1" w:after="100" w:afterAutospacing="1" w:line="240" w:lineRule="auto"/>
    </w:pPr>
    <w:rPr>
      <w:rFonts w:ascii="Times New Roman" w:eastAsia="Times New Roman" w:hAnsi="Times New Roman" w:cs="Times New Roman"/>
      <w:kern w:val="0"/>
      <w:lang w:eastAsia="en-ZW"/>
      <w14:ligatures w14:val="none"/>
    </w:rPr>
  </w:style>
  <w:style w:type="paragraph" w:styleId="Header">
    <w:name w:val="header"/>
    <w:basedOn w:val="Normal"/>
    <w:link w:val="HeaderChar"/>
    <w:uiPriority w:val="99"/>
    <w:unhideWhenUsed/>
    <w:rsid w:val="00CA4A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A58"/>
  </w:style>
  <w:style w:type="paragraph" w:styleId="Footer">
    <w:name w:val="footer"/>
    <w:basedOn w:val="Normal"/>
    <w:link w:val="FooterChar"/>
    <w:uiPriority w:val="99"/>
    <w:unhideWhenUsed/>
    <w:rsid w:val="00CA4A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80539">
      <w:bodyDiv w:val="1"/>
      <w:marLeft w:val="0"/>
      <w:marRight w:val="0"/>
      <w:marTop w:val="0"/>
      <w:marBottom w:val="0"/>
      <w:divBdr>
        <w:top w:val="none" w:sz="0" w:space="0" w:color="auto"/>
        <w:left w:val="none" w:sz="0" w:space="0" w:color="auto"/>
        <w:bottom w:val="none" w:sz="0" w:space="0" w:color="auto"/>
        <w:right w:val="none" w:sz="0" w:space="0" w:color="auto"/>
      </w:divBdr>
    </w:div>
    <w:div w:id="202716775">
      <w:bodyDiv w:val="1"/>
      <w:marLeft w:val="0"/>
      <w:marRight w:val="0"/>
      <w:marTop w:val="0"/>
      <w:marBottom w:val="0"/>
      <w:divBdr>
        <w:top w:val="none" w:sz="0" w:space="0" w:color="auto"/>
        <w:left w:val="none" w:sz="0" w:space="0" w:color="auto"/>
        <w:bottom w:val="none" w:sz="0" w:space="0" w:color="auto"/>
        <w:right w:val="none" w:sz="0" w:space="0" w:color="auto"/>
      </w:divBdr>
    </w:div>
    <w:div w:id="228462490">
      <w:bodyDiv w:val="1"/>
      <w:marLeft w:val="0"/>
      <w:marRight w:val="0"/>
      <w:marTop w:val="0"/>
      <w:marBottom w:val="0"/>
      <w:divBdr>
        <w:top w:val="none" w:sz="0" w:space="0" w:color="auto"/>
        <w:left w:val="none" w:sz="0" w:space="0" w:color="auto"/>
        <w:bottom w:val="none" w:sz="0" w:space="0" w:color="auto"/>
        <w:right w:val="none" w:sz="0" w:space="0" w:color="auto"/>
      </w:divBdr>
    </w:div>
    <w:div w:id="349335904">
      <w:bodyDiv w:val="1"/>
      <w:marLeft w:val="0"/>
      <w:marRight w:val="0"/>
      <w:marTop w:val="0"/>
      <w:marBottom w:val="0"/>
      <w:divBdr>
        <w:top w:val="none" w:sz="0" w:space="0" w:color="auto"/>
        <w:left w:val="none" w:sz="0" w:space="0" w:color="auto"/>
        <w:bottom w:val="none" w:sz="0" w:space="0" w:color="auto"/>
        <w:right w:val="none" w:sz="0" w:space="0" w:color="auto"/>
      </w:divBdr>
    </w:div>
    <w:div w:id="576403145">
      <w:bodyDiv w:val="1"/>
      <w:marLeft w:val="0"/>
      <w:marRight w:val="0"/>
      <w:marTop w:val="0"/>
      <w:marBottom w:val="0"/>
      <w:divBdr>
        <w:top w:val="none" w:sz="0" w:space="0" w:color="auto"/>
        <w:left w:val="none" w:sz="0" w:space="0" w:color="auto"/>
        <w:bottom w:val="none" w:sz="0" w:space="0" w:color="auto"/>
        <w:right w:val="none" w:sz="0" w:space="0" w:color="auto"/>
      </w:divBdr>
    </w:div>
    <w:div w:id="660886055">
      <w:bodyDiv w:val="1"/>
      <w:marLeft w:val="0"/>
      <w:marRight w:val="0"/>
      <w:marTop w:val="0"/>
      <w:marBottom w:val="0"/>
      <w:divBdr>
        <w:top w:val="none" w:sz="0" w:space="0" w:color="auto"/>
        <w:left w:val="none" w:sz="0" w:space="0" w:color="auto"/>
        <w:bottom w:val="none" w:sz="0" w:space="0" w:color="auto"/>
        <w:right w:val="none" w:sz="0" w:space="0" w:color="auto"/>
      </w:divBdr>
    </w:div>
    <w:div w:id="672799289">
      <w:bodyDiv w:val="1"/>
      <w:marLeft w:val="0"/>
      <w:marRight w:val="0"/>
      <w:marTop w:val="0"/>
      <w:marBottom w:val="0"/>
      <w:divBdr>
        <w:top w:val="none" w:sz="0" w:space="0" w:color="auto"/>
        <w:left w:val="none" w:sz="0" w:space="0" w:color="auto"/>
        <w:bottom w:val="none" w:sz="0" w:space="0" w:color="auto"/>
        <w:right w:val="none" w:sz="0" w:space="0" w:color="auto"/>
      </w:divBdr>
    </w:div>
    <w:div w:id="929309697">
      <w:bodyDiv w:val="1"/>
      <w:marLeft w:val="0"/>
      <w:marRight w:val="0"/>
      <w:marTop w:val="0"/>
      <w:marBottom w:val="0"/>
      <w:divBdr>
        <w:top w:val="none" w:sz="0" w:space="0" w:color="auto"/>
        <w:left w:val="none" w:sz="0" w:space="0" w:color="auto"/>
        <w:bottom w:val="none" w:sz="0" w:space="0" w:color="auto"/>
        <w:right w:val="none" w:sz="0" w:space="0" w:color="auto"/>
      </w:divBdr>
    </w:div>
    <w:div w:id="1663661006">
      <w:bodyDiv w:val="1"/>
      <w:marLeft w:val="0"/>
      <w:marRight w:val="0"/>
      <w:marTop w:val="0"/>
      <w:marBottom w:val="0"/>
      <w:divBdr>
        <w:top w:val="none" w:sz="0" w:space="0" w:color="auto"/>
        <w:left w:val="none" w:sz="0" w:space="0" w:color="auto"/>
        <w:bottom w:val="none" w:sz="0" w:space="0" w:color="auto"/>
        <w:right w:val="none" w:sz="0" w:space="0" w:color="auto"/>
      </w:divBdr>
    </w:div>
    <w:div w:id="1748067049">
      <w:marLeft w:val="0"/>
      <w:marRight w:val="0"/>
      <w:marTop w:val="0"/>
      <w:marBottom w:val="0"/>
      <w:divBdr>
        <w:top w:val="none" w:sz="0" w:space="0" w:color="auto"/>
        <w:left w:val="none" w:sz="0" w:space="0" w:color="auto"/>
        <w:bottom w:val="none" w:sz="0" w:space="0" w:color="auto"/>
        <w:right w:val="none" w:sz="0" w:space="0" w:color="auto"/>
      </w:divBdr>
      <w:divsChild>
        <w:div w:id="2056931688">
          <w:marLeft w:val="0"/>
          <w:marRight w:val="0"/>
          <w:marTop w:val="0"/>
          <w:marBottom w:val="0"/>
          <w:divBdr>
            <w:top w:val="none" w:sz="0" w:space="0" w:color="auto"/>
            <w:left w:val="none" w:sz="0" w:space="0" w:color="auto"/>
            <w:bottom w:val="none" w:sz="0" w:space="0" w:color="auto"/>
            <w:right w:val="none" w:sz="0" w:space="0" w:color="auto"/>
          </w:divBdr>
        </w:div>
        <w:div w:id="729108700">
          <w:marLeft w:val="0"/>
          <w:marRight w:val="0"/>
          <w:marTop w:val="0"/>
          <w:marBottom w:val="0"/>
          <w:divBdr>
            <w:top w:val="none" w:sz="0" w:space="0" w:color="auto"/>
            <w:left w:val="none" w:sz="0" w:space="0" w:color="auto"/>
            <w:bottom w:val="none" w:sz="0" w:space="0" w:color="auto"/>
            <w:right w:val="none" w:sz="0" w:space="0" w:color="auto"/>
          </w:divBdr>
          <w:divsChild>
            <w:div w:id="1563255373">
              <w:marLeft w:val="0"/>
              <w:marRight w:val="0"/>
              <w:marTop w:val="0"/>
              <w:marBottom w:val="0"/>
              <w:divBdr>
                <w:top w:val="none" w:sz="0" w:space="0" w:color="auto"/>
                <w:left w:val="none" w:sz="0" w:space="0" w:color="auto"/>
                <w:bottom w:val="none" w:sz="0" w:space="0" w:color="auto"/>
                <w:right w:val="none" w:sz="0" w:space="0" w:color="auto"/>
              </w:divBdr>
              <w:divsChild>
                <w:div w:id="11164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5065</Words>
  <Characters>28871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MUNGWARI J</dc:creator>
  <cp:keywords/>
  <dc:description/>
  <cp:lastModifiedBy>JSC</cp:lastModifiedBy>
  <cp:revision>2</cp:revision>
  <dcterms:created xsi:type="dcterms:W3CDTF">2025-07-18T10:28:00Z</dcterms:created>
  <dcterms:modified xsi:type="dcterms:W3CDTF">2025-07-18T10:28:00Z</dcterms:modified>
</cp:coreProperties>
</file>