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F2" w:rsidRDefault="0039753A" w:rsidP="00E02CDE">
      <w:pPr>
        <w:spacing w:after="0" w:line="240" w:lineRule="auto"/>
        <w:jc w:val="both"/>
        <w:rPr>
          <w:rFonts w:ascii="Times New Roman" w:hAnsi="Times New Roman" w:cs="Times New Roman"/>
          <w:sz w:val="24"/>
        </w:rPr>
      </w:pPr>
      <w:bookmarkStart w:id="0" w:name="_GoBack"/>
      <w:bookmarkEnd w:id="0"/>
      <w:r>
        <w:rPr>
          <w:rFonts w:ascii="Times New Roman" w:hAnsi="Times New Roman" w:cs="Times New Roman"/>
          <w:sz w:val="24"/>
        </w:rPr>
        <w:t xml:space="preserve">DICKSON CHAERUKA </w:t>
      </w:r>
    </w:p>
    <w:p w:rsidR="0039753A" w:rsidRDefault="0039753A" w:rsidP="00E02CDE">
      <w:pPr>
        <w:spacing w:after="0" w:line="240" w:lineRule="auto"/>
        <w:jc w:val="both"/>
        <w:rPr>
          <w:rFonts w:ascii="Times New Roman" w:hAnsi="Times New Roman" w:cs="Times New Roman"/>
          <w:sz w:val="24"/>
        </w:rPr>
      </w:pPr>
      <w:r>
        <w:rPr>
          <w:rFonts w:ascii="Times New Roman" w:hAnsi="Times New Roman" w:cs="Times New Roman"/>
          <w:sz w:val="24"/>
        </w:rPr>
        <w:t>and</w:t>
      </w:r>
    </w:p>
    <w:p w:rsidR="0039753A" w:rsidRDefault="0039753A" w:rsidP="00E02CDE">
      <w:pPr>
        <w:spacing w:after="0" w:line="240" w:lineRule="auto"/>
        <w:jc w:val="both"/>
        <w:rPr>
          <w:rFonts w:ascii="Times New Roman" w:hAnsi="Times New Roman" w:cs="Times New Roman"/>
          <w:sz w:val="24"/>
        </w:rPr>
      </w:pPr>
      <w:r>
        <w:rPr>
          <w:rFonts w:ascii="Times New Roman" w:hAnsi="Times New Roman" w:cs="Times New Roman"/>
          <w:sz w:val="24"/>
        </w:rPr>
        <w:t>ELIAS MATANDA</w:t>
      </w:r>
    </w:p>
    <w:p w:rsidR="00A23573" w:rsidRDefault="00A23573" w:rsidP="00E02CDE">
      <w:pPr>
        <w:spacing w:after="0" w:line="240" w:lineRule="auto"/>
        <w:jc w:val="both"/>
        <w:rPr>
          <w:rFonts w:ascii="Times New Roman" w:hAnsi="Times New Roman" w:cs="Times New Roman"/>
          <w:sz w:val="24"/>
        </w:rPr>
      </w:pPr>
      <w:r>
        <w:rPr>
          <w:rFonts w:ascii="Times New Roman" w:hAnsi="Times New Roman" w:cs="Times New Roman"/>
          <w:sz w:val="24"/>
        </w:rPr>
        <w:t>and</w:t>
      </w:r>
    </w:p>
    <w:p w:rsidR="0039753A" w:rsidRDefault="0039753A" w:rsidP="00E02CDE">
      <w:pPr>
        <w:spacing w:after="0" w:line="240" w:lineRule="auto"/>
        <w:jc w:val="both"/>
        <w:rPr>
          <w:rFonts w:ascii="Times New Roman" w:hAnsi="Times New Roman" w:cs="Times New Roman"/>
          <w:sz w:val="24"/>
        </w:rPr>
      </w:pPr>
      <w:r>
        <w:rPr>
          <w:rFonts w:ascii="Times New Roman" w:hAnsi="Times New Roman" w:cs="Times New Roman"/>
          <w:sz w:val="24"/>
        </w:rPr>
        <w:t>EDSON NYAMBANJE</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and</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 xml:space="preserve">PORTIA SIBANDA </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and</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ISAAC KAPENI</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and</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REGIS DURI</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and</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ALLEN CHAKABUDA</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and</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JUSTIN MUWONDA</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and</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BEATRICE KWENDEPI</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and</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 xml:space="preserve">GILES MAWONEKE </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and</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STEPHEN MAJAHA CHANDAKABATA</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and</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 xml:space="preserve">CHRISTIN MUKOLOSA </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and</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JACKSON MTISI</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and</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 xml:space="preserve">SUPERIOR BOKA </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and</w:t>
      </w:r>
    </w:p>
    <w:p w:rsidR="0039753A" w:rsidRDefault="00547B87" w:rsidP="0039753A">
      <w:pPr>
        <w:spacing w:after="0" w:line="240" w:lineRule="auto"/>
        <w:jc w:val="both"/>
        <w:rPr>
          <w:rFonts w:ascii="Times New Roman" w:hAnsi="Times New Roman" w:cs="Times New Roman"/>
          <w:sz w:val="24"/>
        </w:rPr>
      </w:pPr>
      <w:r>
        <w:rPr>
          <w:rFonts w:ascii="Times New Roman" w:hAnsi="Times New Roman" w:cs="Times New Roman"/>
          <w:sz w:val="24"/>
        </w:rPr>
        <w:t>LAINA SHARARA</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and</w:t>
      </w:r>
    </w:p>
    <w:p w:rsidR="0039753A" w:rsidRDefault="00547B87" w:rsidP="0039753A">
      <w:pPr>
        <w:spacing w:after="0" w:line="240" w:lineRule="auto"/>
        <w:jc w:val="both"/>
        <w:rPr>
          <w:rFonts w:ascii="Times New Roman" w:hAnsi="Times New Roman" w:cs="Times New Roman"/>
          <w:sz w:val="24"/>
        </w:rPr>
      </w:pPr>
      <w:r>
        <w:rPr>
          <w:rFonts w:ascii="Times New Roman" w:hAnsi="Times New Roman" w:cs="Times New Roman"/>
          <w:sz w:val="24"/>
        </w:rPr>
        <w:t xml:space="preserve">DELIWE MUNYONGWA </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and</w:t>
      </w:r>
    </w:p>
    <w:p w:rsidR="00547B87" w:rsidRDefault="00547B87" w:rsidP="0039753A">
      <w:pPr>
        <w:spacing w:after="0" w:line="240" w:lineRule="auto"/>
        <w:jc w:val="both"/>
        <w:rPr>
          <w:rFonts w:ascii="Times New Roman" w:hAnsi="Times New Roman" w:cs="Times New Roman"/>
          <w:sz w:val="24"/>
        </w:rPr>
      </w:pPr>
      <w:r>
        <w:rPr>
          <w:rFonts w:ascii="Times New Roman" w:hAnsi="Times New Roman" w:cs="Times New Roman"/>
          <w:sz w:val="24"/>
        </w:rPr>
        <w:t>ARCHFORD MARIGA</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and</w:t>
      </w:r>
    </w:p>
    <w:p w:rsidR="0039753A" w:rsidRDefault="00547B87" w:rsidP="0039753A">
      <w:pPr>
        <w:spacing w:after="0" w:line="240" w:lineRule="auto"/>
        <w:jc w:val="both"/>
        <w:rPr>
          <w:rFonts w:ascii="Times New Roman" w:hAnsi="Times New Roman" w:cs="Times New Roman"/>
          <w:sz w:val="24"/>
        </w:rPr>
      </w:pPr>
      <w:r>
        <w:rPr>
          <w:rFonts w:ascii="Times New Roman" w:hAnsi="Times New Roman" w:cs="Times New Roman"/>
          <w:sz w:val="24"/>
        </w:rPr>
        <w:t>BABRA CHIVIGE</w:t>
      </w:r>
    </w:p>
    <w:p w:rsidR="0039753A" w:rsidRDefault="0039753A" w:rsidP="0039753A">
      <w:pPr>
        <w:spacing w:after="0" w:line="240" w:lineRule="auto"/>
        <w:jc w:val="both"/>
        <w:rPr>
          <w:rFonts w:ascii="Times New Roman" w:hAnsi="Times New Roman" w:cs="Times New Roman"/>
          <w:sz w:val="24"/>
        </w:rPr>
      </w:pPr>
      <w:r>
        <w:rPr>
          <w:rFonts w:ascii="Times New Roman" w:hAnsi="Times New Roman" w:cs="Times New Roman"/>
          <w:sz w:val="24"/>
        </w:rPr>
        <w:t>and</w:t>
      </w:r>
    </w:p>
    <w:p w:rsidR="0039753A" w:rsidRDefault="00547B87" w:rsidP="0039753A">
      <w:pPr>
        <w:spacing w:after="0" w:line="240" w:lineRule="auto"/>
        <w:jc w:val="both"/>
        <w:rPr>
          <w:rFonts w:ascii="Times New Roman" w:hAnsi="Times New Roman" w:cs="Times New Roman"/>
          <w:sz w:val="24"/>
        </w:rPr>
      </w:pPr>
      <w:r>
        <w:rPr>
          <w:rFonts w:ascii="Times New Roman" w:hAnsi="Times New Roman" w:cs="Times New Roman"/>
          <w:sz w:val="24"/>
        </w:rPr>
        <w:t>ADAM NHAMO</w:t>
      </w:r>
    </w:p>
    <w:p w:rsidR="00A23573" w:rsidRDefault="00A23573"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versus</w:t>
      </w:r>
    </w:p>
    <w:p w:rsidR="00E02CDE" w:rsidRDefault="00E02CDE" w:rsidP="00E02CDE">
      <w:pPr>
        <w:spacing w:after="0" w:line="240" w:lineRule="auto"/>
        <w:jc w:val="both"/>
        <w:rPr>
          <w:rFonts w:ascii="Times New Roman" w:hAnsi="Times New Roman" w:cs="Times New Roman"/>
          <w:sz w:val="24"/>
        </w:rPr>
      </w:pPr>
    </w:p>
    <w:p w:rsidR="00547B87" w:rsidRDefault="00547B87" w:rsidP="00E02CDE">
      <w:pPr>
        <w:spacing w:after="0" w:line="240" w:lineRule="auto"/>
        <w:jc w:val="both"/>
        <w:rPr>
          <w:rFonts w:ascii="Times New Roman" w:hAnsi="Times New Roman" w:cs="Times New Roman"/>
          <w:sz w:val="24"/>
        </w:rPr>
      </w:pPr>
      <w:r>
        <w:rPr>
          <w:rFonts w:ascii="Times New Roman" w:hAnsi="Times New Roman" w:cs="Times New Roman"/>
          <w:sz w:val="24"/>
        </w:rPr>
        <w:t>MINISTER OF HOME AFFAIRS AND CULTURAL HERITAGE N.O</w:t>
      </w:r>
    </w:p>
    <w:p w:rsidR="00547B87" w:rsidRDefault="00547B87" w:rsidP="00E02CDE">
      <w:pPr>
        <w:spacing w:after="0" w:line="240" w:lineRule="auto"/>
        <w:jc w:val="both"/>
        <w:rPr>
          <w:rFonts w:ascii="Times New Roman" w:hAnsi="Times New Roman" w:cs="Times New Roman"/>
          <w:sz w:val="24"/>
        </w:rPr>
      </w:pPr>
      <w:r>
        <w:rPr>
          <w:rFonts w:ascii="Times New Roman" w:hAnsi="Times New Roman" w:cs="Times New Roman"/>
          <w:sz w:val="24"/>
        </w:rPr>
        <w:t>and</w:t>
      </w:r>
    </w:p>
    <w:p w:rsidR="00E02CDE" w:rsidRDefault="00547B87" w:rsidP="00E02CDE">
      <w:pPr>
        <w:spacing w:after="0" w:line="240" w:lineRule="auto"/>
        <w:jc w:val="both"/>
        <w:rPr>
          <w:rFonts w:ascii="Times New Roman" w:hAnsi="Times New Roman" w:cs="Times New Roman"/>
          <w:sz w:val="24"/>
        </w:rPr>
      </w:pPr>
      <w:r>
        <w:rPr>
          <w:rFonts w:ascii="Times New Roman" w:hAnsi="Times New Roman" w:cs="Times New Roman"/>
          <w:sz w:val="24"/>
        </w:rPr>
        <w:t>COMMISSIONER GENERAL ZIMBABWE REPUBLIC POLICE N.O</w:t>
      </w:r>
    </w:p>
    <w:p w:rsidR="00547B87" w:rsidRDefault="00547B87" w:rsidP="00E02CDE">
      <w:pPr>
        <w:spacing w:after="0" w:line="240" w:lineRule="auto"/>
        <w:jc w:val="both"/>
        <w:rPr>
          <w:rFonts w:ascii="Times New Roman" w:hAnsi="Times New Roman" w:cs="Times New Roman"/>
          <w:sz w:val="24"/>
        </w:rPr>
      </w:pPr>
      <w:r>
        <w:rPr>
          <w:rFonts w:ascii="Times New Roman" w:hAnsi="Times New Roman" w:cs="Times New Roman"/>
          <w:sz w:val="24"/>
        </w:rPr>
        <w:t>and</w:t>
      </w:r>
    </w:p>
    <w:p w:rsidR="00E02CDE" w:rsidRDefault="00547B87" w:rsidP="00E02CDE">
      <w:pPr>
        <w:spacing w:after="0" w:line="240" w:lineRule="auto"/>
        <w:jc w:val="both"/>
        <w:rPr>
          <w:rFonts w:ascii="Times New Roman" w:hAnsi="Times New Roman" w:cs="Times New Roman"/>
          <w:sz w:val="24"/>
        </w:rPr>
      </w:pPr>
      <w:r>
        <w:rPr>
          <w:rFonts w:ascii="Times New Roman" w:hAnsi="Times New Roman" w:cs="Times New Roman"/>
          <w:sz w:val="24"/>
        </w:rPr>
        <w:t>ASSISTANT COMMISSIONER FLORENCE MARUME N.O</w:t>
      </w:r>
    </w:p>
    <w:p w:rsidR="00547B87" w:rsidRDefault="00547B87" w:rsidP="00E02CDE">
      <w:pPr>
        <w:spacing w:after="0" w:line="240" w:lineRule="auto"/>
        <w:jc w:val="both"/>
        <w:rPr>
          <w:rFonts w:ascii="Times New Roman" w:hAnsi="Times New Roman" w:cs="Times New Roman"/>
          <w:sz w:val="24"/>
        </w:rPr>
      </w:pPr>
    </w:p>
    <w:p w:rsidR="00547B87" w:rsidRDefault="00547B87" w:rsidP="00E02CDE">
      <w:pPr>
        <w:spacing w:after="0" w:line="240" w:lineRule="auto"/>
        <w:jc w:val="both"/>
        <w:rPr>
          <w:rFonts w:ascii="Times New Roman" w:hAnsi="Times New Roman" w:cs="Times New Roman"/>
          <w:sz w:val="24"/>
        </w:rPr>
      </w:pPr>
    </w:p>
    <w:p w:rsidR="00547B87" w:rsidRDefault="00547B87" w:rsidP="00E02CDE">
      <w:pPr>
        <w:spacing w:after="0" w:line="240" w:lineRule="auto"/>
        <w:jc w:val="both"/>
        <w:rPr>
          <w:rFonts w:ascii="Times New Roman" w:hAnsi="Times New Roman" w:cs="Times New Roman"/>
          <w:sz w:val="24"/>
        </w:rPr>
      </w:pPr>
    </w:p>
    <w:p w:rsidR="00547B87" w:rsidRDefault="00547B87"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lastRenderedPageBreak/>
        <w:t>HIGH COURT OF ZIMBABWE</w:t>
      </w:r>
    </w:p>
    <w:p w:rsidR="00E02CDE" w:rsidRDefault="00284022" w:rsidP="00E02CDE">
      <w:pPr>
        <w:spacing w:after="0" w:line="240" w:lineRule="auto"/>
        <w:jc w:val="both"/>
        <w:rPr>
          <w:rFonts w:ascii="Times New Roman" w:hAnsi="Times New Roman" w:cs="Times New Roman"/>
          <w:sz w:val="24"/>
        </w:rPr>
      </w:pPr>
      <w:r>
        <w:rPr>
          <w:rFonts w:ascii="Times New Roman" w:hAnsi="Times New Roman" w:cs="Times New Roman"/>
          <w:sz w:val="24"/>
        </w:rPr>
        <w:t>MUZENDA J</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MUTARE, </w:t>
      </w:r>
      <w:r w:rsidR="005D4E01">
        <w:rPr>
          <w:rFonts w:ascii="Times New Roman" w:hAnsi="Times New Roman" w:cs="Times New Roman"/>
          <w:sz w:val="24"/>
        </w:rPr>
        <w:t>9 and 19 May 2022</w:t>
      </w:r>
      <w:r w:rsidR="00E842A7">
        <w:rPr>
          <w:rFonts w:ascii="Times New Roman" w:hAnsi="Times New Roman" w:cs="Times New Roman"/>
          <w:sz w:val="24"/>
        </w:rPr>
        <w:t xml:space="preserve"> </w:t>
      </w:r>
    </w:p>
    <w:p w:rsidR="005E1AEF" w:rsidRDefault="005E1AEF" w:rsidP="00E02CDE">
      <w:pPr>
        <w:spacing w:after="0" w:line="240" w:lineRule="auto"/>
        <w:jc w:val="both"/>
        <w:rPr>
          <w:rFonts w:ascii="Times New Roman" w:hAnsi="Times New Roman" w:cs="Times New Roman"/>
          <w:sz w:val="24"/>
        </w:rPr>
      </w:pPr>
    </w:p>
    <w:p w:rsidR="005E1AEF" w:rsidRDefault="005E1AEF" w:rsidP="00E02CDE">
      <w:pPr>
        <w:spacing w:after="0" w:line="240" w:lineRule="auto"/>
        <w:jc w:val="both"/>
        <w:rPr>
          <w:rFonts w:ascii="Times New Roman" w:hAnsi="Times New Roman" w:cs="Times New Roman"/>
          <w:b/>
          <w:sz w:val="24"/>
        </w:rPr>
      </w:pPr>
    </w:p>
    <w:p w:rsidR="005E1AEF" w:rsidRDefault="00626EB0" w:rsidP="00E02CDE">
      <w:pPr>
        <w:spacing w:after="0" w:line="240" w:lineRule="auto"/>
        <w:jc w:val="both"/>
        <w:rPr>
          <w:rFonts w:ascii="Times New Roman" w:hAnsi="Times New Roman" w:cs="Times New Roman"/>
          <w:b/>
          <w:sz w:val="24"/>
        </w:rPr>
      </w:pPr>
      <w:r>
        <w:rPr>
          <w:rFonts w:ascii="Times New Roman" w:hAnsi="Times New Roman" w:cs="Times New Roman"/>
          <w:b/>
          <w:sz w:val="24"/>
        </w:rPr>
        <w:t>CIVIL TRIAL</w:t>
      </w:r>
    </w:p>
    <w:p w:rsidR="005E1AEF" w:rsidRPr="005513FC" w:rsidRDefault="005E1AEF" w:rsidP="00E02CDE">
      <w:pPr>
        <w:spacing w:after="0" w:line="240" w:lineRule="auto"/>
        <w:jc w:val="both"/>
        <w:rPr>
          <w:rFonts w:ascii="Times New Roman" w:hAnsi="Times New Roman" w:cs="Times New Roman"/>
          <w:b/>
          <w:sz w:val="24"/>
        </w:rPr>
      </w:pPr>
    </w:p>
    <w:p w:rsidR="005E1AEF" w:rsidRPr="005513FC" w:rsidRDefault="00626EB0" w:rsidP="00E02CDE">
      <w:pPr>
        <w:spacing w:after="0" w:line="240" w:lineRule="auto"/>
        <w:jc w:val="both"/>
        <w:rPr>
          <w:rFonts w:ascii="Times New Roman" w:hAnsi="Times New Roman" w:cs="Times New Roman"/>
          <w:sz w:val="24"/>
        </w:rPr>
      </w:pPr>
      <w:r>
        <w:rPr>
          <w:rFonts w:ascii="Times New Roman" w:hAnsi="Times New Roman" w:cs="Times New Roman"/>
          <w:i/>
          <w:sz w:val="24"/>
        </w:rPr>
        <w:t>P Nyakureba</w:t>
      </w:r>
      <w:r w:rsidR="009D47AC">
        <w:rPr>
          <w:rFonts w:ascii="Times New Roman" w:hAnsi="Times New Roman" w:cs="Times New Roman"/>
          <w:sz w:val="24"/>
        </w:rPr>
        <w:t xml:space="preserve">, </w:t>
      </w:r>
      <w:r w:rsidR="007748D0" w:rsidRPr="009D47AC">
        <w:rPr>
          <w:rFonts w:ascii="Times New Roman" w:hAnsi="Times New Roman" w:cs="Times New Roman"/>
          <w:sz w:val="24"/>
        </w:rPr>
        <w:t>for</w:t>
      </w:r>
      <w:r w:rsidR="007748D0">
        <w:rPr>
          <w:rFonts w:ascii="Times New Roman" w:hAnsi="Times New Roman" w:cs="Times New Roman"/>
          <w:sz w:val="24"/>
        </w:rPr>
        <w:t xml:space="preserve"> the </w:t>
      </w:r>
      <w:r>
        <w:rPr>
          <w:rFonts w:ascii="Times New Roman" w:hAnsi="Times New Roman" w:cs="Times New Roman"/>
          <w:sz w:val="24"/>
        </w:rPr>
        <w:t xml:space="preserve">plaintiffs </w:t>
      </w:r>
      <w:r w:rsidR="00A23573">
        <w:rPr>
          <w:rFonts w:ascii="Times New Roman" w:hAnsi="Times New Roman" w:cs="Times New Roman"/>
          <w:sz w:val="24"/>
        </w:rPr>
        <w:t xml:space="preserve"> </w:t>
      </w:r>
      <w:r w:rsidR="007748D0">
        <w:rPr>
          <w:rFonts w:ascii="Times New Roman" w:hAnsi="Times New Roman" w:cs="Times New Roman"/>
          <w:sz w:val="24"/>
        </w:rPr>
        <w:t xml:space="preserve"> </w:t>
      </w:r>
    </w:p>
    <w:p w:rsidR="009E302D" w:rsidRDefault="00626EB0" w:rsidP="00E02CDE">
      <w:pPr>
        <w:spacing w:after="0" w:line="240" w:lineRule="auto"/>
        <w:jc w:val="both"/>
        <w:rPr>
          <w:rFonts w:ascii="Times New Roman" w:hAnsi="Times New Roman" w:cs="Times New Roman"/>
          <w:sz w:val="24"/>
        </w:rPr>
      </w:pPr>
      <w:r>
        <w:rPr>
          <w:rFonts w:ascii="Times New Roman" w:hAnsi="Times New Roman" w:cs="Times New Roman"/>
          <w:i/>
          <w:sz w:val="24"/>
        </w:rPr>
        <w:t>P Garwe</w:t>
      </w:r>
      <w:r w:rsidR="009E302D">
        <w:rPr>
          <w:rFonts w:ascii="Times New Roman" w:hAnsi="Times New Roman" w:cs="Times New Roman"/>
          <w:sz w:val="24"/>
        </w:rPr>
        <w:t xml:space="preserve">, for the </w:t>
      </w:r>
      <w:r>
        <w:rPr>
          <w:rFonts w:ascii="Times New Roman" w:hAnsi="Times New Roman" w:cs="Times New Roman"/>
          <w:sz w:val="24"/>
        </w:rPr>
        <w:t xml:space="preserve">defendants </w:t>
      </w:r>
    </w:p>
    <w:p w:rsidR="009E302D" w:rsidRDefault="009E302D" w:rsidP="00E02CDE">
      <w:pPr>
        <w:spacing w:after="0" w:line="240" w:lineRule="auto"/>
        <w:jc w:val="both"/>
        <w:rPr>
          <w:rFonts w:ascii="Times New Roman" w:hAnsi="Times New Roman" w:cs="Times New Roman"/>
          <w:sz w:val="24"/>
        </w:rPr>
      </w:pPr>
    </w:p>
    <w:p w:rsidR="00517B09" w:rsidRDefault="009E302D" w:rsidP="004655DB">
      <w:pPr>
        <w:spacing w:after="0" w:line="360" w:lineRule="auto"/>
        <w:jc w:val="both"/>
        <w:rPr>
          <w:rFonts w:ascii="Times New Roman" w:hAnsi="Times New Roman" w:cs="Times New Roman"/>
          <w:sz w:val="24"/>
        </w:rPr>
      </w:pPr>
      <w:r>
        <w:rPr>
          <w:rFonts w:ascii="Times New Roman" w:hAnsi="Times New Roman" w:cs="Times New Roman"/>
          <w:sz w:val="24"/>
        </w:rPr>
        <w:tab/>
      </w:r>
      <w:r w:rsidR="006A2BEE">
        <w:rPr>
          <w:rFonts w:ascii="Times New Roman" w:hAnsi="Times New Roman" w:cs="Times New Roman"/>
          <w:sz w:val="24"/>
        </w:rPr>
        <w:t xml:space="preserve">MUZENDA J: </w:t>
      </w:r>
      <w:r w:rsidR="004655DB">
        <w:rPr>
          <w:rFonts w:ascii="Times New Roman" w:hAnsi="Times New Roman" w:cs="Times New Roman"/>
          <w:sz w:val="24"/>
        </w:rPr>
        <w:t>All the 19 plaintiffs who are members of the Zimbabwe Congress of Trade Union for the Eastern Region (ZCTU) are claiming from the 3 defendants jointly and severally the following:</w:t>
      </w:r>
    </w:p>
    <w:p w:rsidR="004655DB" w:rsidRPr="00453F18" w:rsidRDefault="004655DB" w:rsidP="004655DB">
      <w:pPr>
        <w:pStyle w:val="ListParagraph"/>
        <w:numPr>
          <w:ilvl w:val="0"/>
          <w:numId w:val="12"/>
        </w:numPr>
        <w:spacing w:after="0" w:line="360" w:lineRule="auto"/>
        <w:jc w:val="both"/>
        <w:rPr>
          <w:rFonts w:ascii="Times New Roman" w:hAnsi="Times New Roman" w:cs="Times New Roman"/>
          <w:b/>
          <w:i/>
          <w:sz w:val="24"/>
          <w:szCs w:val="24"/>
        </w:rPr>
      </w:pPr>
      <w:r w:rsidRPr="00453F18">
        <w:rPr>
          <w:rFonts w:ascii="Times New Roman" w:hAnsi="Times New Roman" w:cs="Times New Roman"/>
          <w:b/>
          <w:i/>
          <w:sz w:val="24"/>
        </w:rPr>
        <w:t>Payment in the total sum of ZWL $38 million broken as follows:</w:t>
      </w:r>
    </w:p>
    <w:p w:rsidR="004655DB" w:rsidRPr="00453F18" w:rsidRDefault="004655DB" w:rsidP="004655DB">
      <w:pPr>
        <w:pStyle w:val="ListParagraph"/>
        <w:spacing w:after="0" w:line="360" w:lineRule="auto"/>
        <w:jc w:val="both"/>
        <w:rPr>
          <w:rFonts w:ascii="Times New Roman" w:hAnsi="Times New Roman" w:cs="Times New Roman"/>
          <w:b/>
          <w:i/>
          <w:sz w:val="24"/>
        </w:rPr>
      </w:pPr>
      <w:r w:rsidRPr="00453F18">
        <w:rPr>
          <w:rFonts w:ascii="Times New Roman" w:hAnsi="Times New Roman" w:cs="Times New Roman"/>
          <w:b/>
          <w:i/>
          <w:sz w:val="24"/>
        </w:rPr>
        <w:t xml:space="preserve">(i) $500 000 for unlawful arrest for each </w:t>
      </w:r>
    </w:p>
    <w:p w:rsidR="004655DB" w:rsidRPr="00453F18" w:rsidRDefault="004655DB" w:rsidP="004655DB">
      <w:pPr>
        <w:pStyle w:val="ListParagraph"/>
        <w:spacing w:after="0" w:line="360" w:lineRule="auto"/>
        <w:jc w:val="both"/>
        <w:rPr>
          <w:rFonts w:ascii="Times New Roman" w:hAnsi="Times New Roman" w:cs="Times New Roman"/>
          <w:b/>
          <w:i/>
          <w:sz w:val="24"/>
        </w:rPr>
      </w:pPr>
      <w:r w:rsidRPr="00453F18">
        <w:rPr>
          <w:rFonts w:ascii="Times New Roman" w:hAnsi="Times New Roman" w:cs="Times New Roman"/>
          <w:b/>
          <w:i/>
          <w:sz w:val="24"/>
        </w:rPr>
        <w:t xml:space="preserve">(ii) $500 000 for unlawful detention for each </w:t>
      </w:r>
    </w:p>
    <w:p w:rsidR="004655DB" w:rsidRPr="00453F18" w:rsidRDefault="004655DB" w:rsidP="004655DB">
      <w:pPr>
        <w:pStyle w:val="ListParagraph"/>
        <w:spacing w:after="0" w:line="360" w:lineRule="auto"/>
        <w:jc w:val="both"/>
        <w:rPr>
          <w:rFonts w:ascii="Times New Roman" w:hAnsi="Times New Roman" w:cs="Times New Roman"/>
          <w:b/>
          <w:i/>
          <w:sz w:val="24"/>
        </w:rPr>
      </w:pPr>
      <w:r w:rsidRPr="00453F18">
        <w:rPr>
          <w:rFonts w:ascii="Times New Roman" w:hAnsi="Times New Roman" w:cs="Times New Roman"/>
          <w:b/>
          <w:i/>
          <w:sz w:val="24"/>
        </w:rPr>
        <w:t>(iii) $1 000 000 for malicious prosecution against the defendants</w:t>
      </w:r>
    </w:p>
    <w:p w:rsidR="004655DB" w:rsidRPr="00453F18" w:rsidRDefault="004655DB" w:rsidP="004655DB">
      <w:pPr>
        <w:pStyle w:val="ListParagraph"/>
        <w:numPr>
          <w:ilvl w:val="0"/>
          <w:numId w:val="12"/>
        </w:numPr>
        <w:spacing w:after="0" w:line="360" w:lineRule="auto"/>
        <w:jc w:val="both"/>
        <w:rPr>
          <w:rFonts w:ascii="Times New Roman" w:hAnsi="Times New Roman" w:cs="Times New Roman"/>
          <w:b/>
          <w:i/>
          <w:sz w:val="24"/>
        </w:rPr>
      </w:pPr>
      <w:r w:rsidRPr="00453F18">
        <w:rPr>
          <w:rFonts w:ascii="Times New Roman" w:hAnsi="Times New Roman" w:cs="Times New Roman"/>
          <w:b/>
          <w:i/>
          <w:sz w:val="24"/>
        </w:rPr>
        <w:t xml:space="preserve">Interest thereon at the prescribed rate from the date of issue of summons to date of full and final payment. </w:t>
      </w:r>
    </w:p>
    <w:p w:rsidR="004655DB" w:rsidRPr="00453F18" w:rsidRDefault="004655DB" w:rsidP="004655DB">
      <w:pPr>
        <w:pStyle w:val="ListParagraph"/>
        <w:numPr>
          <w:ilvl w:val="0"/>
          <w:numId w:val="12"/>
        </w:numPr>
        <w:spacing w:after="0" w:line="360" w:lineRule="auto"/>
        <w:jc w:val="both"/>
        <w:rPr>
          <w:rFonts w:ascii="Times New Roman" w:hAnsi="Times New Roman" w:cs="Times New Roman"/>
          <w:b/>
          <w:i/>
          <w:sz w:val="24"/>
        </w:rPr>
      </w:pPr>
      <w:r w:rsidRPr="00453F18">
        <w:rPr>
          <w:rFonts w:ascii="Times New Roman" w:hAnsi="Times New Roman" w:cs="Times New Roman"/>
          <w:b/>
          <w:i/>
          <w:sz w:val="24"/>
        </w:rPr>
        <w:t>Costs of suit on a legal practitioner-client scale.</w:t>
      </w:r>
    </w:p>
    <w:p w:rsidR="004655DB" w:rsidRPr="00453F18" w:rsidRDefault="006D2245" w:rsidP="00040046">
      <w:pPr>
        <w:spacing w:after="0" w:line="360" w:lineRule="auto"/>
        <w:ind w:left="720"/>
        <w:jc w:val="both"/>
        <w:rPr>
          <w:rFonts w:ascii="Times New Roman" w:hAnsi="Times New Roman" w:cs="Times New Roman"/>
          <w:b/>
          <w:i/>
          <w:sz w:val="24"/>
        </w:rPr>
      </w:pPr>
      <w:r w:rsidRPr="00453F18">
        <w:rPr>
          <w:rFonts w:ascii="Times New Roman" w:hAnsi="Times New Roman" w:cs="Times New Roman"/>
          <w:b/>
          <w:i/>
          <w:sz w:val="24"/>
        </w:rPr>
        <w:t xml:space="preserve">On 13 July 2021 all 3 defendants entered appearance to defend the claim. </w:t>
      </w:r>
    </w:p>
    <w:p w:rsidR="006D2245" w:rsidRDefault="006D2245" w:rsidP="006D2245">
      <w:pPr>
        <w:spacing w:after="0" w:line="360" w:lineRule="auto"/>
        <w:jc w:val="both"/>
        <w:rPr>
          <w:rFonts w:ascii="Times New Roman" w:hAnsi="Times New Roman" w:cs="Times New Roman"/>
          <w:sz w:val="24"/>
        </w:rPr>
      </w:pPr>
    </w:p>
    <w:p w:rsidR="006D2245" w:rsidRPr="00645523" w:rsidRDefault="006D2245" w:rsidP="006D2245">
      <w:pPr>
        <w:spacing w:after="0" w:line="360" w:lineRule="auto"/>
        <w:jc w:val="both"/>
        <w:rPr>
          <w:rFonts w:ascii="Times New Roman" w:hAnsi="Times New Roman" w:cs="Times New Roman"/>
          <w:sz w:val="24"/>
          <w:u w:val="single"/>
        </w:rPr>
      </w:pPr>
      <w:r w:rsidRPr="00645523">
        <w:rPr>
          <w:rFonts w:ascii="Times New Roman" w:hAnsi="Times New Roman" w:cs="Times New Roman"/>
          <w:sz w:val="24"/>
          <w:u w:val="single"/>
        </w:rPr>
        <w:t xml:space="preserve">Background </w:t>
      </w:r>
    </w:p>
    <w:p w:rsidR="004655DB" w:rsidRDefault="00A14514" w:rsidP="00F03B44">
      <w:pPr>
        <w:spacing w:after="0" w:line="360" w:lineRule="auto"/>
        <w:jc w:val="both"/>
        <w:rPr>
          <w:rFonts w:ascii="Times New Roman" w:hAnsi="Times New Roman" w:cs="Times New Roman"/>
          <w:sz w:val="24"/>
        </w:rPr>
      </w:pPr>
      <w:r>
        <w:rPr>
          <w:rFonts w:ascii="Times New Roman" w:hAnsi="Times New Roman" w:cs="Times New Roman"/>
          <w:sz w:val="24"/>
        </w:rPr>
        <w:tab/>
        <w:t>Plaintiffs in their declaration state that they were arrested by police on 11 October 2018 at the specific instructions of third defendant. They were detained in police cells without reasons for their arrest. All were then handed over to the law and Order section. Later all plaintiffs were alleged to have had participated in a gathering with the intention to promote public violence breaches of the peace or bigotry alternatively that they had encumbered or obstructed the free passage along Jameson Street, Mutare intending to carry out a demonstration. Plaintiffs were detained in holding cells for two nights before appearing in court</w:t>
      </w:r>
      <w:r w:rsidR="00F03B44">
        <w:rPr>
          <w:rFonts w:ascii="Times New Roman" w:hAnsi="Times New Roman" w:cs="Times New Roman"/>
          <w:sz w:val="24"/>
        </w:rPr>
        <w:t xml:space="preserve">. Plaintiffs believe that both the arrest and detention were wrongful. </w:t>
      </w:r>
    </w:p>
    <w:p w:rsidR="002D587B" w:rsidRDefault="00F03B44" w:rsidP="002D587B">
      <w:pPr>
        <w:spacing w:after="0" w:line="360" w:lineRule="auto"/>
        <w:jc w:val="both"/>
        <w:rPr>
          <w:rFonts w:ascii="Times New Roman" w:hAnsi="Times New Roman" w:cs="Times New Roman"/>
          <w:sz w:val="24"/>
        </w:rPr>
      </w:pPr>
      <w:r>
        <w:rPr>
          <w:rFonts w:ascii="Times New Roman" w:hAnsi="Times New Roman" w:cs="Times New Roman"/>
          <w:sz w:val="24"/>
        </w:rPr>
        <w:tab/>
      </w:r>
      <w:r w:rsidR="00C217EC">
        <w:rPr>
          <w:rFonts w:ascii="Times New Roman" w:hAnsi="Times New Roman" w:cs="Times New Roman"/>
          <w:sz w:val="24"/>
        </w:rPr>
        <w:t>After trial by the Magistrates Court, at Mutare all plaintiffs were discharged and acquitted at the close of the state case on 13 November 2020.</w:t>
      </w:r>
      <w:r w:rsidR="00246056">
        <w:rPr>
          <w:rFonts w:ascii="Times New Roman" w:hAnsi="Times New Roman" w:cs="Times New Roman"/>
          <w:sz w:val="24"/>
        </w:rPr>
        <w:t xml:space="preserve"> Plaintiffs content that all defendants intentionally and maliciously instigated the criminal legal action against them. </w:t>
      </w:r>
      <w:r w:rsidR="00174836">
        <w:rPr>
          <w:rFonts w:ascii="Times New Roman" w:hAnsi="Times New Roman" w:cs="Times New Roman"/>
          <w:sz w:val="24"/>
        </w:rPr>
        <w:t xml:space="preserve">Defendants did so without probable cause and plaintiffs were maliciously prosecuted. They added that they were not promptly informed of the reason for their arrest, there was no </w:t>
      </w:r>
      <w:r w:rsidR="00174836">
        <w:rPr>
          <w:rFonts w:ascii="Times New Roman" w:hAnsi="Times New Roman" w:cs="Times New Roman"/>
          <w:sz w:val="24"/>
        </w:rPr>
        <w:lastRenderedPageBreak/>
        <w:t>reasonable suspicion that an offence had bee</w:t>
      </w:r>
      <w:r w:rsidR="00220589">
        <w:rPr>
          <w:rFonts w:ascii="Times New Roman" w:hAnsi="Times New Roman" w:cs="Times New Roman"/>
          <w:sz w:val="24"/>
        </w:rPr>
        <w:t>n</w:t>
      </w:r>
      <w:r w:rsidR="00174836">
        <w:rPr>
          <w:rFonts w:ascii="Times New Roman" w:hAnsi="Times New Roman" w:cs="Times New Roman"/>
          <w:sz w:val="24"/>
        </w:rPr>
        <w:t xml:space="preserve"> committed or was about to be committed and that third defendant instigated the prosecution. When third defendant acted, she did so in the course and scope of her employment and first and second defendants are vicariously liable. </w:t>
      </w:r>
    </w:p>
    <w:p w:rsidR="00645523" w:rsidRDefault="00733010" w:rsidP="002D587B">
      <w:pPr>
        <w:spacing w:after="0" w:line="360" w:lineRule="auto"/>
        <w:jc w:val="both"/>
        <w:rPr>
          <w:rFonts w:ascii="Times New Roman" w:hAnsi="Times New Roman" w:cs="Times New Roman"/>
          <w:sz w:val="24"/>
        </w:rPr>
      </w:pPr>
      <w:r>
        <w:rPr>
          <w:rFonts w:ascii="Times New Roman" w:hAnsi="Times New Roman" w:cs="Times New Roman"/>
          <w:sz w:val="24"/>
        </w:rPr>
        <w:tab/>
        <w:t>Defendants on the other hand state in the</w:t>
      </w:r>
      <w:r w:rsidR="00AD753B">
        <w:rPr>
          <w:rFonts w:ascii="Times New Roman" w:hAnsi="Times New Roman" w:cs="Times New Roman"/>
          <w:sz w:val="24"/>
        </w:rPr>
        <w:t>ir</w:t>
      </w:r>
      <w:r>
        <w:rPr>
          <w:rFonts w:ascii="Times New Roman" w:hAnsi="Times New Roman" w:cs="Times New Roman"/>
          <w:sz w:val="24"/>
        </w:rPr>
        <w:t xml:space="preserve"> plea that all plaintiffs were informed of the reason of their arrest instantly at the time of their arrest at the offices of ZCTU Eastern Region at No. 14 Jameson Street, </w:t>
      </w:r>
      <w:r w:rsidR="00E71B87">
        <w:rPr>
          <w:rFonts w:ascii="Times New Roman" w:hAnsi="Times New Roman" w:cs="Times New Roman"/>
          <w:sz w:val="24"/>
        </w:rPr>
        <w:t>Mutare. Defendants add that plaintiffs were arrested whilst participating in a gathering with intent to promote public violence and what defendants did was to maintain law and order. To the defendants a full criminal docket was compiled and a criminal record was open</w:t>
      </w:r>
      <w:r w:rsidR="00555310">
        <w:rPr>
          <w:rFonts w:ascii="Times New Roman" w:hAnsi="Times New Roman" w:cs="Times New Roman"/>
          <w:sz w:val="24"/>
        </w:rPr>
        <w:t>ed</w:t>
      </w:r>
      <w:r w:rsidR="00E71B87">
        <w:rPr>
          <w:rFonts w:ascii="Times New Roman" w:hAnsi="Times New Roman" w:cs="Times New Roman"/>
          <w:sz w:val="24"/>
        </w:rPr>
        <w:t xml:space="preserve"> leading to the prosecution of plaintiffs. All 3 defendants deny liability and pray for the dismissal of plaintiff’s, claim.  </w:t>
      </w:r>
    </w:p>
    <w:p w:rsidR="00645523" w:rsidRDefault="00645523" w:rsidP="002D587B">
      <w:pPr>
        <w:spacing w:after="0" w:line="360" w:lineRule="auto"/>
        <w:jc w:val="both"/>
        <w:rPr>
          <w:rFonts w:ascii="Times New Roman" w:hAnsi="Times New Roman" w:cs="Times New Roman"/>
          <w:sz w:val="24"/>
        </w:rPr>
      </w:pPr>
    </w:p>
    <w:p w:rsidR="00645523" w:rsidRPr="00645523" w:rsidRDefault="00645523" w:rsidP="002D587B">
      <w:pPr>
        <w:spacing w:after="0" w:line="360" w:lineRule="auto"/>
        <w:jc w:val="both"/>
        <w:rPr>
          <w:rFonts w:ascii="Times New Roman" w:hAnsi="Times New Roman" w:cs="Times New Roman"/>
          <w:sz w:val="24"/>
          <w:u w:val="single"/>
        </w:rPr>
      </w:pPr>
      <w:r w:rsidRPr="00645523">
        <w:rPr>
          <w:rFonts w:ascii="Times New Roman" w:hAnsi="Times New Roman" w:cs="Times New Roman"/>
          <w:sz w:val="24"/>
          <w:u w:val="single"/>
        </w:rPr>
        <w:t>Issues for determination</w:t>
      </w:r>
    </w:p>
    <w:p w:rsidR="00645523" w:rsidRDefault="00EF70D3" w:rsidP="002D587B">
      <w:pPr>
        <w:spacing w:after="0" w:line="360" w:lineRule="auto"/>
        <w:jc w:val="both"/>
        <w:rPr>
          <w:rFonts w:ascii="Times New Roman" w:hAnsi="Times New Roman" w:cs="Times New Roman"/>
          <w:sz w:val="24"/>
        </w:rPr>
      </w:pPr>
      <w:r>
        <w:rPr>
          <w:rFonts w:ascii="Times New Roman" w:hAnsi="Times New Roman" w:cs="Times New Roman"/>
          <w:sz w:val="24"/>
        </w:rPr>
        <w:tab/>
      </w:r>
      <w:r w:rsidR="001203BF">
        <w:rPr>
          <w:rFonts w:ascii="Times New Roman" w:hAnsi="Times New Roman" w:cs="Times New Roman"/>
          <w:sz w:val="24"/>
        </w:rPr>
        <w:t>Parties agreed to proceed on the basis of a slated case and the issues were spelt out as follows:</w:t>
      </w:r>
    </w:p>
    <w:p w:rsidR="00EF70D3" w:rsidRPr="00517FC0" w:rsidRDefault="00EF70D3" w:rsidP="00EF70D3">
      <w:pPr>
        <w:pStyle w:val="ListParagraph"/>
        <w:numPr>
          <w:ilvl w:val="0"/>
          <w:numId w:val="13"/>
        </w:numPr>
        <w:spacing w:after="0" w:line="360" w:lineRule="auto"/>
        <w:jc w:val="both"/>
        <w:rPr>
          <w:rFonts w:ascii="Times New Roman" w:hAnsi="Times New Roman" w:cs="Times New Roman"/>
          <w:i/>
          <w:sz w:val="24"/>
        </w:rPr>
      </w:pPr>
      <w:r w:rsidRPr="00517FC0">
        <w:rPr>
          <w:rFonts w:ascii="Times New Roman" w:hAnsi="Times New Roman" w:cs="Times New Roman"/>
          <w:i/>
          <w:sz w:val="24"/>
        </w:rPr>
        <w:t>whether or not the arrest and detention of plaintiffs was unlawful</w:t>
      </w:r>
    </w:p>
    <w:p w:rsidR="00EF70D3" w:rsidRPr="00517FC0" w:rsidRDefault="00EF70D3" w:rsidP="00EF70D3">
      <w:pPr>
        <w:pStyle w:val="ListParagraph"/>
        <w:numPr>
          <w:ilvl w:val="0"/>
          <w:numId w:val="13"/>
        </w:numPr>
        <w:spacing w:after="0" w:line="360" w:lineRule="auto"/>
        <w:jc w:val="both"/>
        <w:rPr>
          <w:rFonts w:ascii="Times New Roman" w:hAnsi="Times New Roman" w:cs="Times New Roman"/>
          <w:i/>
          <w:sz w:val="24"/>
        </w:rPr>
      </w:pPr>
      <w:r w:rsidRPr="00517FC0">
        <w:rPr>
          <w:rFonts w:ascii="Times New Roman" w:hAnsi="Times New Roman" w:cs="Times New Roman"/>
          <w:i/>
          <w:sz w:val="24"/>
        </w:rPr>
        <w:t>whether or not the prosecution of the plaintiffs was malicious</w:t>
      </w:r>
    </w:p>
    <w:p w:rsidR="00EF70D3" w:rsidRPr="00517FC0" w:rsidRDefault="0054692F" w:rsidP="00EF70D3">
      <w:pPr>
        <w:pStyle w:val="ListParagraph"/>
        <w:numPr>
          <w:ilvl w:val="0"/>
          <w:numId w:val="13"/>
        </w:numPr>
        <w:spacing w:after="0" w:line="360" w:lineRule="auto"/>
        <w:jc w:val="both"/>
        <w:rPr>
          <w:rFonts w:ascii="Times New Roman" w:hAnsi="Times New Roman" w:cs="Times New Roman"/>
          <w:i/>
          <w:sz w:val="24"/>
        </w:rPr>
      </w:pPr>
      <w:r w:rsidRPr="00517FC0">
        <w:rPr>
          <w:rFonts w:ascii="Times New Roman" w:hAnsi="Times New Roman" w:cs="Times New Roman"/>
          <w:i/>
          <w:sz w:val="24"/>
        </w:rPr>
        <w:t>if the answers to (a) or (b) a</w:t>
      </w:r>
      <w:r w:rsidR="008F36BF" w:rsidRPr="00517FC0">
        <w:rPr>
          <w:rFonts w:ascii="Times New Roman" w:hAnsi="Times New Roman" w:cs="Times New Roman"/>
          <w:i/>
          <w:sz w:val="24"/>
        </w:rPr>
        <w:t>r</w:t>
      </w:r>
      <w:r w:rsidRPr="00517FC0">
        <w:rPr>
          <w:rFonts w:ascii="Times New Roman" w:hAnsi="Times New Roman" w:cs="Times New Roman"/>
          <w:i/>
          <w:sz w:val="24"/>
        </w:rPr>
        <w:t>e affirmative, the quantum of damages</w:t>
      </w:r>
    </w:p>
    <w:p w:rsidR="0054692F" w:rsidRPr="00517FC0" w:rsidRDefault="0054692F" w:rsidP="00EF70D3">
      <w:pPr>
        <w:pStyle w:val="ListParagraph"/>
        <w:numPr>
          <w:ilvl w:val="0"/>
          <w:numId w:val="13"/>
        </w:numPr>
        <w:spacing w:after="0" w:line="360" w:lineRule="auto"/>
        <w:jc w:val="both"/>
        <w:rPr>
          <w:rFonts w:ascii="Times New Roman" w:hAnsi="Times New Roman" w:cs="Times New Roman"/>
          <w:i/>
          <w:sz w:val="24"/>
        </w:rPr>
      </w:pPr>
      <w:r w:rsidRPr="00517FC0">
        <w:rPr>
          <w:rFonts w:ascii="Times New Roman" w:hAnsi="Times New Roman" w:cs="Times New Roman"/>
          <w:i/>
          <w:sz w:val="24"/>
        </w:rPr>
        <w:t>whether or not first and second defendants are vicariously liable for the delicts of third defendant in the circumstances</w:t>
      </w:r>
      <w:r w:rsidR="002C48BF" w:rsidRPr="00517FC0">
        <w:rPr>
          <w:rFonts w:ascii="Times New Roman" w:hAnsi="Times New Roman" w:cs="Times New Roman"/>
          <w:i/>
          <w:sz w:val="24"/>
        </w:rPr>
        <w:t>.</w:t>
      </w:r>
    </w:p>
    <w:p w:rsidR="002C48BF" w:rsidRDefault="002C48BF" w:rsidP="002C48BF">
      <w:pPr>
        <w:spacing w:after="0" w:line="360" w:lineRule="auto"/>
        <w:ind w:left="720"/>
        <w:jc w:val="both"/>
        <w:rPr>
          <w:rFonts w:ascii="Times New Roman" w:hAnsi="Times New Roman" w:cs="Times New Roman"/>
          <w:sz w:val="24"/>
        </w:rPr>
      </w:pPr>
      <w:r>
        <w:rPr>
          <w:rFonts w:ascii="Times New Roman" w:hAnsi="Times New Roman" w:cs="Times New Roman"/>
          <w:sz w:val="24"/>
        </w:rPr>
        <w:t xml:space="preserve">Paragraphs (a) and (b) </w:t>
      </w:r>
      <w:r w:rsidR="00DC5A89">
        <w:rPr>
          <w:rFonts w:ascii="Times New Roman" w:hAnsi="Times New Roman" w:cs="Times New Roman"/>
          <w:sz w:val="24"/>
        </w:rPr>
        <w:t xml:space="preserve">are </w:t>
      </w:r>
      <w:r>
        <w:rPr>
          <w:rFonts w:ascii="Times New Roman" w:hAnsi="Times New Roman" w:cs="Times New Roman"/>
          <w:sz w:val="24"/>
        </w:rPr>
        <w:t xml:space="preserve">summarised as follows for purposes of determination. </w:t>
      </w:r>
    </w:p>
    <w:p w:rsidR="002C48BF" w:rsidRDefault="002C48BF" w:rsidP="002C48BF">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Whether or not the plaintiffs arrest, detention and prosecution was lawfully conducted based on reasonable suspicion as well as the factual issues of whether plaintiffs were treated as amplified in the declaration? </w:t>
      </w:r>
    </w:p>
    <w:p w:rsidR="00201A53" w:rsidRDefault="00201A53" w:rsidP="00201A53">
      <w:pPr>
        <w:spacing w:after="0" w:line="360" w:lineRule="auto"/>
        <w:jc w:val="both"/>
        <w:rPr>
          <w:rFonts w:ascii="Times New Roman" w:hAnsi="Times New Roman" w:cs="Times New Roman"/>
          <w:sz w:val="24"/>
        </w:rPr>
      </w:pPr>
    </w:p>
    <w:p w:rsidR="00201A53" w:rsidRDefault="00201A53" w:rsidP="00201A53">
      <w:pPr>
        <w:spacing w:after="0" w:line="360" w:lineRule="auto"/>
        <w:jc w:val="both"/>
        <w:rPr>
          <w:rFonts w:ascii="Times New Roman" w:hAnsi="Times New Roman" w:cs="Times New Roman"/>
          <w:sz w:val="24"/>
          <w:u w:val="single"/>
        </w:rPr>
      </w:pPr>
      <w:r w:rsidRPr="00201A53">
        <w:rPr>
          <w:rFonts w:ascii="Times New Roman" w:hAnsi="Times New Roman" w:cs="Times New Roman"/>
          <w:sz w:val="24"/>
          <w:u w:val="single"/>
        </w:rPr>
        <w:t>The Law</w:t>
      </w:r>
    </w:p>
    <w:p w:rsidR="00201A53" w:rsidRDefault="00201A53" w:rsidP="00201A53">
      <w:pPr>
        <w:spacing w:after="0" w:line="360" w:lineRule="auto"/>
        <w:jc w:val="both"/>
        <w:rPr>
          <w:rFonts w:ascii="Times New Roman" w:hAnsi="Times New Roman" w:cs="Times New Roman"/>
          <w:sz w:val="24"/>
        </w:rPr>
      </w:pPr>
      <w:r>
        <w:rPr>
          <w:rFonts w:ascii="Times New Roman" w:hAnsi="Times New Roman" w:cs="Times New Roman"/>
          <w:sz w:val="24"/>
        </w:rPr>
        <w:tab/>
      </w:r>
      <w:r w:rsidR="00365324">
        <w:rPr>
          <w:rFonts w:ascii="Times New Roman" w:hAnsi="Times New Roman" w:cs="Times New Roman"/>
          <w:sz w:val="24"/>
        </w:rPr>
        <w:t xml:space="preserve">In the matter of </w:t>
      </w:r>
      <w:r w:rsidR="00365324">
        <w:rPr>
          <w:rFonts w:ascii="Times New Roman" w:hAnsi="Times New Roman" w:cs="Times New Roman"/>
          <w:i/>
          <w:sz w:val="24"/>
        </w:rPr>
        <w:t xml:space="preserve">Manjoro </w:t>
      </w:r>
      <w:r w:rsidR="00365324">
        <w:rPr>
          <w:rFonts w:ascii="Times New Roman" w:hAnsi="Times New Roman" w:cs="Times New Roman"/>
          <w:sz w:val="24"/>
        </w:rPr>
        <w:t>v</w:t>
      </w:r>
      <w:r w:rsidR="00365324">
        <w:rPr>
          <w:rFonts w:ascii="Times New Roman" w:hAnsi="Times New Roman" w:cs="Times New Roman"/>
          <w:i/>
          <w:sz w:val="24"/>
        </w:rPr>
        <w:t xml:space="preserve"> Minister of Home Affairs and Others</w:t>
      </w:r>
      <w:r w:rsidR="001E72F0">
        <w:rPr>
          <w:rStyle w:val="FootnoteReference"/>
          <w:rFonts w:ascii="Times New Roman" w:hAnsi="Times New Roman" w:cs="Times New Roman"/>
          <w:i/>
          <w:sz w:val="24"/>
        </w:rPr>
        <w:footnoteReference w:id="1"/>
      </w:r>
      <w:r w:rsidR="00365324">
        <w:rPr>
          <w:rFonts w:ascii="Times New Roman" w:hAnsi="Times New Roman" w:cs="Times New Roman"/>
          <w:sz w:val="24"/>
        </w:rPr>
        <w:t xml:space="preserve">it was held that: </w:t>
      </w:r>
    </w:p>
    <w:p w:rsidR="00365324" w:rsidRDefault="00365324" w:rsidP="00365324">
      <w:pPr>
        <w:spacing w:after="0" w:line="240" w:lineRule="auto"/>
        <w:ind w:left="720"/>
        <w:jc w:val="both"/>
        <w:rPr>
          <w:rFonts w:ascii="Times New Roman" w:hAnsi="Times New Roman" w:cs="Times New Roman"/>
        </w:rPr>
      </w:pPr>
      <w:r>
        <w:rPr>
          <w:rFonts w:ascii="Times New Roman" w:hAnsi="Times New Roman" w:cs="Times New Roman"/>
        </w:rPr>
        <w:t xml:space="preserve">“For an arrest to be lawful, the arresting detail must ensure that before he arrests, he has verified the information or report which he has received. He must formulate a reasonable suspicion </w:t>
      </w:r>
      <w:r w:rsidR="00A37F1A">
        <w:rPr>
          <w:rFonts w:ascii="Times New Roman" w:hAnsi="Times New Roman" w:cs="Times New Roman"/>
        </w:rPr>
        <w:t>that an offence has been committed. If an arresting detail does not properly exercise his mind and the report turns out to be false, the arrest becomes unlawful. The onus is on the person who has effected an arrest to justify the lawfulness of the arrest. An arrest only becomes lawful where the arresting detail has formulated a reasonable s</w:t>
      </w:r>
      <w:r w:rsidR="00250B35">
        <w:rPr>
          <w:rFonts w:ascii="Times New Roman" w:hAnsi="Times New Roman" w:cs="Times New Roman"/>
        </w:rPr>
        <w:t>uspicion that an offence has be</w:t>
      </w:r>
      <w:r w:rsidR="00A37F1A">
        <w:rPr>
          <w:rFonts w:ascii="Times New Roman" w:hAnsi="Times New Roman" w:cs="Times New Roman"/>
        </w:rPr>
        <w:t>e</w:t>
      </w:r>
      <w:r w:rsidR="00250B35">
        <w:rPr>
          <w:rFonts w:ascii="Times New Roman" w:hAnsi="Times New Roman" w:cs="Times New Roman"/>
        </w:rPr>
        <w:t>n</w:t>
      </w:r>
      <w:r w:rsidR="00A37F1A">
        <w:rPr>
          <w:rFonts w:ascii="Times New Roman" w:hAnsi="Times New Roman" w:cs="Times New Roman"/>
        </w:rPr>
        <w:t xml:space="preserve"> committed.” </w:t>
      </w:r>
    </w:p>
    <w:p w:rsidR="002A2AF5" w:rsidRDefault="002A2AF5" w:rsidP="002A2AF5">
      <w:pPr>
        <w:spacing w:after="0" w:line="240" w:lineRule="auto"/>
        <w:jc w:val="both"/>
        <w:rPr>
          <w:rFonts w:ascii="Times New Roman" w:hAnsi="Times New Roman" w:cs="Times New Roman"/>
        </w:rPr>
      </w:pPr>
    </w:p>
    <w:p w:rsidR="002A2AF5" w:rsidRDefault="002A2AF5" w:rsidP="002A2AF5">
      <w:pPr>
        <w:spacing w:after="0" w:line="360" w:lineRule="auto"/>
        <w:jc w:val="both"/>
        <w:rPr>
          <w:rFonts w:ascii="Times New Roman" w:hAnsi="Times New Roman" w:cs="Times New Roman"/>
          <w:sz w:val="24"/>
        </w:rPr>
      </w:pPr>
      <w:r>
        <w:rPr>
          <w:rFonts w:ascii="Times New Roman" w:hAnsi="Times New Roman" w:cs="Times New Roman"/>
        </w:rPr>
        <w:lastRenderedPageBreak/>
        <w:tab/>
      </w:r>
      <w:r w:rsidR="000B1EF0">
        <w:rPr>
          <w:rFonts w:ascii="Times New Roman" w:hAnsi="Times New Roman" w:cs="Times New Roman"/>
          <w:sz w:val="24"/>
        </w:rPr>
        <w:t xml:space="preserve">In </w:t>
      </w:r>
      <w:r w:rsidR="000B1EF0">
        <w:rPr>
          <w:rFonts w:ascii="Times New Roman" w:hAnsi="Times New Roman" w:cs="Times New Roman"/>
          <w:i/>
          <w:sz w:val="24"/>
        </w:rPr>
        <w:t xml:space="preserve">Banda and Others </w:t>
      </w:r>
      <w:r w:rsidR="000B1EF0">
        <w:rPr>
          <w:rFonts w:ascii="Times New Roman" w:hAnsi="Times New Roman" w:cs="Times New Roman"/>
          <w:sz w:val="24"/>
        </w:rPr>
        <w:t xml:space="preserve">v </w:t>
      </w:r>
      <w:r w:rsidR="000B1EF0">
        <w:rPr>
          <w:rFonts w:ascii="Times New Roman" w:hAnsi="Times New Roman" w:cs="Times New Roman"/>
          <w:i/>
          <w:sz w:val="24"/>
        </w:rPr>
        <w:t>Mutual Finance (Private) Limited</w:t>
      </w:r>
      <w:r w:rsidR="000B1EF0">
        <w:rPr>
          <w:rStyle w:val="FootnoteReference"/>
          <w:rFonts w:ascii="Times New Roman" w:hAnsi="Times New Roman" w:cs="Times New Roman"/>
          <w:i/>
          <w:sz w:val="24"/>
        </w:rPr>
        <w:footnoteReference w:id="2"/>
      </w:r>
      <w:r w:rsidR="00FA3634">
        <w:rPr>
          <w:rFonts w:ascii="Times New Roman" w:hAnsi="Times New Roman" w:cs="Times New Roman"/>
          <w:sz w:val="24"/>
        </w:rPr>
        <w:t xml:space="preserve"> </w:t>
      </w:r>
    </w:p>
    <w:p w:rsidR="00FA3634" w:rsidRDefault="00FA3634" w:rsidP="0084636F">
      <w:pPr>
        <w:spacing w:after="0" w:line="240" w:lineRule="auto"/>
        <w:ind w:left="720"/>
        <w:jc w:val="both"/>
        <w:rPr>
          <w:rFonts w:ascii="Times New Roman" w:hAnsi="Times New Roman" w:cs="Times New Roman"/>
        </w:rPr>
      </w:pPr>
      <w:r>
        <w:rPr>
          <w:rFonts w:ascii="Times New Roman" w:hAnsi="Times New Roman" w:cs="Times New Roman"/>
        </w:rPr>
        <w:t>“An arresting detail must have formulated a reasonable suspicion that an offence has be</w:t>
      </w:r>
      <w:r w:rsidR="0084636F">
        <w:rPr>
          <w:rFonts w:ascii="Times New Roman" w:hAnsi="Times New Roman" w:cs="Times New Roman"/>
        </w:rPr>
        <w:t xml:space="preserve">en </w:t>
      </w:r>
      <w:r>
        <w:rPr>
          <w:rFonts w:ascii="Times New Roman" w:hAnsi="Times New Roman" w:cs="Times New Roman"/>
        </w:rPr>
        <w:t xml:space="preserve">committed by the suspect in question. The question as to whether a reasonable suspicion exists or not must be resolved objectively. Once a </w:t>
      </w:r>
      <w:r w:rsidR="006C4B8F">
        <w:rPr>
          <w:rFonts w:ascii="Times New Roman" w:hAnsi="Times New Roman" w:cs="Times New Roman"/>
        </w:rPr>
        <w:t xml:space="preserve">defendant has established reasonable cause for the arrest, there ceases to be a malice on the part of the defendant. To the contrary, where there is no </w:t>
      </w:r>
      <w:r w:rsidR="0084636F">
        <w:rPr>
          <w:rFonts w:ascii="Times New Roman" w:hAnsi="Times New Roman" w:cs="Times New Roman"/>
        </w:rPr>
        <w:t>reasonable and probable cause for the arrest of the plaintiff, it may mean that plaintiff was not at fault and therefore the arrest was unlawful.”</w:t>
      </w:r>
      <w:r w:rsidR="006C4B8F">
        <w:rPr>
          <w:rFonts w:ascii="Times New Roman" w:hAnsi="Times New Roman" w:cs="Times New Roman"/>
        </w:rPr>
        <w:t xml:space="preserve"> </w:t>
      </w:r>
    </w:p>
    <w:p w:rsidR="004B28B2" w:rsidRDefault="004B28B2" w:rsidP="004B28B2">
      <w:pPr>
        <w:spacing w:after="0" w:line="240" w:lineRule="auto"/>
        <w:jc w:val="both"/>
        <w:rPr>
          <w:rFonts w:ascii="Times New Roman" w:hAnsi="Times New Roman" w:cs="Times New Roman"/>
        </w:rPr>
      </w:pPr>
    </w:p>
    <w:p w:rsidR="004B28B2" w:rsidRDefault="004B28B2" w:rsidP="004B28B2">
      <w:pPr>
        <w:spacing w:after="0" w:line="360" w:lineRule="auto"/>
        <w:jc w:val="both"/>
        <w:rPr>
          <w:rFonts w:ascii="Times New Roman" w:hAnsi="Times New Roman" w:cs="Times New Roman"/>
          <w:sz w:val="24"/>
        </w:rPr>
      </w:pPr>
      <w:r>
        <w:rPr>
          <w:rFonts w:ascii="Times New Roman" w:hAnsi="Times New Roman" w:cs="Times New Roman"/>
        </w:rPr>
        <w:tab/>
      </w:r>
      <w:r w:rsidR="00877ADA">
        <w:rPr>
          <w:rFonts w:ascii="Times New Roman" w:hAnsi="Times New Roman" w:cs="Times New Roman"/>
          <w:sz w:val="24"/>
        </w:rPr>
        <w:t xml:space="preserve">It was held further that: </w:t>
      </w:r>
      <w:r w:rsidR="00877ADA">
        <w:rPr>
          <w:rStyle w:val="FootnoteReference"/>
          <w:rFonts w:ascii="Times New Roman" w:hAnsi="Times New Roman" w:cs="Times New Roman"/>
          <w:sz w:val="24"/>
        </w:rPr>
        <w:footnoteReference w:id="3"/>
      </w:r>
    </w:p>
    <w:p w:rsidR="0046485E" w:rsidRDefault="0046485E" w:rsidP="00F31207">
      <w:pPr>
        <w:spacing w:after="0" w:line="240" w:lineRule="auto"/>
        <w:jc w:val="both"/>
        <w:rPr>
          <w:rFonts w:ascii="Times New Roman" w:hAnsi="Times New Roman" w:cs="Times New Roman"/>
        </w:rPr>
      </w:pPr>
      <w:r>
        <w:rPr>
          <w:rFonts w:ascii="Times New Roman" w:hAnsi="Times New Roman" w:cs="Times New Roman"/>
          <w:sz w:val="24"/>
        </w:rPr>
        <w:tab/>
      </w:r>
      <w:r w:rsidR="008B3C82">
        <w:rPr>
          <w:rFonts w:ascii="Times New Roman" w:hAnsi="Times New Roman" w:cs="Times New Roman"/>
        </w:rPr>
        <w:t>“In a delictual action for malicious prosecution the</w:t>
      </w:r>
      <w:r w:rsidR="001D4849">
        <w:rPr>
          <w:rFonts w:ascii="Times New Roman" w:hAnsi="Times New Roman" w:cs="Times New Roman"/>
        </w:rPr>
        <w:t xml:space="preserve"> following are the requirements:</w:t>
      </w:r>
      <w:r w:rsidR="008B3C82">
        <w:rPr>
          <w:rFonts w:ascii="Times New Roman" w:hAnsi="Times New Roman" w:cs="Times New Roman"/>
        </w:rPr>
        <w:t xml:space="preserve"> </w:t>
      </w:r>
    </w:p>
    <w:p w:rsidR="006D6B50" w:rsidRDefault="006D6B50" w:rsidP="00F31207">
      <w:pPr>
        <w:spacing w:after="0" w:line="240" w:lineRule="auto"/>
        <w:jc w:val="both"/>
        <w:rPr>
          <w:rFonts w:ascii="Times New Roman" w:hAnsi="Times New Roman" w:cs="Times New Roman"/>
        </w:rPr>
      </w:pPr>
      <w:r>
        <w:rPr>
          <w:rFonts w:ascii="Times New Roman" w:hAnsi="Times New Roman" w:cs="Times New Roman"/>
        </w:rPr>
        <w:tab/>
      </w:r>
    </w:p>
    <w:p w:rsidR="006D6B50" w:rsidRDefault="001D4849" w:rsidP="006D6B50">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t</w:t>
      </w:r>
      <w:r w:rsidR="006D6B50">
        <w:rPr>
          <w:rFonts w:ascii="Times New Roman" w:hAnsi="Times New Roman" w:cs="Times New Roman"/>
        </w:rPr>
        <w:t xml:space="preserve">hat </w:t>
      </w:r>
      <w:r>
        <w:rPr>
          <w:rFonts w:ascii="Times New Roman" w:hAnsi="Times New Roman" w:cs="Times New Roman"/>
        </w:rPr>
        <w:t xml:space="preserve">the prosecution was instigated by the defendant </w:t>
      </w:r>
    </w:p>
    <w:p w:rsidR="001D4849" w:rsidRDefault="001D4849" w:rsidP="006D6B50">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 xml:space="preserve">that the matter was finalised in favour of the plaintiff </w:t>
      </w:r>
    </w:p>
    <w:p w:rsidR="00186677" w:rsidRDefault="00186677" w:rsidP="006D6B50">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 xml:space="preserve">that there was no reason or probable cause for the prosecution or continued prosecution, and </w:t>
      </w:r>
    </w:p>
    <w:p w:rsidR="00186677" w:rsidRDefault="00186677" w:rsidP="006D6B50">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that the prosecution or its cont</w:t>
      </w:r>
      <w:r w:rsidR="00924717">
        <w:rPr>
          <w:rFonts w:ascii="Times New Roman" w:hAnsi="Times New Roman" w:cs="Times New Roman"/>
        </w:rPr>
        <w:t>inu</w:t>
      </w:r>
      <w:r>
        <w:rPr>
          <w:rFonts w:ascii="Times New Roman" w:hAnsi="Times New Roman" w:cs="Times New Roman"/>
        </w:rPr>
        <w:t xml:space="preserve">ation was actuated by malice on the part of the defendant.” </w:t>
      </w:r>
    </w:p>
    <w:p w:rsidR="00186677" w:rsidRDefault="00186677" w:rsidP="00186677">
      <w:pPr>
        <w:spacing w:after="0" w:line="240" w:lineRule="auto"/>
        <w:ind w:left="720"/>
        <w:jc w:val="both"/>
        <w:rPr>
          <w:rFonts w:ascii="Times New Roman" w:hAnsi="Times New Roman" w:cs="Times New Roman"/>
        </w:rPr>
      </w:pPr>
    </w:p>
    <w:p w:rsidR="00186677" w:rsidRDefault="00186677" w:rsidP="00186677">
      <w:pPr>
        <w:spacing w:after="0" w:line="360" w:lineRule="auto"/>
        <w:ind w:left="720"/>
        <w:jc w:val="both"/>
        <w:rPr>
          <w:rFonts w:ascii="Times New Roman" w:hAnsi="Times New Roman" w:cs="Times New Roman"/>
          <w:sz w:val="24"/>
        </w:rPr>
      </w:pPr>
      <w:r w:rsidRPr="00186677">
        <w:rPr>
          <w:rFonts w:ascii="Times New Roman" w:hAnsi="Times New Roman" w:cs="Times New Roman"/>
          <w:sz w:val="24"/>
        </w:rPr>
        <w:t xml:space="preserve">It was further held </w:t>
      </w:r>
      <w:r w:rsidR="00F32468">
        <w:rPr>
          <w:rFonts w:ascii="Times New Roman" w:hAnsi="Times New Roman" w:cs="Times New Roman"/>
          <w:sz w:val="24"/>
        </w:rPr>
        <w:t>in</w:t>
      </w:r>
      <w:r w:rsidRPr="00186677">
        <w:rPr>
          <w:rFonts w:ascii="Times New Roman" w:hAnsi="Times New Roman" w:cs="Times New Roman"/>
          <w:sz w:val="24"/>
        </w:rPr>
        <w:t xml:space="preserve"> the same case that: </w:t>
      </w:r>
    </w:p>
    <w:p w:rsidR="00186677" w:rsidRDefault="007722F4" w:rsidP="007722F4">
      <w:pPr>
        <w:spacing w:after="0" w:line="240" w:lineRule="auto"/>
        <w:ind w:left="720"/>
        <w:jc w:val="both"/>
        <w:rPr>
          <w:rFonts w:ascii="Times New Roman" w:hAnsi="Times New Roman" w:cs="Times New Roman"/>
        </w:rPr>
      </w:pPr>
      <w:r w:rsidRPr="007722F4">
        <w:rPr>
          <w:rFonts w:ascii="Times New Roman" w:hAnsi="Times New Roman" w:cs="Times New Roman"/>
        </w:rPr>
        <w:t>“</w:t>
      </w:r>
      <w:r w:rsidR="001900C3">
        <w:rPr>
          <w:rFonts w:ascii="Times New Roman" w:hAnsi="Times New Roman" w:cs="Times New Roman"/>
        </w:rPr>
        <w:t>That</w:t>
      </w:r>
      <w:r>
        <w:rPr>
          <w:rFonts w:ascii="Times New Roman" w:hAnsi="Times New Roman" w:cs="Times New Roman"/>
        </w:rPr>
        <w:t xml:space="preserve"> instigating proceedings means setting the law</w:t>
      </w:r>
      <w:r w:rsidR="00774861">
        <w:rPr>
          <w:rFonts w:ascii="Times New Roman" w:hAnsi="Times New Roman" w:cs="Times New Roman"/>
        </w:rPr>
        <w:t xml:space="preserve"> in motion against the plaintiff</w:t>
      </w:r>
      <w:r w:rsidR="00842EB4">
        <w:rPr>
          <w:rFonts w:ascii="Times New Roman" w:hAnsi="Times New Roman" w:cs="Times New Roman"/>
        </w:rPr>
        <w:t xml:space="preserve">. </w:t>
      </w:r>
      <w:r w:rsidR="00415F24">
        <w:rPr>
          <w:rFonts w:ascii="Times New Roman" w:hAnsi="Times New Roman" w:cs="Times New Roman"/>
        </w:rPr>
        <w:t xml:space="preserve">The plaintiff is then </w:t>
      </w:r>
      <w:r w:rsidR="00301A41">
        <w:rPr>
          <w:rFonts w:ascii="Times New Roman" w:hAnsi="Times New Roman" w:cs="Times New Roman"/>
        </w:rPr>
        <w:t xml:space="preserve">entitled to sue for the infringement of his liberty if the arrest was unlawful. The plaintiff must show that the defendant did more than just give a candid account to the police or other agents of the law. </w:t>
      </w:r>
      <w:r w:rsidR="003D1FB6">
        <w:rPr>
          <w:rFonts w:ascii="Times New Roman" w:hAnsi="Times New Roman" w:cs="Times New Roman"/>
        </w:rPr>
        <w:t>The defendant only becomes liable if besides giving information, he proceeds to lay a charge. That amounts to active instigation of proceedings which cannot be</w:t>
      </w:r>
      <w:r w:rsidR="00BD042C">
        <w:rPr>
          <w:rFonts w:ascii="Times New Roman" w:hAnsi="Times New Roman" w:cs="Times New Roman"/>
        </w:rPr>
        <w:t xml:space="preserve"> shrugged off by alleging that the prosecution was at the discretion of</w:t>
      </w:r>
      <w:r w:rsidR="00B60D3F">
        <w:rPr>
          <w:rFonts w:ascii="Times New Roman" w:hAnsi="Times New Roman" w:cs="Times New Roman"/>
        </w:rPr>
        <w:t xml:space="preserve"> the public authority before whom</w:t>
      </w:r>
      <w:r w:rsidR="00BD042C">
        <w:rPr>
          <w:rFonts w:ascii="Times New Roman" w:hAnsi="Times New Roman" w:cs="Times New Roman"/>
        </w:rPr>
        <w:t xml:space="preserve"> information is placed.” </w:t>
      </w:r>
      <w:r w:rsidR="003D1FB6">
        <w:rPr>
          <w:rFonts w:ascii="Times New Roman" w:hAnsi="Times New Roman" w:cs="Times New Roman"/>
        </w:rPr>
        <w:t xml:space="preserve">  </w:t>
      </w:r>
      <w:r w:rsidR="00224975">
        <w:rPr>
          <w:rFonts w:ascii="Times New Roman" w:hAnsi="Times New Roman" w:cs="Times New Roman"/>
        </w:rPr>
        <w:t xml:space="preserve"> </w:t>
      </w:r>
    </w:p>
    <w:p w:rsidR="00367E1C" w:rsidRDefault="00367E1C" w:rsidP="004D3DC1">
      <w:pPr>
        <w:spacing w:after="0" w:line="240" w:lineRule="auto"/>
        <w:jc w:val="both"/>
        <w:rPr>
          <w:rFonts w:ascii="Times New Roman" w:hAnsi="Times New Roman" w:cs="Times New Roman"/>
        </w:rPr>
      </w:pPr>
    </w:p>
    <w:p w:rsidR="00C6276C" w:rsidRDefault="00A14E9A" w:rsidP="004D3DC1">
      <w:pPr>
        <w:spacing w:after="0" w:line="360" w:lineRule="auto"/>
        <w:jc w:val="both"/>
        <w:rPr>
          <w:rFonts w:ascii="Times New Roman" w:hAnsi="Times New Roman" w:cs="Times New Roman"/>
          <w:sz w:val="24"/>
        </w:rPr>
      </w:pPr>
      <w:r>
        <w:rPr>
          <w:rFonts w:ascii="Times New Roman" w:hAnsi="Times New Roman" w:cs="Times New Roman"/>
          <w:sz w:val="24"/>
        </w:rPr>
        <w:tab/>
        <w:t>An acquittal of an accused person by the magistrate court has no binding effect on the High Court in a subsequent civil trial for malicious prosecution.</w:t>
      </w:r>
    </w:p>
    <w:p w:rsidR="004D3DC1" w:rsidRDefault="00C6276C" w:rsidP="004D3DC1">
      <w:pPr>
        <w:spacing w:after="0" w:line="360" w:lineRule="auto"/>
        <w:jc w:val="both"/>
        <w:rPr>
          <w:rFonts w:ascii="Times New Roman" w:hAnsi="Times New Roman" w:cs="Times New Roman"/>
          <w:sz w:val="24"/>
        </w:rPr>
      </w:pPr>
      <w:r>
        <w:rPr>
          <w:rFonts w:ascii="Times New Roman" w:hAnsi="Times New Roman" w:cs="Times New Roman"/>
          <w:sz w:val="24"/>
        </w:rPr>
        <w:tab/>
        <w:t xml:space="preserve">In the matter of </w:t>
      </w:r>
      <w:r>
        <w:rPr>
          <w:rFonts w:ascii="Times New Roman" w:hAnsi="Times New Roman" w:cs="Times New Roman"/>
          <w:i/>
          <w:sz w:val="24"/>
        </w:rPr>
        <w:t xml:space="preserve">Nherera </w:t>
      </w:r>
      <w:r>
        <w:rPr>
          <w:rFonts w:ascii="Times New Roman" w:hAnsi="Times New Roman" w:cs="Times New Roman"/>
          <w:sz w:val="24"/>
        </w:rPr>
        <w:t>v</w:t>
      </w:r>
      <w:r>
        <w:rPr>
          <w:rFonts w:ascii="Times New Roman" w:hAnsi="Times New Roman" w:cs="Times New Roman"/>
          <w:i/>
          <w:sz w:val="24"/>
        </w:rPr>
        <w:t xml:space="preserve"> Shah</w:t>
      </w:r>
      <w:r>
        <w:rPr>
          <w:rStyle w:val="FootnoteReference"/>
          <w:rFonts w:ascii="Times New Roman" w:hAnsi="Times New Roman" w:cs="Times New Roman"/>
          <w:i/>
          <w:sz w:val="24"/>
        </w:rPr>
        <w:footnoteReference w:id="4"/>
      </w:r>
      <w:r w:rsidR="00A14E9A">
        <w:rPr>
          <w:rFonts w:ascii="Times New Roman" w:hAnsi="Times New Roman" w:cs="Times New Roman"/>
          <w:sz w:val="24"/>
        </w:rPr>
        <w:t xml:space="preserve"> </w:t>
      </w:r>
      <w:r w:rsidR="008B1403">
        <w:rPr>
          <w:rFonts w:ascii="Times New Roman" w:hAnsi="Times New Roman" w:cs="Times New Roman"/>
          <w:sz w:val="24"/>
        </w:rPr>
        <w:t xml:space="preserve">citing the case of </w:t>
      </w:r>
      <w:r w:rsidR="008B1403">
        <w:rPr>
          <w:rFonts w:ascii="Times New Roman" w:hAnsi="Times New Roman" w:cs="Times New Roman"/>
          <w:i/>
          <w:sz w:val="24"/>
        </w:rPr>
        <w:t>Econet Wireless</w:t>
      </w:r>
      <w:r w:rsidR="008B1403">
        <w:rPr>
          <w:rFonts w:ascii="Times New Roman" w:hAnsi="Times New Roman" w:cs="Times New Roman"/>
          <w:sz w:val="24"/>
        </w:rPr>
        <w:t xml:space="preserve">, </w:t>
      </w:r>
      <w:r w:rsidR="008B1403" w:rsidRPr="008B1403">
        <w:rPr>
          <w:rFonts w:ascii="Times New Roman" w:hAnsi="Times New Roman" w:cs="Times New Roman"/>
          <w:smallCaps/>
          <w:sz w:val="24"/>
        </w:rPr>
        <w:t>Malaba</w:t>
      </w:r>
      <w:r w:rsidR="008B1403">
        <w:rPr>
          <w:rFonts w:ascii="Times New Roman" w:hAnsi="Times New Roman" w:cs="Times New Roman"/>
          <w:sz w:val="24"/>
        </w:rPr>
        <w:t xml:space="preserve"> DCJ (as he then was)</w:t>
      </w:r>
      <w:r w:rsidR="00E3246F">
        <w:rPr>
          <w:rFonts w:ascii="Times New Roman" w:hAnsi="Times New Roman" w:cs="Times New Roman"/>
          <w:sz w:val="24"/>
        </w:rPr>
        <w:t xml:space="preserve"> said: </w:t>
      </w:r>
    </w:p>
    <w:p w:rsidR="00025F30" w:rsidRDefault="002C3A00" w:rsidP="002C3A00">
      <w:pPr>
        <w:spacing w:after="0" w:line="240" w:lineRule="auto"/>
        <w:ind w:left="720"/>
        <w:jc w:val="both"/>
        <w:rPr>
          <w:rFonts w:ascii="Times New Roman" w:hAnsi="Times New Roman" w:cs="Times New Roman"/>
        </w:rPr>
      </w:pPr>
      <w:r>
        <w:rPr>
          <w:rFonts w:ascii="Times New Roman" w:hAnsi="Times New Roman" w:cs="Times New Roman"/>
        </w:rPr>
        <w:t xml:space="preserve">“The phrase “reasonable and probable cause of a prosecution” refers to an honest belief in the guilt of the accused based on a full conviction, founded upon reasonable grounds of the existence of a state of the circumstances which assuming then to be true would reasonably lead any ordinary prudent and cautious man, placed in the position of the accuser, to </w:t>
      </w:r>
      <w:r w:rsidR="000E4DAC">
        <w:rPr>
          <w:rFonts w:ascii="Times New Roman" w:hAnsi="Times New Roman" w:cs="Times New Roman"/>
        </w:rPr>
        <w:t>the conclusion that the person charged was probably guilty of the crime imputed.</w:t>
      </w:r>
      <w:r w:rsidR="00343EFD">
        <w:rPr>
          <w:rFonts w:ascii="Times New Roman" w:hAnsi="Times New Roman" w:cs="Times New Roman"/>
        </w:rPr>
        <w:t xml:space="preserve"> Whether the arresting detail had reasonable suspicion of commission of an offence by a suspect is a question of fact. The test for determining the existence of reasonable suspicion is an objective one. Once a defendant has established reasonable cause for the </w:t>
      </w:r>
      <w:r w:rsidR="008917F1">
        <w:rPr>
          <w:rFonts w:ascii="Times New Roman" w:hAnsi="Times New Roman" w:cs="Times New Roman"/>
        </w:rPr>
        <w:t>arrest,</w:t>
      </w:r>
      <w:r w:rsidR="002E6494">
        <w:rPr>
          <w:rFonts w:ascii="Times New Roman" w:hAnsi="Times New Roman" w:cs="Times New Roman"/>
        </w:rPr>
        <w:t xml:space="preserve"> there ceases </w:t>
      </w:r>
      <w:r w:rsidR="00343EFD">
        <w:rPr>
          <w:rFonts w:ascii="Times New Roman" w:hAnsi="Times New Roman" w:cs="Times New Roman"/>
        </w:rPr>
        <w:t xml:space="preserve">to </w:t>
      </w:r>
      <w:r w:rsidR="008917F1">
        <w:rPr>
          <w:rFonts w:ascii="Times New Roman" w:hAnsi="Times New Roman" w:cs="Times New Roman"/>
        </w:rPr>
        <w:t>be malice</w:t>
      </w:r>
      <w:r w:rsidR="00343EFD">
        <w:rPr>
          <w:rFonts w:ascii="Times New Roman" w:hAnsi="Times New Roman" w:cs="Times New Roman"/>
        </w:rPr>
        <w:t xml:space="preserve"> on the part of the defendant. The lack of reasonable and </w:t>
      </w:r>
      <w:r w:rsidR="008917F1">
        <w:rPr>
          <w:rFonts w:ascii="Times New Roman" w:hAnsi="Times New Roman" w:cs="Times New Roman"/>
        </w:rPr>
        <w:t>probable</w:t>
      </w:r>
      <w:r w:rsidR="00343EFD">
        <w:rPr>
          <w:rFonts w:ascii="Times New Roman" w:hAnsi="Times New Roman" w:cs="Times New Roman"/>
        </w:rPr>
        <w:t xml:space="preserve"> cause can be </w:t>
      </w:r>
      <w:r w:rsidR="008917F1">
        <w:rPr>
          <w:rFonts w:ascii="Times New Roman" w:hAnsi="Times New Roman" w:cs="Times New Roman"/>
        </w:rPr>
        <w:t>interpreted</w:t>
      </w:r>
      <w:r w:rsidR="00343EFD">
        <w:rPr>
          <w:rFonts w:ascii="Times New Roman" w:hAnsi="Times New Roman" w:cs="Times New Roman"/>
        </w:rPr>
        <w:t xml:space="preserve"> </w:t>
      </w:r>
      <w:r w:rsidR="000B0B39">
        <w:rPr>
          <w:rFonts w:ascii="Times New Roman" w:hAnsi="Times New Roman" w:cs="Times New Roman"/>
        </w:rPr>
        <w:t xml:space="preserve">to mean that the plaintiff was not at fault.” </w:t>
      </w:r>
    </w:p>
    <w:p w:rsidR="009275CB" w:rsidRDefault="009275CB" w:rsidP="002C3A00">
      <w:pPr>
        <w:spacing w:after="0" w:line="240" w:lineRule="auto"/>
        <w:ind w:left="720"/>
        <w:jc w:val="both"/>
        <w:rPr>
          <w:rFonts w:ascii="Times New Roman" w:hAnsi="Times New Roman" w:cs="Times New Roman"/>
        </w:rPr>
      </w:pPr>
    </w:p>
    <w:p w:rsidR="00025F30" w:rsidRDefault="00025F30" w:rsidP="00025F30">
      <w:pPr>
        <w:spacing w:after="0" w:line="240" w:lineRule="auto"/>
        <w:jc w:val="both"/>
        <w:rPr>
          <w:rFonts w:ascii="Times New Roman" w:hAnsi="Times New Roman" w:cs="Times New Roman"/>
        </w:rPr>
      </w:pPr>
    </w:p>
    <w:p w:rsidR="00E3246F" w:rsidRDefault="009275CB" w:rsidP="00025F30">
      <w:pPr>
        <w:spacing w:after="0" w:line="360" w:lineRule="auto"/>
        <w:jc w:val="both"/>
        <w:rPr>
          <w:rFonts w:ascii="Times New Roman" w:hAnsi="Times New Roman" w:cs="Times New Roman"/>
          <w:u w:val="single"/>
        </w:rPr>
      </w:pPr>
      <w:r w:rsidRPr="009275CB">
        <w:rPr>
          <w:rFonts w:ascii="Times New Roman" w:hAnsi="Times New Roman" w:cs="Times New Roman"/>
          <w:sz w:val="24"/>
          <w:u w:val="single"/>
        </w:rPr>
        <w:t>Application of the law to the facts</w:t>
      </w:r>
      <w:r w:rsidR="00343EFD" w:rsidRPr="009275CB">
        <w:rPr>
          <w:rFonts w:ascii="Times New Roman" w:hAnsi="Times New Roman" w:cs="Times New Roman"/>
          <w:u w:val="single"/>
        </w:rPr>
        <w:t xml:space="preserve"> </w:t>
      </w:r>
      <w:r w:rsidR="002C3A00" w:rsidRPr="009275CB">
        <w:rPr>
          <w:rFonts w:ascii="Times New Roman" w:hAnsi="Times New Roman" w:cs="Times New Roman"/>
          <w:u w:val="single"/>
        </w:rPr>
        <w:t xml:space="preserve"> </w:t>
      </w:r>
    </w:p>
    <w:p w:rsidR="00412FF0" w:rsidRDefault="005C5082" w:rsidP="00412FF0">
      <w:pPr>
        <w:spacing w:after="0" w:line="360" w:lineRule="auto"/>
        <w:jc w:val="both"/>
        <w:rPr>
          <w:rFonts w:ascii="Times New Roman" w:hAnsi="Times New Roman" w:cs="Times New Roman"/>
          <w:sz w:val="24"/>
          <w:szCs w:val="24"/>
        </w:rPr>
      </w:pPr>
      <w:r>
        <w:rPr>
          <w:rFonts w:ascii="Times New Roman" w:hAnsi="Times New Roman" w:cs="Times New Roman"/>
        </w:rPr>
        <w:lastRenderedPageBreak/>
        <w:tab/>
      </w:r>
      <w:r w:rsidR="00282FEE">
        <w:rPr>
          <w:rFonts w:ascii="Times New Roman" w:hAnsi="Times New Roman" w:cs="Times New Roman"/>
        </w:rPr>
        <w:t>Facts summarised by the state leading to the prosecution of all plaintiffs indicate that on 8 October 2018 a colleague</w:t>
      </w:r>
      <w:r w:rsidR="00266FF2">
        <w:rPr>
          <w:rFonts w:ascii="Times New Roman" w:hAnsi="Times New Roman" w:cs="Times New Roman"/>
        </w:rPr>
        <w:t xml:space="preserve"> of the plaintiffs Tenison</w:t>
      </w:r>
      <w:r w:rsidR="008963D6">
        <w:rPr>
          <w:rFonts w:ascii="Times New Roman" w:hAnsi="Times New Roman" w:cs="Times New Roman"/>
        </w:rPr>
        <w:t xml:space="preserve"> Muchafa </w:t>
      </w:r>
      <w:r w:rsidR="00556272">
        <w:rPr>
          <w:rFonts w:ascii="Times New Roman" w:hAnsi="Times New Roman" w:cs="Times New Roman"/>
        </w:rPr>
        <w:t xml:space="preserve">made a written notification to the police seeking permission to hold a demonstration march from ZCTU offices along Jameson Street along Railway Street. Hebert Chitepo Street then proceeded to Government Complex situated along Robert Mugabe Road where they intended to hand over a worker’s petition to the Resident Minister for Manicaland province. On 10 October 2018 Police Regulating Authority turned </w:t>
      </w:r>
      <w:r w:rsidR="00412FF0">
        <w:rPr>
          <w:rFonts w:ascii="Times New Roman" w:hAnsi="Times New Roman" w:cs="Times New Roman"/>
          <w:sz w:val="24"/>
          <w:szCs w:val="24"/>
        </w:rPr>
        <w:t>down the notification and plaintiffs were notified. On 11 October 2018 police learnt about plaintiff’s gathering, they proceeded to ZCTU offices and found a group of workers, plaintiffs among them holding placards and singing denouncing a recently introduced government monetary policy. In actual fact the plaintiffs regardless of being denied the opportunity to demonstrate wanted to proceed with the intended march, according to the police then proceeded to arrest and detain twenty (20) employees, nineteen of whom are the plaintiffs. All the nineteen plaintiffs were charged of contravening s 37 (2)(a)(i) of the Criminal Law (Codification and Reform) Act [</w:t>
      </w:r>
      <w:r w:rsidR="00412FF0">
        <w:rPr>
          <w:rFonts w:ascii="Times New Roman" w:hAnsi="Times New Roman" w:cs="Times New Roman"/>
          <w:i/>
          <w:sz w:val="24"/>
          <w:szCs w:val="24"/>
        </w:rPr>
        <w:t>Chapter 9:23</w:t>
      </w:r>
      <w:r w:rsidR="00412FF0">
        <w:rPr>
          <w:rFonts w:ascii="Times New Roman" w:hAnsi="Times New Roman" w:cs="Times New Roman"/>
          <w:sz w:val="24"/>
          <w:szCs w:val="24"/>
        </w:rPr>
        <w:t xml:space="preserve">] that is acting together with the intention of forcibly disturbing peace, security or order of public or any section of the public. Alternatively all nineteen plaintiffs were charged with contravening s 46 (2)(f) of the same Criminal Law code that is all nineteen acting in common purpose blocked or obstructed the free passage along Jameson Street </w:t>
      </w:r>
      <w:r w:rsidR="000402A1">
        <w:rPr>
          <w:rFonts w:ascii="Times New Roman" w:hAnsi="Times New Roman" w:cs="Times New Roman"/>
          <w:sz w:val="24"/>
          <w:szCs w:val="24"/>
        </w:rPr>
        <w:t xml:space="preserve">while intending to carry out a street </w:t>
      </w:r>
      <w:r w:rsidR="00412FF0">
        <w:rPr>
          <w:rFonts w:ascii="Times New Roman" w:hAnsi="Times New Roman" w:cs="Times New Roman"/>
          <w:sz w:val="24"/>
          <w:szCs w:val="24"/>
        </w:rPr>
        <w:t>demonstration.</w:t>
      </w:r>
    </w:p>
    <w:p w:rsidR="00412FF0" w:rsidRDefault="00412FF0" w:rsidP="00412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All plaintiffs admit being at ZCTU offices at the time, so gathering is apparently not in dispute. All plaintiffs were arrested “</w:t>
      </w:r>
      <w:r w:rsidRPr="005267C8">
        <w:rPr>
          <w:rFonts w:ascii="Times New Roman" w:hAnsi="Times New Roman" w:cs="Times New Roman"/>
          <w:i/>
          <w:sz w:val="24"/>
          <w:szCs w:val="24"/>
        </w:rPr>
        <w:t>Whilst going about their business and neither had the intention to commit any criminal offence</w:t>
      </w:r>
      <w:r>
        <w:rPr>
          <w:rFonts w:ascii="Times New Roman" w:hAnsi="Times New Roman" w:cs="Times New Roman"/>
          <w:sz w:val="24"/>
          <w:szCs w:val="24"/>
        </w:rPr>
        <w:t xml:space="preserve">”. It is not clear from the pleadings what business plaintiffs were doing. It is upon these facts that the court has </w:t>
      </w:r>
      <w:r w:rsidR="00A01E65">
        <w:rPr>
          <w:rFonts w:ascii="Times New Roman" w:hAnsi="Times New Roman" w:cs="Times New Roman"/>
          <w:sz w:val="24"/>
          <w:szCs w:val="24"/>
        </w:rPr>
        <w:t xml:space="preserve">to </w:t>
      </w:r>
      <w:r>
        <w:rPr>
          <w:rFonts w:ascii="Times New Roman" w:hAnsi="Times New Roman" w:cs="Times New Roman"/>
          <w:sz w:val="24"/>
          <w:szCs w:val="24"/>
        </w:rPr>
        <w:t>decide whether or not the arrest and detention of the plaintiffs was unlawful and whether the subsequent prosecution was malicious.</w:t>
      </w:r>
    </w:p>
    <w:p w:rsidR="00412FF0" w:rsidRDefault="00412FF0" w:rsidP="00412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appears from the colour of pleadings and evidence placed before the count most facts are not in dispute. Prior to 11 October 2018 plaintiffs had sought police approval to hold a demonstration. The police did not approve of it and plaintiffs were appraised of same. On 11 October 2018 all plaintiffs in the company of others assembled at the Z</w:t>
      </w:r>
      <w:r w:rsidR="00F77AB2">
        <w:rPr>
          <w:rFonts w:ascii="Times New Roman" w:hAnsi="Times New Roman" w:cs="Times New Roman"/>
          <w:sz w:val="24"/>
          <w:szCs w:val="24"/>
        </w:rPr>
        <w:t>CTU offices. That is when</w:t>
      </w:r>
      <w:r>
        <w:rPr>
          <w:rFonts w:ascii="Times New Roman" w:hAnsi="Times New Roman" w:cs="Times New Roman"/>
          <w:sz w:val="24"/>
          <w:szCs w:val="24"/>
        </w:rPr>
        <w:t xml:space="preserve"> they were taken to court for initial appearance and released on bail. In 2020 they were all acquitted and they resolved to sue the defendants. These are facts that were never disputed and from these facts plaintiffs allege unlawful arrest and malicious prosecution. The parties at a joint pre-trial conference agreed to place the burden of proof on the plaintiffs on all aspects.</w:t>
      </w:r>
    </w:p>
    <w:p w:rsidR="00412FF0" w:rsidRDefault="00412FF0" w:rsidP="00412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Third defendant was then the District Commanding officer for Mutare whom plaintiffs alleged instigated their arrest. She did not physically arrest any of the plaintiffs, she did not detain any of the plaintiffs, nor did she testify during Criminal proceedings, her contribution is presumably lying as ordering police details to arrest plaintiffs’ no such evidence was adduced by the </w:t>
      </w:r>
      <w:r w:rsidR="003A1BBE">
        <w:rPr>
          <w:rFonts w:ascii="Times New Roman" w:hAnsi="Times New Roman" w:cs="Times New Roman"/>
          <w:sz w:val="24"/>
          <w:szCs w:val="24"/>
        </w:rPr>
        <w:t>plaintiffs</w:t>
      </w:r>
      <w:r w:rsidR="003A1BBE" w:rsidRPr="003A1BBE">
        <w:rPr>
          <w:rFonts w:ascii="Times New Roman" w:hAnsi="Times New Roman" w:cs="Times New Roman"/>
          <w:sz w:val="24"/>
          <w:szCs w:val="24"/>
        </w:rPr>
        <w:t xml:space="preserve"> </w:t>
      </w:r>
      <w:r w:rsidR="003A1BBE">
        <w:rPr>
          <w:rFonts w:ascii="Times New Roman" w:hAnsi="Times New Roman" w:cs="Times New Roman"/>
          <w:sz w:val="24"/>
          <w:szCs w:val="24"/>
        </w:rPr>
        <w:t xml:space="preserve">serve to rely on proceedings of the Criminal Court. </w:t>
      </w:r>
      <w:r>
        <w:rPr>
          <w:rFonts w:ascii="Times New Roman" w:hAnsi="Times New Roman" w:cs="Times New Roman"/>
          <w:sz w:val="24"/>
          <w:szCs w:val="24"/>
        </w:rPr>
        <w:t>No police detail c</w:t>
      </w:r>
      <w:r w:rsidR="00562D70">
        <w:rPr>
          <w:rFonts w:ascii="Times New Roman" w:hAnsi="Times New Roman" w:cs="Times New Roman"/>
          <w:sz w:val="24"/>
          <w:szCs w:val="24"/>
        </w:rPr>
        <w:t>a</w:t>
      </w:r>
      <w:r>
        <w:rPr>
          <w:rFonts w:ascii="Times New Roman" w:hAnsi="Times New Roman" w:cs="Times New Roman"/>
          <w:sz w:val="24"/>
          <w:szCs w:val="24"/>
        </w:rPr>
        <w:t>me before the court to state that. The role of third defendant largely depends on what plaintiffs perceive to be what could have happened leading to their arrest. That to me is not enough. Third defendant must be proved to have been the cog or live wire right from the start in order to g</w:t>
      </w:r>
      <w:r w:rsidR="00EA3FFE">
        <w:rPr>
          <w:rFonts w:ascii="Times New Roman" w:hAnsi="Times New Roman" w:cs="Times New Roman"/>
          <w:sz w:val="24"/>
          <w:szCs w:val="24"/>
        </w:rPr>
        <w:t>a</w:t>
      </w:r>
      <w:r>
        <w:rPr>
          <w:rFonts w:ascii="Times New Roman" w:hAnsi="Times New Roman" w:cs="Times New Roman"/>
          <w:sz w:val="24"/>
          <w:szCs w:val="24"/>
        </w:rPr>
        <w:t>uge her liability. It was not enough for plaintiffs to rely from what police witnesses told the trial magistrate</w:t>
      </w:r>
      <w:r w:rsidR="00562D70">
        <w:rPr>
          <w:rFonts w:ascii="Times New Roman" w:hAnsi="Times New Roman" w:cs="Times New Roman"/>
          <w:sz w:val="24"/>
          <w:szCs w:val="24"/>
        </w:rPr>
        <w:t xml:space="preserve"> as to who gave police orders t</w:t>
      </w:r>
      <w:r>
        <w:rPr>
          <w:rFonts w:ascii="Times New Roman" w:hAnsi="Times New Roman" w:cs="Times New Roman"/>
          <w:sz w:val="24"/>
          <w:szCs w:val="24"/>
        </w:rPr>
        <w:t>o arrest the plaintiffs. The plaintiffs also come short of explaining the reason behind third defendant’s conduct. What drove her to maliciously instigate the prosecution. I am aware that the term “</w:t>
      </w:r>
      <w:r w:rsidRPr="005B04E7">
        <w:rPr>
          <w:rFonts w:ascii="Times New Roman" w:hAnsi="Times New Roman" w:cs="Times New Roman"/>
          <w:i/>
          <w:sz w:val="24"/>
          <w:szCs w:val="24"/>
        </w:rPr>
        <w:t>malice</w:t>
      </w:r>
      <w:r>
        <w:rPr>
          <w:rFonts w:ascii="Times New Roman" w:hAnsi="Times New Roman" w:cs="Times New Roman"/>
          <w:sz w:val="24"/>
          <w:szCs w:val="24"/>
        </w:rPr>
        <w:t>” does not mean “</w:t>
      </w:r>
      <w:r w:rsidRPr="005B04E7">
        <w:rPr>
          <w:rFonts w:ascii="Times New Roman" w:hAnsi="Times New Roman" w:cs="Times New Roman"/>
          <w:i/>
          <w:sz w:val="24"/>
          <w:szCs w:val="24"/>
        </w:rPr>
        <w:t>spite</w:t>
      </w:r>
      <w:r>
        <w:rPr>
          <w:rFonts w:ascii="Times New Roman" w:hAnsi="Times New Roman" w:cs="Times New Roman"/>
          <w:sz w:val="24"/>
          <w:szCs w:val="24"/>
        </w:rPr>
        <w:t>” or “ill will” or “</w:t>
      </w:r>
      <w:r w:rsidRPr="005B04E7">
        <w:rPr>
          <w:rFonts w:ascii="Times New Roman" w:hAnsi="Times New Roman" w:cs="Times New Roman"/>
          <w:i/>
          <w:sz w:val="24"/>
          <w:szCs w:val="24"/>
        </w:rPr>
        <w:t xml:space="preserve">a </w:t>
      </w:r>
      <w:r w:rsidR="00562D70" w:rsidRPr="005B04E7">
        <w:rPr>
          <w:rFonts w:ascii="Times New Roman" w:hAnsi="Times New Roman" w:cs="Times New Roman"/>
          <w:i/>
          <w:sz w:val="24"/>
          <w:szCs w:val="24"/>
        </w:rPr>
        <w:t>spirit</w:t>
      </w:r>
      <w:r w:rsidRPr="005B04E7">
        <w:rPr>
          <w:rFonts w:ascii="Times New Roman" w:hAnsi="Times New Roman" w:cs="Times New Roman"/>
          <w:i/>
          <w:sz w:val="24"/>
          <w:szCs w:val="24"/>
        </w:rPr>
        <w:t xml:space="preserve"> of negligence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But such evidence greatly assist the court to interpret a defendants conduct more so where defendant pleads acting in tandem with her duties as a police officer, what else other than maintaining law and order did third defendant aim to achieve so as to “fix” the pl</w:t>
      </w:r>
      <w:r w:rsidR="004D2AC1">
        <w:rPr>
          <w:rFonts w:ascii="Times New Roman" w:hAnsi="Times New Roman" w:cs="Times New Roman"/>
          <w:sz w:val="24"/>
          <w:szCs w:val="24"/>
        </w:rPr>
        <w:t>aintiff s</w:t>
      </w:r>
      <w:r>
        <w:rPr>
          <w:rFonts w:ascii="Times New Roman" w:hAnsi="Times New Roman" w:cs="Times New Roman"/>
          <w:sz w:val="24"/>
          <w:szCs w:val="24"/>
        </w:rPr>
        <w:t>o to speak? Where a defendant in the shoes of third defendant pleads as her sole ground for acting in the manner complained of that is maintaining law and order or enhancing rule of law by a police detail, plaintiff must for further to prove that a defendant has other ultra-motives to behave in</w:t>
      </w:r>
      <w:r w:rsidR="001A3E5B">
        <w:rPr>
          <w:rFonts w:ascii="Times New Roman" w:hAnsi="Times New Roman" w:cs="Times New Roman"/>
          <w:sz w:val="24"/>
          <w:szCs w:val="24"/>
        </w:rPr>
        <w:t xml:space="preserve"> the way complained of</w:t>
      </w:r>
      <w:r>
        <w:rPr>
          <w:rFonts w:ascii="Times New Roman" w:hAnsi="Times New Roman" w:cs="Times New Roman"/>
          <w:sz w:val="24"/>
          <w:szCs w:val="24"/>
        </w:rPr>
        <w:t xml:space="preserve"> that ought to be pleaded and proved in court.</w:t>
      </w:r>
    </w:p>
    <w:p w:rsidR="00412FF0" w:rsidRDefault="00412FF0" w:rsidP="00412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F96718">
        <w:rPr>
          <w:rFonts w:ascii="Times New Roman" w:hAnsi="Times New Roman" w:cs="Times New Roman"/>
          <w:sz w:val="24"/>
          <w:szCs w:val="24"/>
        </w:rPr>
        <w:t xml:space="preserve">alleged </w:t>
      </w:r>
      <w:r>
        <w:rPr>
          <w:rFonts w:ascii="Times New Roman" w:hAnsi="Times New Roman" w:cs="Times New Roman"/>
          <w:sz w:val="24"/>
          <w:szCs w:val="24"/>
        </w:rPr>
        <w:t>participation of third defendant is one from behind the scenes. The arresting details were not cited by the plaintiffs, the one who warned and charged the plaintiffs remains anonymous. It is necessary that their evidence is vital moreso to check whether any of these police details advised third defendant as to</w:t>
      </w:r>
      <w:r w:rsidR="00E16866">
        <w:rPr>
          <w:rFonts w:ascii="Times New Roman" w:hAnsi="Times New Roman" w:cs="Times New Roman"/>
          <w:sz w:val="24"/>
          <w:szCs w:val="24"/>
        </w:rPr>
        <w:t xml:space="preserve"> the nature of the allegations</w:t>
      </w:r>
      <w:r>
        <w:rPr>
          <w:rFonts w:ascii="Times New Roman" w:hAnsi="Times New Roman" w:cs="Times New Roman"/>
          <w:sz w:val="24"/>
          <w:szCs w:val="24"/>
        </w:rPr>
        <w:t xml:space="preserve"> view of not pursuing the matter any further. The plaintiffs did not challenge their placement on remand in 2018 and waited till the date of acquittal to know their fate. In reality the plaintiffs themselves believed that there were reasonable and probable cause for their prosecution. They pleaded to the charges and proffered defence</w:t>
      </w:r>
      <w:r w:rsidR="00EF6838">
        <w:rPr>
          <w:rFonts w:ascii="Times New Roman" w:hAnsi="Times New Roman" w:cs="Times New Roman"/>
          <w:sz w:val="24"/>
          <w:szCs w:val="24"/>
        </w:rPr>
        <w:t>s</w:t>
      </w:r>
      <w:r>
        <w:rPr>
          <w:rFonts w:ascii="Times New Roman" w:hAnsi="Times New Roman" w:cs="Times New Roman"/>
          <w:sz w:val="24"/>
          <w:szCs w:val="24"/>
        </w:rPr>
        <w:t xml:space="preserve"> to them. They were only acquitted at the close of the state case. The prosecution as well as the trial court believed that there were reasonable grounds to prosecute the plaintiffs and plaintiffs acquiesced up to the stage of their acquittal. To me plaintiffs should have set the law into motion right from the date of initial appearance before a judicial officer. They did nothing.</w:t>
      </w:r>
    </w:p>
    <w:p w:rsidR="00412FF0" w:rsidRDefault="00412FF0" w:rsidP="00412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Plaintiffs also failed to lead evidence to explain the purpose of their gathering on 11 October 2018. What was their “</w:t>
      </w:r>
      <w:r w:rsidRPr="005B04E7">
        <w:rPr>
          <w:rFonts w:ascii="Times New Roman" w:hAnsi="Times New Roman" w:cs="Times New Roman"/>
          <w:i/>
          <w:sz w:val="24"/>
          <w:szCs w:val="24"/>
        </w:rPr>
        <w:t>daily usual business</w:t>
      </w:r>
      <w:r>
        <w:rPr>
          <w:rFonts w:ascii="Times New Roman" w:hAnsi="Times New Roman" w:cs="Times New Roman"/>
          <w:sz w:val="24"/>
          <w:szCs w:val="24"/>
        </w:rPr>
        <w:t>” they were doing? Do they daily assemble, sing and hold placards? I am satisfied that a reasonable and alert police detail ought to have reacted to such a conduct of plaintiffs and enquire the cause for such a gathering singing obviously and naturally attracts public attention and disturbs peace. I have come to a conclusion that police were within their mandate to arrest and detain all the plaintiffs. Law and Order Department chose an appropriate charge to be preferred against the plaintiffs and referred them for prosecution. I am not convinced that plaintiffs were unlawfully detained at the instructions of the third defendant.</w:t>
      </w:r>
    </w:p>
    <w:p w:rsidR="00412FF0" w:rsidRDefault="00412FF0" w:rsidP="00412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examined both the facts of the matter, evidence adduced </w:t>
      </w:r>
      <w:r w:rsidR="00D53DCE">
        <w:rPr>
          <w:rFonts w:ascii="Times New Roman" w:hAnsi="Times New Roman" w:cs="Times New Roman"/>
          <w:sz w:val="24"/>
          <w:szCs w:val="24"/>
        </w:rPr>
        <w:t xml:space="preserve">and the law I am constrained to conclude </w:t>
      </w:r>
      <w:r>
        <w:rPr>
          <w:rFonts w:ascii="Times New Roman" w:hAnsi="Times New Roman" w:cs="Times New Roman"/>
          <w:sz w:val="24"/>
          <w:szCs w:val="24"/>
        </w:rPr>
        <w:t>that the plaintiffs have managed to prove that the prosecution or its cont</w:t>
      </w:r>
      <w:r w:rsidR="004F601A">
        <w:rPr>
          <w:rFonts w:ascii="Times New Roman" w:hAnsi="Times New Roman" w:cs="Times New Roman"/>
          <w:sz w:val="24"/>
          <w:szCs w:val="24"/>
        </w:rPr>
        <w:t>inua</w:t>
      </w:r>
      <w:r>
        <w:rPr>
          <w:rFonts w:ascii="Times New Roman" w:hAnsi="Times New Roman" w:cs="Times New Roman"/>
          <w:sz w:val="24"/>
          <w:szCs w:val="24"/>
        </w:rPr>
        <w:t xml:space="preserve">tion for two years was activated by malice on the part of third defendant. It is not clear from the proceedings why she </w:t>
      </w:r>
      <w:r w:rsidR="001735F3">
        <w:rPr>
          <w:rFonts w:ascii="Times New Roman" w:hAnsi="Times New Roman" w:cs="Times New Roman"/>
          <w:sz w:val="24"/>
          <w:szCs w:val="24"/>
        </w:rPr>
        <w:t>was</w:t>
      </w:r>
      <w:r>
        <w:rPr>
          <w:rFonts w:ascii="Times New Roman" w:hAnsi="Times New Roman" w:cs="Times New Roman"/>
          <w:sz w:val="24"/>
          <w:szCs w:val="24"/>
        </w:rPr>
        <w:t xml:space="preserve"> cited by the plaintiffs. An acquittal of an accused by a criminal court does not accord an aggrieved plaintiff to an automatic entitlement for delictual damages, plaintiff must prove its case on a balance of probabilities in order to succeed. Third defendant is </w:t>
      </w:r>
      <w:r w:rsidR="00DF6354">
        <w:rPr>
          <w:rFonts w:ascii="Times New Roman" w:hAnsi="Times New Roman" w:cs="Times New Roman"/>
          <w:sz w:val="24"/>
          <w:szCs w:val="24"/>
        </w:rPr>
        <w:t xml:space="preserve">delictually liable </w:t>
      </w:r>
      <w:r>
        <w:rPr>
          <w:rFonts w:ascii="Times New Roman" w:hAnsi="Times New Roman" w:cs="Times New Roman"/>
          <w:sz w:val="24"/>
          <w:szCs w:val="24"/>
        </w:rPr>
        <w:t>for malicious prosecution nor unlawful arrest and detention.</w:t>
      </w:r>
    </w:p>
    <w:p w:rsidR="00412FF0" w:rsidRDefault="00412FF0" w:rsidP="00412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come to the conclusion </w:t>
      </w:r>
      <w:r w:rsidRPr="00412FF0">
        <w:rPr>
          <w:rFonts w:ascii="Times New Roman" w:hAnsi="Times New Roman" w:cs="Times New Roman"/>
          <w:i/>
          <w:sz w:val="24"/>
          <w:szCs w:val="24"/>
        </w:rPr>
        <w:t>visa a vis</w:t>
      </w:r>
      <w:r>
        <w:rPr>
          <w:rFonts w:ascii="Times New Roman" w:hAnsi="Times New Roman" w:cs="Times New Roman"/>
          <w:sz w:val="24"/>
          <w:szCs w:val="24"/>
        </w:rPr>
        <w:t xml:space="preserve"> third defendant</w:t>
      </w:r>
      <w:r w:rsidR="00926B4B">
        <w:rPr>
          <w:rFonts w:ascii="Times New Roman" w:hAnsi="Times New Roman" w:cs="Times New Roman"/>
          <w:sz w:val="24"/>
          <w:szCs w:val="24"/>
        </w:rPr>
        <w:t>’s liability</w:t>
      </w:r>
      <w:r>
        <w:rPr>
          <w:rFonts w:ascii="Times New Roman" w:hAnsi="Times New Roman" w:cs="Times New Roman"/>
          <w:sz w:val="24"/>
          <w:szCs w:val="24"/>
        </w:rPr>
        <w:t>, it equally means first and second defendant are not vic</w:t>
      </w:r>
      <w:r w:rsidR="00240CA4">
        <w:rPr>
          <w:rFonts w:ascii="Times New Roman" w:hAnsi="Times New Roman" w:cs="Times New Roman"/>
          <w:sz w:val="24"/>
          <w:szCs w:val="24"/>
        </w:rPr>
        <w:t>ari</w:t>
      </w:r>
      <w:r>
        <w:rPr>
          <w:rFonts w:ascii="Times New Roman" w:hAnsi="Times New Roman" w:cs="Times New Roman"/>
          <w:sz w:val="24"/>
          <w:szCs w:val="24"/>
        </w:rPr>
        <w:t>ously liable.</w:t>
      </w:r>
    </w:p>
    <w:p w:rsidR="00240CA4" w:rsidRDefault="00412FF0" w:rsidP="00412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12FF0" w:rsidRDefault="00412FF0" w:rsidP="00240C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accordingly ordered as follows:</w:t>
      </w:r>
    </w:p>
    <w:p w:rsidR="00412FF0" w:rsidRDefault="00412FF0" w:rsidP="00412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Plaintiff’s claim</w:t>
      </w:r>
      <w:r w:rsidR="00517776">
        <w:rPr>
          <w:rFonts w:ascii="Times New Roman" w:hAnsi="Times New Roman" w:cs="Times New Roman"/>
          <w:sz w:val="24"/>
          <w:szCs w:val="24"/>
        </w:rPr>
        <w:t>s</w:t>
      </w:r>
      <w:r>
        <w:rPr>
          <w:rFonts w:ascii="Times New Roman" w:hAnsi="Times New Roman" w:cs="Times New Roman"/>
          <w:sz w:val="24"/>
          <w:szCs w:val="24"/>
        </w:rPr>
        <w:t xml:space="preserve"> are dismissed with costs.</w:t>
      </w:r>
    </w:p>
    <w:p w:rsidR="00412FF0" w:rsidRDefault="00412FF0" w:rsidP="00412FF0">
      <w:pPr>
        <w:spacing w:line="360" w:lineRule="auto"/>
        <w:jc w:val="both"/>
        <w:rPr>
          <w:rFonts w:ascii="Times New Roman" w:hAnsi="Times New Roman" w:cs="Times New Roman"/>
          <w:sz w:val="24"/>
          <w:szCs w:val="24"/>
        </w:rPr>
      </w:pPr>
    </w:p>
    <w:p w:rsidR="00412FF0" w:rsidRDefault="00412FF0" w:rsidP="00412FF0">
      <w:pPr>
        <w:spacing w:line="360" w:lineRule="auto"/>
        <w:jc w:val="both"/>
        <w:rPr>
          <w:rFonts w:ascii="Times New Roman" w:hAnsi="Times New Roman" w:cs="Times New Roman"/>
          <w:sz w:val="24"/>
          <w:szCs w:val="24"/>
        </w:rPr>
      </w:pPr>
    </w:p>
    <w:p w:rsidR="00412FF0" w:rsidRDefault="00412FF0" w:rsidP="00412FF0">
      <w:pPr>
        <w:spacing w:line="360" w:lineRule="auto"/>
        <w:jc w:val="both"/>
        <w:rPr>
          <w:rFonts w:ascii="Times New Roman" w:hAnsi="Times New Roman" w:cs="Times New Roman"/>
          <w:sz w:val="24"/>
          <w:szCs w:val="24"/>
        </w:rPr>
      </w:pPr>
    </w:p>
    <w:p w:rsidR="00412FF0" w:rsidRDefault="00412FF0" w:rsidP="00412FF0">
      <w:pPr>
        <w:spacing w:line="360" w:lineRule="auto"/>
        <w:jc w:val="both"/>
        <w:rPr>
          <w:rFonts w:ascii="Times New Roman" w:hAnsi="Times New Roman" w:cs="Times New Roman"/>
          <w:sz w:val="24"/>
          <w:szCs w:val="24"/>
        </w:rPr>
      </w:pPr>
    </w:p>
    <w:p w:rsidR="00412FF0" w:rsidRDefault="00412FF0" w:rsidP="00412FF0">
      <w:pPr>
        <w:spacing w:after="0" w:line="240" w:lineRule="auto"/>
        <w:jc w:val="both"/>
        <w:rPr>
          <w:rFonts w:ascii="Times New Roman" w:hAnsi="Times New Roman" w:cs="Times New Roman"/>
          <w:sz w:val="24"/>
          <w:szCs w:val="24"/>
        </w:rPr>
      </w:pPr>
      <w:r w:rsidRPr="00412FF0">
        <w:rPr>
          <w:rFonts w:ascii="Times New Roman" w:hAnsi="Times New Roman" w:cs="Times New Roman"/>
          <w:i/>
          <w:sz w:val="24"/>
          <w:szCs w:val="24"/>
        </w:rPr>
        <w:t>Maunga Maanda &amp; Associates</w:t>
      </w:r>
      <w:r>
        <w:rPr>
          <w:rFonts w:ascii="Times New Roman" w:hAnsi="Times New Roman" w:cs="Times New Roman"/>
          <w:sz w:val="24"/>
          <w:szCs w:val="24"/>
        </w:rPr>
        <w:t>, Plaintiffs Legal Practitioners.</w:t>
      </w:r>
    </w:p>
    <w:p w:rsidR="00412FF0" w:rsidRPr="00412FF0" w:rsidRDefault="00412FF0" w:rsidP="00412F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1500">
        <w:rPr>
          <w:rFonts w:ascii="Times New Roman" w:hAnsi="Times New Roman" w:cs="Times New Roman"/>
          <w:i/>
          <w:sz w:val="24"/>
          <w:szCs w:val="24"/>
        </w:rPr>
        <w:t>National</w:t>
      </w:r>
      <w:r>
        <w:rPr>
          <w:rFonts w:ascii="Times New Roman" w:hAnsi="Times New Roman" w:cs="Times New Roman"/>
          <w:i/>
          <w:sz w:val="24"/>
          <w:szCs w:val="24"/>
        </w:rPr>
        <w:t xml:space="preserve"> Prosecuting Authority</w:t>
      </w:r>
      <w:r>
        <w:rPr>
          <w:rFonts w:ascii="Times New Roman" w:hAnsi="Times New Roman" w:cs="Times New Roman"/>
          <w:sz w:val="24"/>
          <w:szCs w:val="24"/>
        </w:rPr>
        <w:t xml:space="preserve">, Defendant’s legal practitioners </w:t>
      </w:r>
    </w:p>
    <w:p w:rsidR="00412FF0" w:rsidRPr="007B5663" w:rsidRDefault="00412FF0" w:rsidP="00412FF0">
      <w:pPr>
        <w:spacing w:line="360" w:lineRule="auto"/>
        <w:jc w:val="both"/>
        <w:rPr>
          <w:rFonts w:ascii="Times New Roman" w:hAnsi="Times New Roman" w:cs="Times New Roman"/>
          <w:sz w:val="24"/>
          <w:szCs w:val="24"/>
        </w:rPr>
      </w:pPr>
    </w:p>
    <w:p w:rsidR="005C5082" w:rsidRPr="005C5082" w:rsidRDefault="008963D6" w:rsidP="00025F30">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82FEE">
        <w:rPr>
          <w:rFonts w:ascii="Times New Roman" w:hAnsi="Times New Roman" w:cs="Times New Roman"/>
        </w:rPr>
        <w:t xml:space="preserve"> </w:t>
      </w:r>
    </w:p>
    <w:sectPr w:rsidR="005C5082" w:rsidRPr="005C508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DEA" w:rsidRDefault="00F14DEA" w:rsidP="007461D8">
      <w:pPr>
        <w:spacing w:after="0" w:line="240" w:lineRule="auto"/>
      </w:pPr>
      <w:r>
        <w:separator/>
      </w:r>
    </w:p>
  </w:endnote>
  <w:endnote w:type="continuationSeparator" w:id="0">
    <w:p w:rsidR="00F14DEA" w:rsidRDefault="00F14DEA" w:rsidP="0074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DEA" w:rsidRDefault="00F14DEA" w:rsidP="007461D8">
      <w:pPr>
        <w:spacing w:after="0" w:line="240" w:lineRule="auto"/>
      </w:pPr>
      <w:r>
        <w:separator/>
      </w:r>
    </w:p>
  </w:footnote>
  <w:footnote w:type="continuationSeparator" w:id="0">
    <w:p w:rsidR="00F14DEA" w:rsidRDefault="00F14DEA" w:rsidP="007461D8">
      <w:pPr>
        <w:spacing w:after="0" w:line="240" w:lineRule="auto"/>
      </w:pPr>
      <w:r>
        <w:continuationSeparator/>
      </w:r>
    </w:p>
  </w:footnote>
  <w:footnote w:id="1">
    <w:p w:rsidR="001E72F0" w:rsidRDefault="001E72F0">
      <w:pPr>
        <w:pStyle w:val="FootnoteText"/>
      </w:pPr>
      <w:r>
        <w:rPr>
          <w:rStyle w:val="FootnoteReference"/>
        </w:rPr>
        <w:footnoteRef/>
      </w:r>
      <w:r>
        <w:t xml:space="preserve"> 2018 (1) ZLR 279 (H) per Dube J </w:t>
      </w:r>
      <w:r w:rsidR="001D0E7D">
        <w:t>(</w:t>
      </w:r>
      <w:r>
        <w:t>as she then was)</w:t>
      </w:r>
    </w:p>
  </w:footnote>
  <w:footnote w:id="2">
    <w:p w:rsidR="000B1EF0" w:rsidRDefault="000B1EF0">
      <w:pPr>
        <w:pStyle w:val="FootnoteText"/>
      </w:pPr>
      <w:r>
        <w:rPr>
          <w:rStyle w:val="FootnoteReference"/>
        </w:rPr>
        <w:footnoteRef/>
      </w:r>
      <w:r>
        <w:t xml:space="preserve"> 2018 (1) ZLR</w:t>
      </w:r>
      <w:r w:rsidR="005926F7">
        <w:t xml:space="preserve"> 287</w:t>
      </w:r>
      <w:r>
        <w:t xml:space="preserve"> (H) per Dube J </w:t>
      </w:r>
      <w:r w:rsidR="005926F7">
        <w:t>(as she then was)</w:t>
      </w:r>
    </w:p>
  </w:footnote>
  <w:footnote w:id="3">
    <w:p w:rsidR="00877ADA" w:rsidRPr="00877ADA" w:rsidRDefault="00877ADA">
      <w:pPr>
        <w:pStyle w:val="FootnoteText"/>
      </w:pPr>
      <w:r>
        <w:rPr>
          <w:rStyle w:val="FootnoteReference"/>
        </w:rPr>
        <w:footnoteRef/>
      </w:r>
      <w:r>
        <w:t xml:space="preserve"> (</w:t>
      </w:r>
      <w:r>
        <w:rPr>
          <w:i/>
        </w:rPr>
        <w:t>supra</w:t>
      </w:r>
      <w:r>
        <w:t>)</w:t>
      </w:r>
    </w:p>
  </w:footnote>
  <w:footnote w:id="4">
    <w:p w:rsidR="00C6276C" w:rsidRDefault="00C6276C">
      <w:pPr>
        <w:pStyle w:val="FootnoteText"/>
      </w:pPr>
      <w:r>
        <w:rPr>
          <w:rStyle w:val="FootnoteReference"/>
        </w:rPr>
        <w:footnoteRef/>
      </w:r>
      <w:r>
        <w:t xml:space="preserve"> 2015 (2) ZLR 455(H) at p</w:t>
      </w:r>
      <w:r w:rsidR="000D797B">
        <w:t xml:space="preserve"> </w:t>
      </w:r>
      <w:r>
        <w:t>409</w:t>
      </w:r>
    </w:p>
  </w:footnote>
  <w:footnote w:id="5">
    <w:p w:rsidR="00412FF0" w:rsidRDefault="00412FF0" w:rsidP="00412FF0">
      <w:pPr>
        <w:pStyle w:val="FootnoteText"/>
      </w:pPr>
      <w:r>
        <w:rPr>
          <w:rStyle w:val="FootnoteReference"/>
        </w:rPr>
        <w:footnoteRef/>
      </w:r>
      <w:r>
        <w:t xml:space="preserve"> See </w:t>
      </w:r>
      <w:r w:rsidRPr="00EB7F92">
        <w:rPr>
          <w:i/>
        </w:rPr>
        <w:t>Bande</w:t>
      </w:r>
      <w:r>
        <w:t xml:space="preserve"> v </w:t>
      </w:r>
      <w:r w:rsidRPr="00EB7F92">
        <w:rPr>
          <w:i/>
        </w:rPr>
        <w:t>Machingura</w:t>
      </w:r>
      <w:r>
        <w:t xml:space="preserve"> (</w:t>
      </w:r>
      <w:r w:rsidRPr="00EB7F92">
        <w:rPr>
          <w:i/>
        </w:rPr>
        <w:t>supra</w:t>
      </w:r>
      <w:r>
        <w:t xml:space="preserve">) cited in </w:t>
      </w:r>
      <w:r w:rsidRPr="00EB7F92">
        <w:rPr>
          <w:i/>
        </w:rPr>
        <w:t>Banda and others</w:t>
      </w:r>
      <w:r>
        <w:t xml:space="preserve"> (</w:t>
      </w:r>
      <w:r w:rsidRPr="00EB7F92">
        <w:rPr>
          <w:i/>
        </w:rPr>
        <w:t>Supra</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509013"/>
      <w:docPartObj>
        <w:docPartGallery w:val="Page Numbers (Top of Page)"/>
        <w:docPartUnique/>
      </w:docPartObj>
    </w:sdtPr>
    <w:sdtEndPr>
      <w:rPr>
        <w:noProof/>
      </w:rPr>
    </w:sdtEndPr>
    <w:sdtContent>
      <w:p w:rsidR="00DA34C2" w:rsidRDefault="00DA34C2">
        <w:pPr>
          <w:pStyle w:val="Header"/>
          <w:jc w:val="right"/>
          <w:rPr>
            <w:noProof/>
          </w:rPr>
        </w:pPr>
        <w:r>
          <w:fldChar w:fldCharType="begin"/>
        </w:r>
        <w:r>
          <w:instrText xml:space="preserve"> PAGE   \* MERGEFORMAT </w:instrText>
        </w:r>
        <w:r>
          <w:fldChar w:fldCharType="separate"/>
        </w:r>
        <w:r w:rsidR="00964EDB">
          <w:rPr>
            <w:noProof/>
          </w:rPr>
          <w:t>1</w:t>
        </w:r>
        <w:r>
          <w:rPr>
            <w:noProof/>
          </w:rPr>
          <w:fldChar w:fldCharType="end"/>
        </w:r>
      </w:p>
      <w:p w:rsidR="000200D5" w:rsidRDefault="000200D5">
        <w:pPr>
          <w:pStyle w:val="Header"/>
          <w:jc w:val="right"/>
          <w:rPr>
            <w:noProof/>
          </w:rPr>
        </w:pPr>
        <w:r>
          <w:rPr>
            <w:noProof/>
          </w:rPr>
          <w:t>HMT</w:t>
        </w:r>
        <w:r w:rsidR="00457F6B">
          <w:rPr>
            <w:noProof/>
          </w:rPr>
          <w:t xml:space="preserve"> </w:t>
        </w:r>
        <w:r w:rsidR="00D0387A">
          <w:rPr>
            <w:noProof/>
          </w:rPr>
          <w:t>19</w:t>
        </w:r>
        <w:r w:rsidR="00457F6B">
          <w:rPr>
            <w:noProof/>
          </w:rPr>
          <w:t>-</w:t>
        </w:r>
        <w:r w:rsidR="00455EBA">
          <w:rPr>
            <w:noProof/>
          </w:rPr>
          <w:t>22</w:t>
        </w:r>
      </w:p>
      <w:p w:rsidR="00DA34C2" w:rsidRDefault="00457F6B">
        <w:pPr>
          <w:pStyle w:val="Header"/>
          <w:jc w:val="right"/>
        </w:pPr>
        <w:r>
          <w:rPr>
            <w:noProof/>
          </w:rPr>
          <w:t>HC 123/21</w:t>
        </w:r>
      </w:p>
    </w:sdtContent>
  </w:sdt>
  <w:p w:rsidR="00DA34C2" w:rsidRDefault="00DA34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C7C50"/>
    <w:multiLevelType w:val="hybridMultilevel"/>
    <w:tmpl w:val="DE8C5D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77206C"/>
    <w:multiLevelType w:val="hybridMultilevel"/>
    <w:tmpl w:val="07FA579C"/>
    <w:lvl w:ilvl="0" w:tplc="BE622E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E816EE7"/>
    <w:multiLevelType w:val="hybridMultilevel"/>
    <w:tmpl w:val="C6844798"/>
    <w:lvl w:ilvl="0" w:tplc="3009000F">
      <w:start w:val="1"/>
      <w:numFmt w:val="decimal"/>
      <w:lvlText w:val="%1."/>
      <w:lvlJc w:val="left"/>
      <w:pPr>
        <w:ind w:left="1680" w:hanging="360"/>
      </w:pPr>
    </w:lvl>
    <w:lvl w:ilvl="1" w:tplc="30090019" w:tentative="1">
      <w:start w:val="1"/>
      <w:numFmt w:val="lowerLetter"/>
      <w:lvlText w:val="%2."/>
      <w:lvlJc w:val="left"/>
      <w:pPr>
        <w:ind w:left="2400" w:hanging="360"/>
      </w:pPr>
    </w:lvl>
    <w:lvl w:ilvl="2" w:tplc="3009001B" w:tentative="1">
      <w:start w:val="1"/>
      <w:numFmt w:val="lowerRoman"/>
      <w:lvlText w:val="%3."/>
      <w:lvlJc w:val="right"/>
      <w:pPr>
        <w:ind w:left="3120" w:hanging="180"/>
      </w:pPr>
    </w:lvl>
    <w:lvl w:ilvl="3" w:tplc="3009000F" w:tentative="1">
      <w:start w:val="1"/>
      <w:numFmt w:val="decimal"/>
      <w:lvlText w:val="%4."/>
      <w:lvlJc w:val="left"/>
      <w:pPr>
        <w:ind w:left="3840" w:hanging="360"/>
      </w:pPr>
    </w:lvl>
    <w:lvl w:ilvl="4" w:tplc="30090019" w:tentative="1">
      <w:start w:val="1"/>
      <w:numFmt w:val="lowerLetter"/>
      <w:lvlText w:val="%5."/>
      <w:lvlJc w:val="left"/>
      <w:pPr>
        <w:ind w:left="4560" w:hanging="360"/>
      </w:pPr>
    </w:lvl>
    <w:lvl w:ilvl="5" w:tplc="3009001B" w:tentative="1">
      <w:start w:val="1"/>
      <w:numFmt w:val="lowerRoman"/>
      <w:lvlText w:val="%6."/>
      <w:lvlJc w:val="right"/>
      <w:pPr>
        <w:ind w:left="5280" w:hanging="180"/>
      </w:pPr>
    </w:lvl>
    <w:lvl w:ilvl="6" w:tplc="3009000F" w:tentative="1">
      <w:start w:val="1"/>
      <w:numFmt w:val="decimal"/>
      <w:lvlText w:val="%7."/>
      <w:lvlJc w:val="left"/>
      <w:pPr>
        <w:ind w:left="6000" w:hanging="360"/>
      </w:pPr>
    </w:lvl>
    <w:lvl w:ilvl="7" w:tplc="30090019" w:tentative="1">
      <w:start w:val="1"/>
      <w:numFmt w:val="lowerLetter"/>
      <w:lvlText w:val="%8."/>
      <w:lvlJc w:val="left"/>
      <w:pPr>
        <w:ind w:left="6720" w:hanging="360"/>
      </w:pPr>
    </w:lvl>
    <w:lvl w:ilvl="8" w:tplc="3009001B" w:tentative="1">
      <w:start w:val="1"/>
      <w:numFmt w:val="lowerRoman"/>
      <w:lvlText w:val="%9."/>
      <w:lvlJc w:val="right"/>
      <w:pPr>
        <w:ind w:left="7440" w:hanging="180"/>
      </w:pPr>
    </w:lvl>
  </w:abstractNum>
  <w:abstractNum w:abstractNumId="3" w15:restartNumberingAfterBreak="0">
    <w:nsid w:val="235530D3"/>
    <w:multiLevelType w:val="hybridMultilevel"/>
    <w:tmpl w:val="937465B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B052D12"/>
    <w:multiLevelType w:val="hybridMultilevel"/>
    <w:tmpl w:val="EF5A1660"/>
    <w:lvl w:ilvl="0" w:tplc="31642C82">
      <w:start w:val="1"/>
      <w:numFmt w:val="upperLetter"/>
      <w:lvlText w:val="%1."/>
      <w:lvlJc w:val="left"/>
      <w:pPr>
        <w:ind w:left="1200" w:hanging="360"/>
      </w:pPr>
      <w:rPr>
        <w:rFonts w:hint="default"/>
      </w:rPr>
    </w:lvl>
    <w:lvl w:ilvl="1" w:tplc="30090019" w:tentative="1">
      <w:start w:val="1"/>
      <w:numFmt w:val="lowerLetter"/>
      <w:lvlText w:val="%2."/>
      <w:lvlJc w:val="left"/>
      <w:pPr>
        <w:ind w:left="1920" w:hanging="360"/>
      </w:pPr>
    </w:lvl>
    <w:lvl w:ilvl="2" w:tplc="3009001B" w:tentative="1">
      <w:start w:val="1"/>
      <w:numFmt w:val="lowerRoman"/>
      <w:lvlText w:val="%3."/>
      <w:lvlJc w:val="right"/>
      <w:pPr>
        <w:ind w:left="2640" w:hanging="180"/>
      </w:pPr>
    </w:lvl>
    <w:lvl w:ilvl="3" w:tplc="3009000F" w:tentative="1">
      <w:start w:val="1"/>
      <w:numFmt w:val="decimal"/>
      <w:lvlText w:val="%4."/>
      <w:lvlJc w:val="left"/>
      <w:pPr>
        <w:ind w:left="3360" w:hanging="360"/>
      </w:pPr>
    </w:lvl>
    <w:lvl w:ilvl="4" w:tplc="30090019" w:tentative="1">
      <w:start w:val="1"/>
      <w:numFmt w:val="lowerLetter"/>
      <w:lvlText w:val="%5."/>
      <w:lvlJc w:val="left"/>
      <w:pPr>
        <w:ind w:left="4080" w:hanging="360"/>
      </w:pPr>
    </w:lvl>
    <w:lvl w:ilvl="5" w:tplc="3009001B" w:tentative="1">
      <w:start w:val="1"/>
      <w:numFmt w:val="lowerRoman"/>
      <w:lvlText w:val="%6."/>
      <w:lvlJc w:val="right"/>
      <w:pPr>
        <w:ind w:left="4800" w:hanging="180"/>
      </w:pPr>
    </w:lvl>
    <w:lvl w:ilvl="6" w:tplc="3009000F" w:tentative="1">
      <w:start w:val="1"/>
      <w:numFmt w:val="decimal"/>
      <w:lvlText w:val="%7."/>
      <w:lvlJc w:val="left"/>
      <w:pPr>
        <w:ind w:left="5520" w:hanging="360"/>
      </w:pPr>
    </w:lvl>
    <w:lvl w:ilvl="7" w:tplc="30090019" w:tentative="1">
      <w:start w:val="1"/>
      <w:numFmt w:val="lowerLetter"/>
      <w:lvlText w:val="%8."/>
      <w:lvlJc w:val="left"/>
      <w:pPr>
        <w:ind w:left="6240" w:hanging="360"/>
      </w:pPr>
    </w:lvl>
    <w:lvl w:ilvl="8" w:tplc="3009001B" w:tentative="1">
      <w:start w:val="1"/>
      <w:numFmt w:val="lowerRoman"/>
      <w:lvlText w:val="%9."/>
      <w:lvlJc w:val="right"/>
      <w:pPr>
        <w:ind w:left="6960" w:hanging="180"/>
      </w:pPr>
    </w:lvl>
  </w:abstractNum>
  <w:abstractNum w:abstractNumId="5" w15:restartNumberingAfterBreak="0">
    <w:nsid w:val="30643182"/>
    <w:multiLevelType w:val="hybridMultilevel"/>
    <w:tmpl w:val="AFE2EDE0"/>
    <w:lvl w:ilvl="0" w:tplc="4828BE64">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0844D71"/>
    <w:multiLevelType w:val="hybridMultilevel"/>
    <w:tmpl w:val="44480C40"/>
    <w:lvl w:ilvl="0" w:tplc="65E0AEEC">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1917619"/>
    <w:multiLevelType w:val="hybridMultilevel"/>
    <w:tmpl w:val="6012E732"/>
    <w:lvl w:ilvl="0" w:tplc="76B09B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2BD3E9C"/>
    <w:multiLevelType w:val="hybridMultilevel"/>
    <w:tmpl w:val="CAA6E4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6EF2FDF"/>
    <w:multiLevelType w:val="hybridMultilevel"/>
    <w:tmpl w:val="59D846F4"/>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6D5C31C1"/>
    <w:multiLevelType w:val="hybridMultilevel"/>
    <w:tmpl w:val="4DF07130"/>
    <w:lvl w:ilvl="0" w:tplc="EAE2A8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7387EE0"/>
    <w:multiLevelType w:val="hybridMultilevel"/>
    <w:tmpl w:val="56F217C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D76629F"/>
    <w:multiLevelType w:val="hybridMultilevel"/>
    <w:tmpl w:val="D9728C5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FAA7228"/>
    <w:multiLevelType w:val="hybridMultilevel"/>
    <w:tmpl w:val="63E484D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11"/>
  </w:num>
  <w:num w:numId="5">
    <w:abstractNumId w:val="7"/>
  </w:num>
  <w:num w:numId="6">
    <w:abstractNumId w:val="4"/>
  </w:num>
  <w:num w:numId="7">
    <w:abstractNumId w:val="6"/>
  </w:num>
  <w:num w:numId="8">
    <w:abstractNumId w:val="1"/>
  </w:num>
  <w:num w:numId="9">
    <w:abstractNumId w:val="10"/>
  </w:num>
  <w:num w:numId="10">
    <w:abstractNumId w:val="5"/>
  </w:num>
  <w:num w:numId="11">
    <w:abstractNumId w:val="13"/>
  </w:num>
  <w:num w:numId="12">
    <w:abstractNumId w:val="12"/>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2D"/>
    <w:rsid w:val="000071D0"/>
    <w:rsid w:val="00007E1F"/>
    <w:rsid w:val="000157AE"/>
    <w:rsid w:val="000200D5"/>
    <w:rsid w:val="00025F30"/>
    <w:rsid w:val="0003200B"/>
    <w:rsid w:val="00033749"/>
    <w:rsid w:val="00040046"/>
    <w:rsid w:val="000402A1"/>
    <w:rsid w:val="00043E59"/>
    <w:rsid w:val="00050143"/>
    <w:rsid w:val="00051E53"/>
    <w:rsid w:val="00056B90"/>
    <w:rsid w:val="00057D6F"/>
    <w:rsid w:val="0006183B"/>
    <w:rsid w:val="00081FCF"/>
    <w:rsid w:val="00082AD3"/>
    <w:rsid w:val="000974FA"/>
    <w:rsid w:val="000A0AC2"/>
    <w:rsid w:val="000A5A9D"/>
    <w:rsid w:val="000B0B39"/>
    <w:rsid w:val="000B105B"/>
    <w:rsid w:val="000B1EF0"/>
    <w:rsid w:val="000C0B5A"/>
    <w:rsid w:val="000C17F1"/>
    <w:rsid w:val="000D797B"/>
    <w:rsid w:val="000E2D6F"/>
    <w:rsid w:val="000E4DAC"/>
    <w:rsid w:val="000E773E"/>
    <w:rsid w:val="00114BBC"/>
    <w:rsid w:val="001203BF"/>
    <w:rsid w:val="00142B5F"/>
    <w:rsid w:val="001514B2"/>
    <w:rsid w:val="00155DBD"/>
    <w:rsid w:val="00157474"/>
    <w:rsid w:val="0016335F"/>
    <w:rsid w:val="00163642"/>
    <w:rsid w:val="00170C35"/>
    <w:rsid w:val="001735F3"/>
    <w:rsid w:val="00174836"/>
    <w:rsid w:val="00184668"/>
    <w:rsid w:val="00186677"/>
    <w:rsid w:val="001900C3"/>
    <w:rsid w:val="00190272"/>
    <w:rsid w:val="0019165C"/>
    <w:rsid w:val="001A3E5B"/>
    <w:rsid w:val="001B3ACA"/>
    <w:rsid w:val="001C0644"/>
    <w:rsid w:val="001C4AA4"/>
    <w:rsid w:val="001D0E7D"/>
    <w:rsid w:val="001D4849"/>
    <w:rsid w:val="001D6BA6"/>
    <w:rsid w:val="001E6E34"/>
    <w:rsid w:val="001E72F0"/>
    <w:rsid w:val="001F615D"/>
    <w:rsid w:val="00201A53"/>
    <w:rsid w:val="00202B3F"/>
    <w:rsid w:val="002107C5"/>
    <w:rsid w:val="00213E78"/>
    <w:rsid w:val="00216BF3"/>
    <w:rsid w:val="00220589"/>
    <w:rsid w:val="00221718"/>
    <w:rsid w:val="00224975"/>
    <w:rsid w:val="00235858"/>
    <w:rsid w:val="00240CA4"/>
    <w:rsid w:val="00246056"/>
    <w:rsid w:val="00250B35"/>
    <w:rsid w:val="0026039D"/>
    <w:rsid w:val="00265A82"/>
    <w:rsid w:val="00266FF2"/>
    <w:rsid w:val="0027044E"/>
    <w:rsid w:val="00282FEE"/>
    <w:rsid w:val="00284022"/>
    <w:rsid w:val="00286998"/>
    <w:rsid w:val="0029727C"/>
    <w:rsid w:val="002A2AF5"/>
    <w:rsid w:val="002A76E6"/>
    <w:rsid w:val="002C3A00"/>
    <w:rsid w:val="002C45C1"/>
    <w:rsid w:val="002C48BF"/>
    <w:rsid w:val="002C5358"/>
    <w:rsid w:val="002D587B"/>
    <w:rsid w:val="002D6CEE"/>
    <w:rsid w:val="002E3C9B"/>
    <w:rsid w:val="002E6494"/>
    <w:rsid w:val="002F4B5A"/>
    <w:rsid w:val="00301A41"/>
    <w:rsid w:val="00314D52"/>
    <w:rsid w:val="0032302A"/>
    <w:rsid w:val="0032613D"/>
    <w:rsid w:val="003366E9"/>
    <w:rsid w:val="00343EFD"/>
    <w:rsid w:val="0034744A"/>
    <w:rsid w:val="00363C75"/>
    <w:rsid w:val="00365324"/>
    <w:rsid w:val="00367E1C"/>
    <w:rsid w:val="0039753A"/>
    <w:rsid w:val="003A1BBE"/>
    <w:rsid w:val="003B5B3D"/>
    <w:rsid w:val="003D1FB6"/>
    <w:rsid w:val="003E1DA6"/>
    <w:rsid w:val="003F488C"/>
    <w:rsid w:val="00412FF0"/>
    <w:rsid w:val="00415F24"/>
    <w:rsid w:val="0042789C"/>
    <w:rsid w:val="00436EBE"/>
    <w:rsid w:val="0044367A"/>
    <w:rsid w:val="00444895"/>
    <w:rsid w:val="00445E1D"/>
    <w:rsid w:val="00453F18"/>
    <w:rsid w:val="00455EBA"/>
    <w:rsid w:val="00457F6B"/>
    <w:rsid w:val="004600CF"/>
    <w:rsid w:val="0046485E"/>
    <w:rsid w:val="004653C4"/>
    <w:rsid w:val="004655DB"/>
    <w:rsid w:val="00486902"/>
    <w:rsid w:val="00487994"/>
    <w:rsid w:val="004A3E74"/>
    <w:rsid w:val="004A71ED"/>
    <w:rsid w:val="004B28B2"/>
    <w:rsid w:val="004D2AC1"/>
    <w:rsid w:val="004D3DC1"/>
    <w:rsid w:val="004F601A"/>
    <w:rsid w:val="00517776"/>
    <w:rsid w:val="00517B09"/>
    <w:rsid w:val="00517FC0"/>
    <w:rsid w:val="00535EF2"/>
    <w:rsid w:val="0054692F"/>
    <w:rsid w:val="00547B87"/>
    <w:rsid w:val="005513FC"/>
    <w:rsid w:val="00555310"/>
    <w:rsid w:val="00556272"/>
    <w:rsid w:val="00562D70"/>
    <w:rsid w:val="00565704"/>
    <w:rsid w:val="005926F7"/>
    <w:rsid w:val="005A627C"/>
    <w:rsid w:val="005C5082"/>
    <w:rsid w:val="005D4E01"/>
    <w:rsid w:val="005E1AEF"/>
    <w:rsid w:val="005E631B"/>
    <w:rsid w:val="005E6FE4"/>
    <w:rsid w:val="005F773A"/>
    <w:rsid w:val="00604B14"/>
    <w:rsid w:val="0062128B"/>
    <w:rsid w:val="00621330"/>
    <w:rsid w:val="00626EB0"/>
    <w:rsid w:val="00633EBC"/>
    <w:rsid w:val="00635E9C"/>
    <w:rsid w:val="006365EB"/>
    <w:rsid w:val="006372B9"/>
    <w:rsid w:val="00645523"/>
    <w:rsid w:val="00647C95"/>
    <w:rsid w:val="006503D6"/>
    <w:rsid w:val="0067374B"/>
    <w:rsid w:val="006771DE"/>
    <w:rsid w:val="006830FD"/>
    <w:rsid w:val="006929F3"/>
    <w:rsid w:val="006A2BEE"/>
    <w:rsid w:val="006C4B8F"/>
    <w:rsid w:val="006D2245"/>
    <w:rsid w:val="006D6B50"/>
    <w:rsid w:val="006D7F47"/>
    <w:rsid w:val="0070599B"/>
    <w:rsid w:val="00733010"/>
    <w:rsid w:val="00736D80"/>
    <w:rsid w:val="00743403"/>
    <w:rsid w:val="007461D8"/>
    <w:rsid w:val="007722F4"/>
    <w:rsid w:val="007740AF"/>
    <w:rsid w:val="00774861"/>
    <w:rsid w:val="007748D0"/>
    <w:rsid w:val="007751A5"/>
    <w:rsid w:val="00775D55"/>
    <w:rsid w:val="00777E71"/>
    <w:rsid w:val="007872D5"/>
    <w:rsid w:val="00792D53"/>
    <w:rsid w:val="0079360D"/>
    <w:rsid w:val="0079695A"/>
    <w:rsid w:val="007A628A"/>
    <w:rsid w:val="007B3B4B"/>
    <w:rsid w:val="007C3503"/>
    <w:rsid w:val="007F1715"/>
    <w:rsid w:val="007F2879"/>
    <w:rsid w:val="00801F30"/>
    <w:rsid w:val="00816A7D"/>
    <w:rsid w:val="0082440B"/>
    <w:rsid w:val="00824CF2"/>
    <w:rsid w:val="00825D8E"/>
    <w:rsid w:val="00827FD6"/>
    <w:rsid w:val="00832BD8"/>
    <w:rsid w:val="00837315"/>
    <w:rsid w:val="00842EB4"/>
    <w:rsid w:val="0084636F"/>
    <w:rsid w:val="00865E99"/>
    <w:rsid w:val="008744E7"/>
    <w:rsid w:val="00877ADA"/>
    <w:rsid w:val="008819DA"/>
    <w:rsid w:val="00881BE5"/>
    <w:rsid w:val="008917F1"/>
    <w:rsid w:val="00893E2A"/>
    <w:rsid w:val="00896241"/>
    <w:rsid w:val="008963D6"/>
    <w:rsid w:val="008A62F0"/>
    <w:rsid w:val="008B1403"/>
    <w:rsid w:val="008B186D"/>
    <w:rsid w:val="008B3C82"/>
    <w:rsid w:val="008F2B8A"/>
    <w:rsid w:val="008F36BF"/>
    <w:rsid w:val="009055CE"/>
    <w:rsid w:val="00917313"/>
    <w:rsid w:val="00924599"/>
    <w:rsid w:val="00924717"/>
    <w:rsid w:val="00926B4B"/>
    <w:rsid w:val="009275CB"/>
    <w:rsid w:val="0093229A"/>
    <w:rsid w:val="00934027"/>
    <w:rsid w:val="0094651C"/>
    <w:rsid w:val="00953C7A"/>
    <w:rsid w:val="009600D6"/>
    <w:rsid w:val="00964EDB"/>
    <w:rsid w:val="00967702"/>
    <w:rsid w:val="00996656"/>
    <w:rsid w:val="009B1AF1"/>
    <w:rsid w:val="009B210F"/>
    <w:rsid w:val="009B2324"/>
    <w:rsid w:val="009C3270"/>
    <w:rsid w:val="009C51DA"/>
    <w:rsid w:val="009D47AC"/>
    <w:rsid w:val="009E1FAD"/>
    <w:rsid w:val="009E302D"/>
    <w:rsid w:val="00A00852"/>
    <w:rsid w:val="00A01E65"/>
    <w:rsid w:val="00A030F5"/>
    <w:rsid w:val="00A04E84"/>
    <w:rsid w:val="00A14514"/>
    <w:rsid w:val="00A14E9A"/>
    <w:rsid w:val="00A21E8E"/>
    <w:rsid w:val="00A2260A"/>
    <w:rsid w:val="00A23573"/>
    <w:rsid w:val="00A37F1A"/>
    <w:rsid w:val="00A77B5C"/>
    <w:rsid w:val="00A8371A"/>
    <w:rsid w:val="00A97E70"/>
    <w:rsid w:val="00AD1669"/>
    <w:rsid w:val="00AD753B"/>
    <w:rsid w:val="00AE527C"/>
    <w:rsid w:val="00AE6FFF"/>
    <w:rsid w:val="00B074B8"/>
    <w:rsid w:val="00B1403D"/>
    <w:rsid w:val="00B147B2"/>
    <w:rsid w:val="00B159B0"/>
    <w:rsid w:val="00B31FF8"/>
    <w:rsid w:val="00B405D5"/>
    <w:rsid w:val="00B47178"/>
    <w:rsid w:val="00B52AAC"/>
    <w:rsid w:val="00B56648"/>
    <w:rsid w:val="00B56E26"/>
    <w:rsid w:val="00B60D3F"/>
    <w:rsid w:val="00B67879"/>
    <w:rsid w:val="00B82CA3"/>
    <w:rsid w:val="00B8410D"/>
    <w:rsid w:val="00B95821"/>
    <w:rsid w:val="00B95938"/>
    <w:rsid w:val="00BA3FFE"/>
    <w:rsid w:val="00BB36E1"/>
    <w:rsid w:val="00BC4A86"/>
    <w:rsid w:val="00BC574C"/>
    <w:rsid w:val="00BD042C"/>
    <w:rsid w:val="00BE01DB"/>
    <w:rsid w:val="00BE3E5B"/>
    <w:rsid w:val="00BF0FBA"/>
    <w:rsid w:val="00BF5C4B"/>
    <w:rsid w:val="00BF5E6B"/>
    <w:rsid w:val="00C006F6"/>
    <w:rsid w:val="00C04291"/>
    <w:rsid w:val="00C049E7"/>
    <w:rsid w:val="00C04D43"/>
    <w:rsid w:val="00C06E4E"/>
    <w:rsid w:val="00C1797F"/>
    <w:rsid w:val="00C217EC"/>
    <w:rsid w:val="00C42810"/>
    <w:rsid w:val="00C451F4"/>
    <w:rsid w:val="00C50A53"/>
    <w:rsid w:val="00C543A4"/>
    <w:rsid w:val="00C56EE3"/>
    <w:rsid w:val="00C6276C"/>
    <w:rsid w:val="00C66BB4"/>
    <w:rsid w:val="00C70269"/>
    <w:rsid w:val="00C74452"/>
    <w:rsid w:val="00C74B0E"/>
    <w:rsid w:val="00C87465"/>
    <w:rsid w:val="00C94936"/>
    <w:rsid w:val="00C95629"/>
    <w:rsid w:val="00CA10E4"/>
    <w:rsid w:val="00CB7A78"/>
    <w:rsid w:val="00CC7EEA"/>
    <w:rsid w:val="00D0387A"/>
    <w:rsid w:val="00D2659B"/>
    <w:rsid w:val="00D331A5"/>
    <w:rsid w:val="00D43546"/>
    <w:rsid w:val="00D4536D"/>
    <w:rsid w:val="00D53DCE"/>
    <w:rsid w:val="00D558DC"/>
    <w:rsid w:val="00D70FFB"/>
    <w:rsid w:val="00D7542D"/>
    <w:rsid w:val="00D82884"/>
    <w:rsid w:val="00D9099C"/>
    <w:rsid w:val="00DA34C2"/>
    <w:rsid w:val="00DC5A89"/>
    <w:rsid w:val="00DD4D2B"/>
    <w:rsid w:val="00DE7F79"/>
    <w:rsid w:val="00DF6354"/>
    <w:rsid w:val="00DF7EA0"/>
    <w:rsid w:val="00E01DE9"/>
    <w:rsid w:val="00E02CDE"/>
    <w:rsid w:val="00E16866"/>
    <w:rsid w:val="00E261E5"/>
    <w:rsid w:val="00E309EF"/>
    <w:rsid w:val="00E3246F"/>
    <w:rsid w:val="00E44368"/>
    <w:rsid w:val="00E47D05"/>
    <w:rsid w:val="00E55BBF"/>
    <w:rsid w:val="00E55C13"/>
    <w:rsid w:val="00E649C0"/>
    <w:rsid w:val="00E71B87"/>
    <w:rsid w:val="00E842A7"/>
    <w:rsid w:val="00E84DC1"/>
    <w:rsid w:val="00E97302"/>
    <w:rsid w:val="00EA1500"/>
    <w:rsid w:val="00EA3FFE"/>
    <w:rsid w:val="00EB45CD"/>
    <w:rsid w:val="00ED2A73"/>
    <w:rsid w:val="00EE1FD7"/>
    <w:rsid w:val="00EF30F5"/>
    <w:rsid w:val="00EF4149"/>
    <w:rsid w:val="00EF6838"/>
    <w:rsid w:val="00EF70D3"/>
    <w:rsid w:val="00EF76F3"/>
    <w:rsid w:val="00F03B44"/>
    <w:rsid w:val="00F14DEA"/>
    <w:rsid w:val="00F20979"/>
    <w:rsid w:val="00F23080"/>
    <w:rsid w:val="00F31207"/>
    <w:rsid w:val="00F32468"/>
    <w:rsid w:val="00F33975"/>
    <w:rsid w:val="00F42FC3"/>
    <w:rsid w:val="00F77AB2"/>
    <w:rsid w:val="00F821E5"/>
    <w:rsid w:val="00F86565"/>
    <w:rsid w:val="00F96718"/>
    <w:rsid w:val="00FA3634"/>
    <w:rsid w:val="00FD1352"/>
    <w:rsid w:val="00FF20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51761A-EF78-4920-BDB0-EFC61B87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1D8"/>
  </w:style>
  <w:style w:type="paragraph" w:styleId="Footer">
    <w:name w:val="footer"/>
    <w:basedOn w:val="Normal"/>
    <w:link w:val="FooterChar"/>
    <w:uiPriority w:val="99"/>
    <w:unhideWhenUsed/>
    <w:rsid w:val="00746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1D8"/>
  </w:style>
  <w:style w:type="paragraph" w:styleId="ListParagraph">
    <w:name w:val="List Paragraph"/>
    <w:basedOn w:val="Normal"/>
    <w:uiPriority w:val="34"/>
    <w:qFormat/>
    <w:rsid w:val="007872D5"/>
    <w:pPr>
      <w:ind w:left="720"/>
      <w:contextualSpacing/>
    </w:pPr>
  </w:style>
  <w:style w:type="paragraph" w:styleId="FootnoteText">
    <w:name w:val="footnote text"/>
    <w:basedOn w:val="Normal"/>
    <w:link w:val="FootnoteTextChar"/>
    <w:uiPriority w:val="99"/>
    <w:semiHidden/>
    <w:unhideWhenUsed/>
    <w:rsid w:val="00801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F30"/>
    <w:rPr>
      <w:sz w:val="20"/>
      <w:szCs w:val="20"/>
    </w:rPr>
  </w:style>
  <w:style w:type="character" w:styleId="FootnoteReference">
    <w:name w:val="footnote reference"/>
    <w:basedOn w:val="DefaultParagraphFont"/>
    <w:uiPriority w:val="99"/>
    <w:semiHidden/>
    <w:unhideWhenUsed/>
    <w:rsid w:val="00801F30"/>
    <w:rPr>
      <w:vertAlign w:val="superscript"/>
    </w:rPr>
  </w:style>
  <w:style w:type="paragraph" w:styleId="BalloonText">
    <w:name w:val="Balloon Text"/>
    <w:basedOn w:val="Normal"/>
    <w:link w:val="BalloonTextChar"/>
    <w:uiPriority w:val="99"/>
    <w:semiHidden/>
    <w:unhideWhenUsed/>
    <w:rsid w:val="00D33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FFA0A-DDC0-4772-B412-6384FCAAC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2262</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2022-05-18T13:15:00Z</cp:lastPrinted>
  <dcterms:created xsi:type="dcterms:W3CDTF">2022-05-20T08:39:00Z</dcterms:created>
  <dcterms:modified xsi:type="dcterms:W3CDTF">2022-05-20T08:39:00Z</dcterms:modified>
</cp:coreProperties>
</file>