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1D89" w:rsidRPr="00287B9F" w:rsidRDefault="00E51D89" w:rsidP="00E51D89">
      <w:pPr>
        <w:rPr>
          <w:rFonts w:cs="Tahoma"/>
          <w:b/>
          <w:color w:val="auto"/>
          <w:szCs w:val="24"/>
        </w:rPr>
      </w:pPr>
      <w:r w:rsidRPr="00287B9F">
        <w:rPr>
          <w:rFonts w:cs="Tahoma"/>
          <w:b/>
          <w:color w:val="auto"/>
          <w:szCs w:val="24"/>
        </w:rPr>
        <w:t xml:space="preserve">IN THE LABOUR COURT OF ZIMBABWE  </w:t>
      </w:r>
      <w:r w:rsidR="00337837">
        <w:rPr>
          <w:rFonts w:cs="Tahoma"/>
          <w:b/>
          <w:color w:val="auto"/>
          <w:szCs w:val="24"/>
        </w:rPr>
        <w:tab/>
        <w:t xml:space="preserve">  </w:t>
      </w:r>
      <w:r w:rsidRPr="00287B9F">
        <w:rPr>
          <w:rFonts w:cs="Tahoma"/>
          <w:b/>
          <w:color w:val="auto"/>
          <w:szCs w:val="24"/>
        </w:rPr>
        <w:t xml:space="preserve">     </w:t>
      </w:r>
      <w:r w:rsidR="000F30A3">
        <w:rPr>
          <w:rFonts w:cs="Tahoma"/>
          <w:b/>
          <w:color w:val="auto"/>
          <w:szCs w:val="24"/>
        </w:rPr>
        <w:t>JUDGMENT NO LC/H/37/16</w:t>
      </w:r>
      <w:r w:rsidRPr="00287B9F">
        <w:rPr>
          <w:rFonts w:cs="Tahoma"/>
          <w:b/>
          <w:color w:val="auto"/>
          <w:szCs w:val="24"/>
        </w:rPr>
        <w:t xml:space="preserve">             </w:t>
      </w:r>
    </w:p>
    <w:p w:rsidR="00E51D89" w:rsidRDefault="00E51D89" w:rsidP="00E51D89">
      <w:pPr>
        <w:rPr>
          <w:rFonts w:cs="Tahoma"/>
          <w:b/>
          <w:color w:val="auto"/>
          <w:szCs w:val="24"/>
        </w:rPr>
      </w:pPr>
      <w:proofErr w:type="gramStart"/>
      <w:r w:rsidRPr="00287B9F">
        <w:rPr>
          <w:rFonts w:cs="Tahoma"/>
          <w:b/>
          <w:color w:val="auto"/>
          <w:szCs w:val="24"/>
        </w:rPr>
        <w:t xml:space="preserve">HELD AT </w:t>
      </w:r>
      <w:r w:rsidR="003D14D2" w:rsidRPr="00287B9F">
        <w:rPr>
          <w:rFonts w:cs="Tahoma"/>
          <w:b/>
          <w:color w:val="auto"/>
          <w:szCs w:val="24"/>
        </w:rPr>
        <w:t>HARARE ON</w:t>
      </w:r>
      <w:r w:rsidR="00287B9F">
        <w:rPr>
          <w:rFonts w:cs="Tahoma"/>
          <w:b/>
          <w:color w:val="auto"/>
          <w:szCs w:val="24"/>
        </w:rPr>
        <w:t xml:space="preserve"> 15 JANUARY 2015</w:t>
      </w:r>
      <w:r w:rsidR="003D14D2" w:rsidRPr="00287B9F">
        <w:rPr>
          <w:rFonts w:cs="Tahoma"/>
          <w:b/>
          <w:color w:val="auto"/>
          <w:szCs w:val="24"/>
        </w:rPr>
        <w:t xml:space="preserve"> </w:t>
      </w:r>
      <w:r w:rsidR="005C58EB" w:rsidRPr="00287B9F">
        <w:rPr>
          <w:rFonts w:cs="Tahoma"/>
          <w:b/>
          <w:color w:val="auto"/>
          <w:szCs w:val="24"/>
        </w:rPr>
        <w:t xml:space="preserve">  </w:t>
      </w:r>
      <w:r w:rsidR="00F8209B">
        <w:rPr>
          <w:rFonts w:cs="Tahoma"/>
          <w:b/>
          <w:color w:val="auto"/>
          <w:szCs w:val="24"/>
        </w:rPr>
        <w:t xml:space="preserve">      </w:t>
      </w:r>
      <w:r w:rsidRPr="00287B9F">
        <w:rPr>
          <w:rFonts w:cs="Tahoma"/>
          <w:b/>
          <w:color w:val="auto"/>
          <w:szCs w:val="24"/>
        </w:rPr>
        <w:t>CASE NO.</w:t>
      </w:r>
      <w:proofErr w:type="gramEnd"/>
      <w:r w:rsidR="003D14D2" w:rsidRPr="00287B9F">
        <w:rPr>
          <w:rFonts w:cs="Tahoma"/>
          <w:b/>
          <w:color w:val="auto"/>
          <w:szCs w:val="24"/>
        </w:rPr>
        <w:t xml:space="preserve"> </w:t>
      </w:r>
      <w:r w:rsidR="00287B9F">
        <w:rPr>
          <w:rFonts w:cs="Tahoma"/>
          <w:b/>
          <w:color w:val="auto"/>
          <w:szCs w:val="24"/>
        </w:rPr>
        <w:t>LC/REV/H</w:t>
      </w:r>
      <w:r w:rsidR="000F30A3">
        <w:rPr>
          <w:rFonts w:cs="Tahoma"/>
          <w:b/>
          <w:color w:val="auto"/>
          <w:szCs w:val="24"/>
        </w:rPr>
        <w:t>/</w:t>
      </w:r>
      <w:r w:rsidR="00287B9F">
        <w:rPr>
          <w:rFonts w:cs="Tahoma"/>
          <w:b/>
          <w:color w:val="auto"/>
          <w:szCs w:val="24"/>
        </w:rPr>
        <w:t>128/12</w:t>
      </w:r>
    </w:p>
    <w:p w:rsidR="00E34DAA" w:rsidRPr="00287B9F" w:rsidRDefault="00E34DAA" w:rsidP="00E51D89">
      <w:pPr>
        <w:rPr>
          <w:rFonts w:cs="Tahoma"/>
          <w:b/>
          <w:color w:val="auto"/>
          <w:szCs w:val="24"/>
        </w:rPr>
      </w:pPr>
      <w:r>
        <w:rPr>
          <w:rFonts w:cs="Tahoma"/>
          <w:b/>
          <w:color w:val="auto"/>
          <w:szCs w:val="24"/>
        </w:rPr>
        <w:t>AND 22</w:t>
      </w:r>
      <w:r w:rsidRPr="00E34DAA">
        <w:rPr>
          <w:rFonts w:cs="Tahoma"/>
          <w:b/>
          <w:color w:val="auto"/>
          <w:szCs w:val="24"/>
          <w:vertAlign w:val="superscript"/>
        </w:rPr>
        <w:t>ND</w:t>
      </w:r>
      <w:r>
        <w:rPr>
          <w:rFonts w:cs="Tahoma"/>
          <w:b/>
          <w:color w:val="auto"/>
          <w:szCs w:val="24"/>
        </w:rPr>
        <w:t xml:space="preserve"> JANUARY, 2016</w:t>
      </w:r>
    </w:p>
    <w:p w:rsidR="00E51D89" w:rsidRPr="00287B9F" w:rsidRDefault="00E51D89" w:rsidP="00E51D89">
      <w:pPr>
        <w:rPr>
          <w:rFonts w:cs="Tahoma"/>
          <w:color w:val="auto"/>
          <w:szCs w:val="24"/>
        </w:rPr>
      </w:pPr>
      <w:r w:rsidRPr="00287B9F">
        <w:rPr>
          <w:rFonts w:cs="Tahoma"/>
          <w:color w:val="auto"/>
          <w:szCs w:val="24"/>
        </w:rPr>
        <w:t xml:space="preserve">In the matter between:- </w:t>
      </w:r>
    </w:p>
    <w:p w:rsidR="00E51D89" w:rsidRPr="00287B9F" w:rsidRDefault="00287B9F" w:rsidP="00BE6E11">
      <w:pPr>
        <w:rPr>
          <w:rFonts w:cs="Tahoma"/>
          <w:b/>
          <w:color w:val="auto"/>
          <w:szCs w:val="24"/>
        </w:rPr>
      </w:pPr>
      <w:r>
        <w:rPr>
          <w:rFonts w:cs="Tahoma"/>
          <w:b/>
          <w:color w:val="auto"/>
          <w:szCs w:val="24"/>
        </w:rPr>
        <w:t xml:space="preserve">DETERGENT, EDIBLE OILS &amp; FATS WORKERS UNION              </w:t>
      </w:r>
      <w:r w:rsidR="00BE6E11" w:rsidRPr="00287B9F">
        <w:rPr>
          <w:rFonts w:cs="Tahoma"/>
          <w:b/>
          <w:color w:val="auto"/>
          <w:szCs w:val="24"/>
        </w:rPr>
        <w:t>-</w:t>
      </w:r>
      <w:r w:rsidR="000C37D2">
        <w:rPr>
          <w:rFonts w:cs="Tahoma"/>
          <w:b/>
          <w:color w:val="auto"/>
          <w:szCs w:val="24"/>
        </w:rPr>
        <w:t>APPLICANT</w:t>
      </w:r>
    </w:p>
    <w:sdt>
      <w:sdtPr>
        <w:rPr>
          <w:color w:val="auto"/>
        </w:rPr>
        <w:id w:val="967902742"/>
        <w:docPartObj>
          <w:docPartGallery w:val="Cover Pages"/>
          <w:docPartUnique/>
        </w:docPartObj>
      </w:sdtPr>
      <w:sdtEndPr/>
      <w:sdtContent>
        <w:p w:rsidR="00E51D89" w:rsidRPr="00287B9F" w:rsidRDefault="00E51D89" w:rsidP="00E51D89">
          <w:pPr>
            <w:rPr>
              <w:b/>
              <w:color w:val="auto"/>
            </w:rPr>
          </w:pPr>
          <w:r w:rsidRPr="00287B9F">
            <w:rPr>
              <w:b/>
              <w:color w:val="auto"/>
              <w:szCs w:val="24"/>
            </w:rPr>
            <w:t>AND</w:t>
          </w:r>
        </w:p>
        <w:p w:rsidR="00287B9F" w:rsidRDefault="00287B9F" w:rsidP="00EA2BDD">
          <w:pPr>
            <w:rPr>
              <w:rFonts w:cs="Tahoma"/>
              <w:b/>
              <w:color w:val="auto"/>
              <w:szCs w:val="24"/>
            </w:rPr>
          </w:pPr>
          <w:r>
            <w:rPr>
              <w:rFonts w:cs="Tahoma"/>
              <w:b/>
              <w:color w:val="auto"/>
              <w:szCs w:val="24"/>
            </w:rPr>
            <w:t xml:space="preserve">NATIONAL EMPLOYMENT COUNCIL FOR DETERGENT EDIBLE OILS &amp; FATS                </w:t>
          </w:r>
        </w:p>
        <w:p w:rsidR="00287B9F" w:rsidRDefault="00287B9F" w:rsidP="00EA2BDD">
          <w:pPr>
            <w:rPr>
              <w:rFonts w:cs="Tahoma"/>
              <w:b/>
              <w:color w:val="auto"/>
              <w:szCs w:val="24"/>
            </w:rPr>
          </w:pPr>
          <w:r>
            <w:rPr>
              <w:rFonts w:cs="Tahoma"/>
              <w:b/>
              <w:color w:val="auto"/>
              <w:szCs w:val="24"/>
            </w:rPr>
            <w:t>AND</w:t>
          </w:r>
        </w:p>
        <w:p w:rsidR="00EA2BDD" w:rsidRPr="00287B9F" w:rsidRDefault="00287B9F" w:rsidP="00EA2BDD">
          <w:pPr>
            <w:rPr>
              <w:rFonts w:cs="Tahoma"/>
              <w:b/>
              <w:color w:val="auto"/>
              <w:szCs w:val="24"/>
            </w:rPr>
          </w:pPr>
          <w:r>
            <w:rPr>
              <w:rFonts w:cs="Tahoma"/>
              <w:b/>
              <w:color w:val="auto"/>
              <w:szCs w:val="24"/>
            </w:rPr>
            <w:t xml:space="preserve">OLIVITIE INDUSTRIES                                                           </w:t>
          </w:r>
          <w:r w:rsidR="00BE6E11" w:rsidRPr="00287B9F">
            <w:rPr>
              <w:rFonts w:cs="Tahoma"/>
              <w:b/>
              <w:color w:val="auto"/>
              <w:szCs w:val="24"/>
            </w:rPr>
            <w:t>-</w:t>
          </w:r>
          <w:r w:rsidR="009D188E" w:rsidRPr="00287B9F">
            <w:rPr>
              <w:rFonts w:cs="Tahoma"/>
              <w:b/>
              <w:color w:val="auto"/>
              <w:szCs w:val="24"/>
            </w:rPr>
            <w:t xml:space="preserve"> RESPONDENT</w:t>
          </w:r>
        </w:p>
        <w:p w:rsidR="00EA2BDD" w:rsidRPr="00287B9F" w:rsidRDefault="00EA2BDD" w:rsidP="00EA2BDD">
          <w:pPr>
            <w:rPr>
              <w:rFonts w:cs="Tahoma"/>
              <w:color w:val="auto"/>
              <w:szCs w:val="24"/>
            </w:rPr>
          </w:pPr>
          <w:r w:rsidRPr="00287B9F">
            <w:rPr>
              <w:rFonts w:cs="Tahoma"/>
              <w:color w:val="auto"/>
              <w:szCs w:val="24"/>
            </w:rPr>
            <w:t xml:space="preserve">Before the Honourable B.T </w:t>
          </w:r>
          <w:proofErr w:type="spellStart"/>
          <w:r w:rsidRPr="00287B9F">
            <w:rPr>
              <w:rFonts w:cs="Tahoma"/>
              <w:color w:val="auto"/>
              <w:szCs w:val="24"/>
            </w:rPr>
            <w:t>Chivizhe</w:t>
          </w:r>
          <w:proofErr w:type="spellEnd"/>
          <w:r w:rsidRPr="00287B9F">
            <w:rPr>
              <w:rFonts w:cs="Tahoma"/>
              <w:color w:val="auto"/>
              <w:szCs w:val="24"/>
            </w:rPr>
            <w:t xml:space="preserve">: Judge </w:t>
          </w:r>
        </w:p>
        <w:p w:rsidR="00EA2BDD" w:rsidRPr="00287B9F" w:rsidRDefault="00EA2BDD" w:rsidP="00EA2BDD">
          <w:pPr>
            <w:rPr>
              <w:rFonts w:cs="Tahoma"/>
              <w:b/>
              <w:color w:val="auto"/>
              <w:szCs w:val="24"/>
            </w:rPr>
          </w:pPr>
          <w:r w:rsidRPr="00287B9F">
            <w:rPr>
              <w:rFonts w:cs="Tahoma"/>
              <w:b/>
              <w:color w:val="auto"/>
              <w:szCs w:val="24"/>
            </w:rPr>
            <w:t xml:space="preserve">For </w:t>
          </w:r>
          <w:r w:rsidR="000C37D2">
            <w:rPr>
              <w:rFonts w:cs="Tahoma"/>
              <w:b/>
              <w:color w:val="auto"/>
              <w:szCs w:val="24"/>
            </w:rPr>
            <w:t>Applicant</w:t>
          </w:r>
          <w:r w:rsidRPr="00287B9F">
            <w:rPr>
              <w:rFonts w:cs="Tahoma"/>
              <w:b/>
              <w:color w:val="auto"/>
              <w:szCs w:val="24"/>
            </w:rPr>
            <w:t>:</w:t>
          </w:r>
          <w:r w:rsidR="00287B9F">
            <w:rPr>
              <w:rFonts w:cs="Tahoma"/>
              <w:b/>
              <w:color w:val="auto"/>
              <w:szCs w:val="24"/>
            </w:rPr>
            <w:t xml:space="preserve"> Mr G. </w:t>
          </w:r>
          <w:proofErr w:type="spellStart"/>
          <w:r w:rsidR="00287B9F">
            <w:rPr>
              <w:rFonts w:cs="Tahoma"/>
              <w:b/>
              <w:color w:val="auto"/>
              <w:szCs w:val="24"/>
            </w:rPr>
            <w:t>Mawoneka</w:t>
          </w:r>
          <w:proofErr w:type="spellEnd"/>
          <w:r w:rsidR="00287B9F">
            <w:rPr>
              <w:rFonts w:cs="Tahoma"/>
              <w:b/>
              <w:color w:val="auto"/>
              <w:szCs w:val="24"/>
            </w:rPr>
            <w:t xml:space="preserve"> (DEOFWU</w:t>
          </w:r>
          <w:r w:rsidR="008871B5" w:rsidRPr="00287B9F">
            <w:rPr>
              <w:rFonts w:cs="Tahoma"/>
              <w:b/>
              <w:color w:val="auto"/>
              <w:szCs w:val="24"/>
            </w:rPr>
            <w:t xml:space="preserve">) </w:t>
          </w:r>
        </w:p>
        <w:p w:rsidR="00EA2BDD" w:rsidRDefault="00EA2BDD" w:rsidP="00EA2BDD">
          <w:pPr>
            <w:rPr>
              <w:rFonts w:cs="Tahoma"/>
              <w:b/>
              <w:color w:val="auto"/>
              <w:szCs w:val="24"/>
            </w:rPr>
          </w:pPr>
          <w:r w:rsidRPr="00287B9F">
            <w:rPr>
              <w:rFonts w:cs="Tahoma"/>
              <w:b/>
              <w:color w:val="auto"/>
              <w:szCs w:val="24"/>
            </w:rPr>
            <w:t xml:space="preserve">For </w:t>
          </w:r>
          <w:r w:rsidR="00287B9F">
            <w:rPr>
              <w:rFonts w:cs="Tahoma"/>
              <w:b/>
              <w:color w:val="auto"/>
              <w:szCs w:val="24"/>
            </w:rPr>
            <w:t>1</w:t>
          </w:r>
          <w:r w:rsidR="00287B9F" w:rsidRPr="00287B9F">
            <w:rPr>
              <w:rFonts w:cs="Tahoma"/>
              <w:b/>
              <w:color w:val="auto"/>
              <w:szCs w:val="24"/>
              <w:vertAlign w:val="superscript"/>
            </w:rPr>
            <w:t>st</w:t>
          </w:r>
          <w:r w:rsidR="00287B9F">
            <w:rPr>
              <w:rFonts w:cs="Tahoma"/>
              <w:b/>
              <w:color w:val="auto"/>
              <w:szCs w:val="24"/>
            </w:rPr>
            <w:t xml:space="preserve"> </w:t>
          </w:r>
          <w:r w:rsidRPr="00287B9F">
            <w:rPr>
              <w:rFonts w:cs="Tahoma"/>
              <w:b/>
              <w:color w:val="auto"/>
              <w:szCs w:val="24"/>
            </w:rPr>
            <w:t>Respondent:</w:t>
          </w:r>
          <w:r w:rsidR="00287B9F">
            <w:rPr>
              <w:rFonts w:cs="Tahoma"/>
              <w:b/>
              <w:color w:val="auto"/>
              <w:szCs w:val="24"/>
            </w:rPr>
            <w:t xml:space="preserve"> Mr G.T </w:t>
          </w:r>
          <w:proofErr w:type="spellStart"/>
          <w:r w:rsidR="00287B9F">
            <w:rPr>
              <w:rFonts w:cs="Tahoma"/>
              <w:b/>
              <w:color w:val="auto"/>
              <w:szCs w:val="24"/>
            </w:rPr>
            <w:t>Mvududu</w:t>
          </w:r>
          <w:proofErr w:type="spellEnd"/>
          <w:r w:rsidRPr="00287B9F">
            <w:rPr>
              <w:rFonts w:cs="Tahoma"/>
              <w:b/>
              <w:color w:val="auto"/>
              <w:szCs w:val="24"/>
            </w:rPr>
            <w:t xml:space="preserve"> </w:t>
          </w:r>
          <w:r w:rsidR="008871B5" w:rsidRPr="00287B9F">
            <w:rPr>
              <w:rFonts w:cs="Tahoma"/>
              <w:b/>
              <w:color w:val="auto"/>
              <w:szCs w:val="24"/>
            </w:rPr>
            <w:t xml:space="preserve">(Legal Practitioner) </w:t>
          </w:r>
          <w:r w:rsidRPr="00287B9F">
            <w:rPr>
              <w:rFonts w:cs="Tahoma"/>
              <w:b/>
              <w:color w:val="auto"/>
              <w:szCs w:val="24"/>
            </w:rPr>
            <w:t xml:space="preserve"> </w:t>
          </w:r>
        </w:p>
        <w:p w:rsidR="00287B9F" w:rsidRPr="00287B9F" w:rsidRDefault="00287B9F" w:rsidP="00EA2BDD">
          <w:pPr>
            <w:rPr>
              <w:rFonts w:cs="Tahoma"/>
              <w:b/>
              <w:color w:val="auto"/>
              <w:szCs w:val="24"/>
            </w:rPr>
          </w:pPr>
          <w:r>
            <w:rPr>
              <w:rFonts w:cs="Tahoma"/>
              <w:b/>
              <w:color w:val="auto"/>
              <w:szCs w:val="24"/>
            </w:rPr>
            <w:t>For 2</w:t>
          </w:r>
          <w:r w:rsidRPr="00287B9F">
            <w:rPr>
              <w:rFonts w:cs="Tahoma"/>
              <w:b/>
              <w:color w:val="auto"/>
              <w:szCs w:val="24"/>
              <w:vertAlign w:val="superscript"/>
            </w:rPr>
            <w:t>nd</w:t>
          </w:r>
          <w:r>
            <w:rPr>
              <w:rFonts w:cs="Tahoma"/>
              <w:b/>
              <w:color w:val="auto"/>
              <w:szCs w:val="24"/>
            </w:rPr>
            <w:t xml:space="preserve"> Respondent: Ms N. </w:t>
          </w:r>
          <w:proofErr w:type="spellStart"/>
          <w:r>
            <w:rPr>
              <w:rFonts w:cs="Tahoma"/>
              <w:b/>
              <w:color w:val="auto"/>
              <w:szCs w:val="24"/>
            </w:rPr>
            <w:t>Moyo</w:t>
          </w:r>
          <w:proofErr w:type="spellEnd"/>
        </w:p>
        <w:p w:rsidR="008871B5" w:rsidRPr="00287B9F" w:rsidRDefault="00EA2BDD" w:rsidP="006C1FF4">
          <w:pPr>
            <w:rPr>
              <w:color w:val="auto"/>
            </w:rPr>
          </w:pPr>
          <w:r w:rsidRPr="00287B9F">
            <w:rPr>
              <w:rFonts w:cs="Tahoma"/>
              <w:b/>
              <w:color w:val="auto"/>
              <w:szCs w:val="24"/>
            </w:rPr>
            <w:t>CHIVIZHE</w:t>
          </w:r>
          <w:r w:rsidR="00C352A3" w:rsidRPr="00287B9F">
            <w:rPr>
              <w:rFonts w:cs="Tahoma"/>
              <w:b/>
              <w:color w:val="auto"/>
              <w:szCs w:val="24"/>
            </w:rPr>
            <w:t xml:space="preserve">, J; </w:t>
          </w:r>
        </w:p>
      </w:sdtContent>
    </w:sdt>
    <w:p w:rsidR="006C1FF4" w:rsidRDefault="003D14D2" w:rsidP="006C1FF4">
      <w:pPr>
        <w:rPr>
          <w:color w:val="auto"/>
        </w:rPr>
      </w:pPr>
      <w:r w:rsidRPr="00287B9F">
        <w:rPr>
          <w:color w:val="auto"/>
        </w:rPr>
        <w:tab/>
        <w:t>Th</w:t>
      </w:r>
      <w:r w:rsidR="00287B9F">
        <w:rPr>
          <w:color w:val="auto"/>
        </w:rPr>
        <w:t xml:space="preserve">is is an application for review of </w:t>
      </w:r>
      <w:r w:rsidR="00F90F81">
        <w:rPr>
          <w:color w:val="auto"/>
        </w:rPr>
        <w:t xml:space="preserve">the </w:t>
      </w:r>
      <w:r w:rsidR="00355728">
        <w:rPr>
          <w:color w:val="auto"/>
        </w:rPr>
        <w:t>First</w:t>
      </w:r>
      <w:r w:rsidR="00287B9F">
        <w:rPr>
          <w:color w:val="auto"/>
        </w:rPr>
        <w:t xml:space="preserve"> Respondent’s decision to grant </w:t>
      </w:r>
      <w:r w:rsidR="00355728">
        <w:rPr>
          <w:color w:val="auto"/>
        </w:rPr>
        <w:t>Second</w:t>
      </w:r>
      <w:r w:rsidR="00287B9F">
        <w:rPr>
          <w:color w:val="auto"/>
        </w:rPr>
        <w:t xml:space="preserve"> Respondent an exemption from paying gazetted wages for the period January – December 2010.</w:t>
      </w:r>
    </w:p>
    <w:p w:rsidR="005C35E1" w:rsidRDefault="00287B9F" w:rsidP="00287B9F">
      <w:pPr>
        <w:ind w:firstLine="720"/>
        <w:rPr>
          <w:color w:val="auto"/>
        </w:rPr>
      </w:pPr>
      <w:r>
        <w:rPr>
          <w:color w:val="auto"/>
        </w:rPr>
        <w:t xml:space="preserve">The material background facts which </w:t>
      </w:r>
      <w:r w:rsidR="005C35E1">
        <w:rPr>
          <w:color w:val="auto"/>
        </w:rPr>
        <w:t>are common cause are as follows.</w:t>
      </w:r>
    </w:p>
    <w:p w:rsidR="005C35E1" w:rsidRDefault="005C35E1" w:rsidP="00287B9F">
      <w:pPr>
        <w:ind w:firstLine="720"/>
        <w:rPr>
          <w:color w:val="auto"/>
        </w:rPr>
      </w:pPr>
      <w:r>
        <w:rPr>
          <w:color w:val="auto"/>
        </w:rPr>
        <w:t>The parties in 2010 engaged in salary wages negotiations for the period January to June 2010. The parties deadlocked. The matter was referred to an Arbitrator. The Arbitrator granted an award for increment to cover the period January to June 2010. The employer organization was aggrieved and appealed against the award to the Labour Court. The Labour Court through a judgeme</w:t>
      </w:r>
      <w:r w:rsidR="00F90F81">
        <w:rPr>
          <w:color w:val="auto"/>
        </w:rPr>
        <w:t xml:space="preserve">nt </w:t>
      </w:r>
      <w:r w:rsidR="00F90F81">
        <w:rPr>
          <w:color w:val="auto"/>
        </w:rPr>
        <w:lastRenderedPageBreak/>
        <w:t>handed down in 2012 dismissed</w:t>
      </w:r>
      <w:r>
        <w:rPr>
          <w:color w:val="auto"/>
        </w:rPr>
        <w:t xml:space="preserve"> the appeal and upheld the arbitration award. </w:t>
      </w:r>
      <w:r w:rsidR="00F90F81">
        <w:rPr>
          <w:color w:val="auto"/>
        </w:rPr>
        <w:t>Thereafter</w:t>
      </w:r>
      <w:r>
        <w:rPr>
          <w:color w:val="auto"/>
        </w:rPr>
        <w:t xml:space="preserve"> the minimum wages were then gazetted in terms of </w:t>
      </w:r>
      <w:r>
        <w:rPr>
          <w:b/>
          <w:color w:val="auto"/>
        </w:rPr>
        <w:t xml:space="preserve">Section 82 </w:t>
      </w:r>
      <w:r>
        <w:rPr>
          <w:color w:val="auto"/>
        </w:rPr>
        <w:t>of the</w:t>
      </w:r>
      <w:r w:rsidRPr="005C35E1">
        <w:rPr>
          <w:b/>
          <w:color w:val="auto"/>
        </w:rPr>
        <w:t xml:space="preserve"> Labour Act [Cap 28:01]</w:t>
      </w:r>
      <w:r>
        <w:rPr>
          <w:color w:val="auto"/>
        </w:rPr>
        <w:t>.</w:t>
      </w:r>
    </w:p>
    <w:p w:rsidR="00DD5790" w:rsidRDefault="00F76B98" w:rsidP="00287B9F">
      <w:pPr>
        <w:ind w:firstLine="720"/>
        <w:rPr>
          <w:color w:val="auto"/>
        </w:rPr>
      </w:pPr>
      <w:r>
        <w:rPr>
          <w:color w:val="auto"/>
        </w:rPr>
        <w:t xml:space="preserve">The </w:t>
      </w:r>
      <w:r w:rsidR="00355728">
        <w:rPr>
          <w:color w:val="auto"/>
        </w:rPr>
        <w:t>Second</w:t>
      </w:r>
      <w:r>
        <w:rPr>
          <w:color w:val="auto"/>
        </w:rPr>
        <w:t xml:space="preserve"> Respondent then applied to </w:t>
      </w:r>
      <w:r w:rsidR="00355728">
        <w:rPr>
          <w:color w:val="auto"/>
        </w:rPr>
        <w:t>First</w:t>
      </w:r>
      <w:r>
        <w:rPr>
          <w:color w:val="auto"/>
        </w:rPr>
        <w:t xml:space="preserve"> Respondent for an exemption from paying the gazetted wage for the years 2010 and 2011. On the 29</w:t>
      </w:r>
      <w:r w:rsidRPr="00F76B98">
        <w:rPr>
          <w:color w:val="auto"/>
          <w:vertAlign w:val="superscript"/>
        </w:rPr>
        <w:t>th</w:t>
      </w:r>
      <w:r>
        <w:rPr>
          <w:color w:val="auto"/>
        </w:rPr>
        <w:t xml:space="preserve"> August 2012 </w:t>
      </w:r>
      <w:r w:rsidR="00F90F81">
        <w:rPr>
          <w:color w:val="auto"/>
        </w:rPr>
        <w:t xml:space="preserve">the </w:t>
      </w:r>
      <w:r w:rsidR="00355728">
        <w:rPr>
          <w:color w:val="auto"/>
        </w:rPr>
        <w:t>First</w:t>
      </w:r>
      <w:r>
        <w:rPr>
          <w:color w:val="auto"/>
        </w:rPr>
        <w:t xml:space="preserve"> Respondent granted the application in respect of January to December 2011. In respect of 2010 the </w:t>
      </w:r>
      <w:r w:rsidR="00355728">
        <w:rPr>
          <w:color w:val="auto"/>
        </w:rPr>
        <w:t>First</w:t>
      </w:r>
      <w:r>
        <w:rPr>
          <w:color w:val="auto"/>
        </w:rPr>
        <w:t xml:space="preserve"> Respondent dismissed the application on the basis that it could not consider the application for exemption for 2010 as the minimum wage had been fixed by a superior authority </w:t>
      </w:r>
      <w:r w:rsidR="00DD5790">
        <w:rPr>
          <w:color w:val="auto"/>
        </w:rPr>
        <w:t>namely</w:t>
      </w:r>
      <w:r w:rsidR="00F90F81">
        <w:rPr>
          <w:color w:val="auto"/>
        </w:rPr>
        <w:t xml:space="preserve"> the Labour Court</w:t>
      </w:r>
      <w:r w:rsidR="00DD5790">
        <w:rPr>
          <w:color w:val="auto"/>
        </w:rPr>
        <w:t>. The</w:t>
      </w:r>
      <w:r w:rsidR="00F90F81">
        <w:rPr>
          <w:color w:val="auto"/>
        </w:rPr>
        <w:t xml:space="preserve"> First Respondent </w:t>
      </w:r>
      <w:r w:rsidR="00DD5790">
        <w:rPr>
          <w:color w:val="auto"/>
        </w:rPr>
        <w:t>was also of the view that the application should have been filed in respect of the period July – December 2010 and not for the whole period i.e. January to December, 2010.</w:t>
      </w:r>
    </w:p>
    <w:p w:rsidR="00287B9F" w:rsidRDefault="001F0318" w:rsidP="00287B9F">
      <w:pPr>
        <w:ind w:firstLine="720"/>
        <w:rPr>
          <w:color w:val="auto"/>
        </w:rPr>
      </w:pPr>
      <w:r>
        <w:rPr>
          <w:color w:val="auto"/>
        </w:rPr>
        <w:t>On the 31</w:t>
      </w:r>
      <w:r w:rsidRPr="001F0318">
        <w:rPr>
          <w:color w:val="auto"/>
          <w:vertAlign w:val="superscript"/>
        </w:rPr>
        <w:t>st</w:t>
      </w:r>
      <w:r>
        <w:rPr>
          <w:color w:val="auto"/>
        </w:rPr>
        <w:t xml:space="preserve"> of August 2012 the </w:t>
      </w:r>
      <w:r w:rsidR="00355728">
        <w:rPr>
          <w:color w:val="auto"/>
        </w:rPr>
        <w:t>Second</w:t>
      </w:r>
      <w:r>
        <w:rPr>
          <w:color w:val="auto"/>
        </w:rPr>
        <w:t xml:space="preserve"> Respondent through its Industrial Relations Manager wrote a letter to the Designated Agent seeking what it referred</w:t>
      </w:r>
      <w:r w:rsidR="00E34DAA">
        <w:rPr>
          <w:color w:val="auto"/>
        </w:rPr>
        <w:t xml:space="preserve"> to</w:t>
      </w:r>
      <w:r>
        <w:rPr>
          <w:color w:val="auto"/>
        </w:rPr>
        <w:t xml:space="preserve"> as a revisit and review</w:t>
      </w:r>
      <w:r w:rsidR="00DD5790">
        <w:rPr>
          <w:color w:val="auto"/>
        </w:rPr>
        <w:t xml:space="preserve"> </w:t>
      </w:r>
      <w:r>
        <w:rPr>
          <w:color w:val="auto"/>
        </w:rPr>
        <w:t xml:space="preserve">of the </w:t>
      </w:r>
      <w:r w:rsidR="00355728">
        <w:rPr>
          <w:color w:val="auto"/>
        </w:rPr>
        <w:t>Committee</w:t>
      </w:r>
      <w:r>
        <w:rPr>
          <w:color w:val="auto"/>
        </w:rPr>
        <w:t xml:space="preserve"> decision. The </w:t>
      </w:r>
      <w:r w:rsidR="00F90F81">
        <w:rPr>
          <w:color w:val="auto"/>
        </w:rPr>
        <w:t xml:space="preserve">First Respondent </w:t>
      </w:r>
      <w:r>
        <w:rPr>
          <w:color w:val="auto"/>
        </w:rPr>
        <w:t>then sat on the 14</w:t>
      </w:r>
      <w:r w:rsidRPr="001F0318">
        <w:rPr>
          <w:color w:val="auto"/>
          <w:vertAlign w:val="superscript"/>
        </w:rPr>
        <w:t>th</w:t>
      </w:r>
      <w:r>
        <w:rPr>
          <w:color w:val="auto"/>
        </w:rPr>
        <w:t xml:space="preserve"> of September 2012. The </w:t>
      </w:r>
      <w:r w:rsidR="00355728">
        <w:rPr>
          <w:color w:val="auto"/>
        </w:rPr>
        <w:t>Committee</w:t>
      </w:r>
      <w:r>
        <w:rPr>
          <w:color w:val="auto"/>
        </w:rPr>
        <w:t xml:space="preserve"> thereafter granted the application for exemption from paying gazetted wages for 2010.</w:t>
      </w:r>
    </w:p>
    <w:p w:rsidR="0059069C" w:rsidRDefault="000C37D2" w:rsidP="00287B9F">
      <w:pPr>
        <w:ind w:firstLine="720"/>
        <w:rPr>
          <w:color w:val="auto"/>
        </w:rPr>
      </w:pPr>
      <w:r>
        <w:rPr>
          <w:color w:val="auto"/>
        </w:rPr>
        <w:t xml:space="preserve">The Applicant, following this decision, filed the present application. The application is for review of the </w:t>
      </w:r>
      <w:r w:rsidR="00355728">
        <w:rPr>
          <w:color w:val="auto"/>
        </w:rPr>
        <w:t>First</w:t>
      </w:r>
      <w:r>
        <w:rPr>
          <w:color w:val="auto"/>
        </w:rPr>
        <w:t xml:space="preserve"> Respondent’s decision granted on the 20</w:t>
      </w:r>
      <w:r w:rsidRPr="000C37D2">
        <w:rPr>
          <w:color w:val="auto"/>
          <w:vertAlign w:val="superscript"/>
        </w:rPr>
        <w:t>th</w:t>
      </w:r>
      <w:r>
        <w:rPr>
          <w:color w:val="auto"/>
        </w:rPr>
        <w:t xml:space="preserve"> of September 2</w:t>
      </w:r>
      <w:r w:rsidR="00F90F81">
        <w:rPr>
          <w:color w:val="auto"/>
        </w:rPr>
        <w:t>012. The Applicant initially</w:t>
      </w:r>
      <w:r>
        <w:rPr>
          <w:color w:val="auto"/>
        </w:rPr>
        <w:t xml:space="preserve"> cited the National Employment Council for the Detergent, Edible Oils and Fats Industry</w:t>
      </w:r>
      <w:r w:rsidR="00003665">
        <w:rPr>
          <w:color w:val="auto"/>
        </w:rPr>
        <w:t xml:space="preserve"> as the only </w:t>
      </w:r>
      <w:proofErr w:type="gramStart"/>
      <w:r w:rsidR="00003665">
        <w:rPr>
          <w:color w:val="auto"/>
        </w:rPr>
        <w:t>Respondent</w:t>
      </w:r>
      <w:proofErr w:type="gramEnd"/>
      <w:r w:rsidR="00003665">
        <w:rPr>
          <w:color w:val="auto"/>
        </w:rPr>
        <w:t xml:space="preserve"> in the application. Olivine Industries (Private) Limited </w:t>
      </w:r>
      <w:r w:rsidR="00F90F81">
        <w:rPr>
          <w:color w:val="auto"/>
        </w:rPr>
        <w:t xml:space="preserve">however </w:t>
      </w:r>
      <w:r w:rsidR="00003665">
        <w:rPr>
          <w:color w:val="auto"/>
        </w:rPr>
        <w:t>th</w:t>
      </w:r>
      <w:r w:rsidR="00F90F81">
        <w:rPr>
          <w:color w:val="auto"/>
        </w:rPr>
        <w:t>rough an application for jo</w:t>
      </w:r>
      <w:r w:rsidR="00E34DAA">
        <w:rPr>
          <w:color w:val="auto"/>
        </w:rPr>
        <w:t>i</w:t>
      </w:r>
      <w:r w:rsidR="00F90F81">
        <w:rPr>
          <w:color w:val="auto"/>
        </w:rPr>
        <w:t>nder</w:t>
      </w:r>
      <w:r w:rsidR="00E34DAA">
        <w:rPr>
          <w:color w:val="auto"/>
        </w:rPr>
        <w:t xml:space="preserve"> which was</w:t>
      </w:r>
      <w:r w:rsidR="00003665">
        <w:rPr>
          <w:color w:val="auto"/>
        </w:rPr>
        <w:t xml:space="preserve"> duly granted by the Court was joined as the </w:t>
      </w:r>
      <w:r w:rsidR="00355728">
        <w:rPr>
          <w:color w:val="auto"/>
        </w:rPr>
        <w:t>Second</w:t>
      </w:r>
      <w:r w:rsidR="00003665">
        <w:rPr>
          <w:color w:val="auto"/>
        </w:rPr>
        <w:t xml:space="preserve"> Respondent.</w:t>
      </w:r>
    </w:p>
    <w:p w:rsidR="0059069C" w:rsidRDefault="0059069C" w:rsidP="00287B9F">
      <w:pPr>
        <w:ind w:firstLine="720"/>
        <w:rPr>
          <w:color w:val="auto"/>
        </w:rPr>
      </w:pPr>
      <w:r>
        <w:rPr>
          <w:color w:val="auto"/>
        </w:rPr>
        <w:t xml:space="preserve">The Applicant in its Notice of Application submitted that the </w:t>
      </w:r>
      <w:r w:rsidR="00355728">
        <w:rPr>
          <w:color w:val="auto"/>
        </w:rPr>
        <w:t>First</w:t>
      </w:r>
      <w:r>
        <w:rPr>
          <w:color w:val="auto"/>
        </w:rPr>
        <w:t xml:space="preserve"> Respondent erred in re-considering its decision as this is contrary to the industry Constitution which states </w:t>
      </w:r>
    </w:p>
    <w:p w:rsidR="000C37D2" w:rsidRPr="00F90F81" w:rsidRDefault="0059069C" w:rsidP="00287B9F">
      <w:pPr>
        <w:ind w:firstLine="720"/>
        <w:rPr>
          <w:b/>
          <w:color w:val="auto"/>
          <w:sz w:val="22"/>
        </w:rPr>
      </w:pPr>
      <w:r w:rsidRPr="00F90F81">
        <w:rPr>
          <w:b/>
          <w:color w:val="auto"/>
          <w:sz w:val="22"/>
        </w:rPr>
        <w:t xml:space="preserve">“The exemption application, accompanied by the necessary supporting detail, shall be heard by the </w:t>
      </w:r>
      <w:r w:rsidR="00355728" w:rsidRPr="00F90F81">
        <w:rPr>
          <w:b/>
          <w:color w:val="auto"/>
          <w:sz w:val="22"/>
        </w:rPr>
        <w:t>Committee</w:t>
      </w:r>
      <w:r w:rsidRPr="00F90F81">
        <w:rPr>
          <w:b/>
          <w:color w:val="auto"/>
          <w:sz w:val="22"/>
        </w:rPr>
        <w:t xml:space="preserve"> which shall come up with a determination and that the determination shall be final”</w:t>
      </w:r>
      <w:r w:rsidR="00003665" w:rsidRPr="00F90F81">
        <w:rPr>
          <w:b/>
          <w:color w:val="auto"/>
          <w:sz w:val="22"/>
        </w:rPr>
        <w:t xml:space="preserve"> </w:t>
      </w:r>
    </w:p>
    <w:p w:rsidR="00567255" w:rsidRDefault="0059069C" w:rsidP="0059069C">
      <w:pPr>
        <w:rPr>
          <w:color w:val="auto"/>
        </w:rPr>
      </w:pPr>
      <w:r>
        <w:lastRenderedPageBreak/>
        <w:tab/>
      </w:r>
      <w:r>
        <w:rPr>
          <w:color w:val="auto"/>
        </w:rPr>
        <w:t>A preliminary observation ought to be made at this juncture. The application filed by the Applicant is not based on the normal grounds for review as outlined in the Labour Act [Cap 28:01]. Prio</w:t>
      </w:r>
      <w:r w:rsidR="000C4391">
        <w:rPr>
          <w:color w:val="auto"/>
        </w:rPr>
        <w:t xml:space="preserve">r to its amendment by </w:t>
      </w:r>
      <w:r w:rsidR="000C4391" w:rsidRPr="000C4391">
        <w:rPr>
          <w:b/>
          <w:color w:val="auto"/>
        </w:rPr>
        <w:t>Labour</w:t>
      </w:r>
      <w:r w:rsidRPr="000C4391">
        <w:rPr>
          <w:b/>
          <w:color w:val="auto"/>
        </w:rPr>
        <w:t xml:space="preserve"> Amendment Act, 2015</w:t>
      </w:r>
      <w:r w:rsidR="000C4391">
        <w:rPr>
          <w:b/>
          <w:color w:val="auto"/>
        </w:rPr>
        <w:t xml:space="preserve"> Section 89 (1</w:t>
      </w:r>
      <w:proofErr w:type="gramStart"/>
      <w:r w:rsidR="000C4391">
        <w:rPr>
          <w:b/>
          <w:color w:val="auto"/>
        </w:rPr>
        <w:t>)(</w:t>
      </w:r>
      <w:proofErr w:type="gramEnd"/>
      <w:r w:rsidR="000C4391">
        <w:rPr>
          <w:b/>
          <w:color w:val="auto"/>
        </w:rPr>
        <w:t xml:space="preserve">d1) </w:t>
      </w:r>
      <w:r w:rsidR="000C4391" w:rsidRPr="000C4391">
        <w:rPr>
          <w:color w:val="auto"/>
        </w:rPr>
        <w:t>of</w:t>
      </w:r>
      <w:r w:rsidRPr="000C4391">
        <w:rPr>
          <w:color w:val="auto"/>
        </w:rPr>
        <w:t xml:space="preserve"> the</w:t>
      </w:r>
      <w:r w:rsidRPr="000C4391">
        <w:rPr>
          <w:b/>
          <w:color w:val="auto"/>
        </w:rPr>
        <w:t xml:space="preserve"> Labour Act</w:t>
      </w:r>
      <w:r w:rsidR="000C4391">
        <w:rPr>
          <w:b/>
          <w:color w:val="auto"/>
        </w:rPr>
        <w:t xml:space="preserve"> [Cap 28:01]</w:t>
      </w:r>
      <w:r>
        <w:rPr>
          <w:color w:val="auto"/>
        </w:rPr>
        <w:t xml:space="preserve"> provided that the Labour Court had the same powers of review as the High Court. This essentially meant that in applications for review an applicant would need to raise the same</w:t>
      </w:r>
      <w:r w:rsidR="00926DAF">
        <w:rPr>
          <w:color w:val="auto"/>
        </w:rPr>
        <w:t xml:space="preserve"> grounds of review as could be raised before the High Court.</w:t>
      </w:r>
      <w:r w:rsidR="000C4391">
        <w:rPr>
          <w:color w:val="auto"/>
        </w:rPr>
        <w:t xml:space="preserve"> See </w:t>
      </w:r>
      <w:proofErr w:type="spellStart"/>
      <w:r w:rsidR="000C4391" w:rsidRPr="004F5B80">
        <w:rPr>
          <w:b/>
          <w:color w:val="auto"/>
        </w:rPr>
        <w:t>Zimasco</w:t>
      </w:r>
      <w:proofErr w:type="spellEnd"/>
      <w:r w:rsidR="000C4391" w:rsidRPr="004F5B80">
        <w:rPr>
          <w:b/>
          <w:color w:val="auto"/>
        </w:rPr>
        <w:t xml:space="preserve"> (Private) Limited </w:t>
      </w:r>
      <w:proofErr w:type="spellStart"/>
      <w:r w:rsidR="000C4391" w:rsidRPr="004F5B80">
        <w:rPr>
          <w:b/>
          <w:color w:val="auto"/>
        </w:rPr>
        <w:t>vs</w:t>
      </w:r>
      <w:proofErr w:type="spellEnd"/>
      <w:r w:rsidR="000C4391" w:rsidRPr="004F5B80">
        <w:rPr>
          <w:b/>
          <w:color w:val="auto"/>
        </w:rPr>
        <w:t xml:space="preserve"> May</w:t>
      </w:r>
      <w:r w:rsidR="004F5B80" w:rsidRPr="004F5B80">
        <w:rPr>
          <w:b/>
          <w:color w:val="auto"/>
        </w:rPr>
        <w:t xml:space="preserve">nard </w:t>
      </w:r>
      <w:proofErr w:type="spellStart"/>
      <w:r w:rsidR="004F5B80" w:rsidRPr="004F5B80">
        <w:rPr>
          <w:b/>
          <w:color w:val="auto"/>
        </w:rPr>
        <w:t>Farai</w:t>
      </w:r>
      <w:proofErr w:type="spellEnd"/>
      <w:r w:rsidR="004F5B80" w:rsidRPr="004F5B80">
        <w:rPr>
          <w:b/>
          <w:color w:val="auto"/>
        </w:rPr>
        <w:t xml:space="preserve"> </w:t>
      </w:r>
      <w:proofErr w:type="spellStart"/>
      <w:r w:rsidR="004F5B80" w:rsidRPr="004F5B80">
        <w:rPr>
          <w:b/>
          <w:color w:val="auto"/>
        </w:rPr>
        <w:t>Marikan</w:t>
      </w:r>
      <w:r w:rsidR="004F5B80">
        <w:rPr>
          <w:b/>
          <w:color w:val="auto"/>
        </w:rPr>
        <w:t>o</w:t>
      </w:r>
      <w:proofErr w:type="spellEnd"/>
      <w:r w:rsidR="004F5B80">
        <w:rPr>
          <w:b/>
          <w:color w:val="auto"/>
        </w:rPr>
        <w:t xml:space="preserve"> SC 6/2014.</w:t>
      </w:r>
      <w:r w:rsidR="00926DAF">
        <w:rPr>
          <w:color w:val="auto"/>
        </w:rPr>
        <w:t xml:space="preserve"> The grounds which are outlined in </w:t>
      </w:r>
      <w:r w:rsidR="00926DAF">
        <w:rPr>
          <w:b/>
          <w:color w:val="auto"/>
        </w:rPr>
        <w:t>Section 27 of the High Court Act</w:t>
      </w:r>
      <w:r w:rsidR="00A04E9D">
        <w:rPr>
          <w:b/>
          <w:color w:val="auto"/>
        </w:rPr>
        <w:t xml:space="preserve"> [Cap 7:06]</w:t>
      </w:r>
      <w:r w:rsidR="00926DAF">
        <w:rPr>
          <w:b/>
          <w:color w:val="auto"/>
        </w:rPr>
        <w:t xml:space="preserve"> </w:t>
      </w:r>
      <w:r w:rsidR="00CB15BA">
        <w:rPr>
          <w:color w:val="auto"/>
        </w:rPr>
        <w:t>are as follows;</w:t>
      </w:r>
      <w:r w:rsidR="00926DAF">
        <w:rPr>
          <w:color w:val="auto"/>
        </w:rPr>
        <w:t xml:space="preserve"> </w:t>
      </w:r>
    </w:p>
    <w:p w:rsidR="00E70E29" w:rsidRPr="00FC7DBF" w:rsidRDefault="00E70E29" w:rsidP="003069F3">
      <w:pPr>
        <w:spacing w:line="276" w:lineRule="auto"/>
        <w:ind w:firstLine="720"/>
        <w:rPr>
          <w:rFonts w:cs="Tahoma"/>
          <w:color w:val="auto"/>
          <w:sz w:val="22"/>
        </w:rPr>
      </w:pPr>
      <w:r w:rsidRPr="00FC7DBF">
        <w:rPr>
          <w:rFonts w:cs="Tahoma"/>
          <w:color w:val="auto"/>
          <w:sz w:val="22"/>
        </w:rPr>
        <w:t>“</w:t>
      </w:r>
      <w:r w:rsidRPr="00FC7DBF">
        <w:rPr>
          <w:rFonts w:cs="Tahoma"/>
          <w:b/>
          <w:color w:val="auto"/>
          <w:sz w:val="22"/>
        </w:rPr>
        <w:t>27 Grounds for review</w:t>
      </w:r>
    </w:p>
    <w:p w:rsidR="00E70E29" w:rsidRPr="00FC7DBF" w:rsidRDefault="00E70E29" w:rsidP="00E34DAA">
      <w:pPr>
        <w:spacing w:line="276" w:lineRule="auto"/>
        <w:ind w:left="720"/>
        <w:rPr>
          <w:rFonts w:cs="Tahoma"/>
          <w:color w:val="auto"/>
          <w:sz w:val="22"/>
        </w:rPr>
      </w:pPr>
      <w:r w:rsidRPr="00FC7DBF">
        <w:rPr>
          <w:rFonts w:cs="Tahoma"/>
          <w:color w:val="auto"/>
          <w:sz w:val="22"/>
        </w:rPr>
        <w:t>(1) Subject to this Act and any other law, the grounds on which any proceedings or decisions may be brought on review before the High Court shall be –</w:t>
      </w:r>
    </w:p>
    <w:p w:rsidR="00E70E29" w:rsidRPr="00FC7DBF" w:rsidRDefault="00E70E29" w:rsidP="00E34DAA">
      <w:pPr>
        <w:spacing w:line="276" w:lineRule="auto"/>
        <w:ind w:left="1440"/>
        <w:rPr>
          <w:rFonts w:cs="Tahoma"/>
          <w:color w:val="auto"/>
          <w:sz w:val="22"/>
        </w:rPr>
      </w:pPr>
      <w:r w:rsidRPr="00FC7DBF">
        <w:rPr>
          <w:rFonts w:cs="Tahoma"/>
          <w:color w:val="auto"/>
          <w:sz w:val="22"/>
        </w:rPr>
        <w:t>(a) Absence of jurisdiction on the part of the court, tribunal or authority concerned;</w:t>
      </w:r>
    </w:p>
    <w:p w:rsidR="00E70E29" w:rsidRPr="00FC7DBF" w:rsidRDefault="00E70E29" w:rsidP="00E34DAA">
      <w:pPr>
        <w:spacing w:line="276" w:lineRule="auto"/>
        <w:ind w:left="1440"/>
        <w:rPr>
          <w:rFonts w:cs="Tahoma"/>
          <w:color w:val="auto"/>
          <w:sz w:val="22"/>
        </w:rPr>
      </w:pPr>
      <w:r w:rsidRPr="00FC7DBF">
        <w:rPr>
          <w:rFonts w:cs="Tahoma"/>
          <w:color w:val="auto"/>
          <w:sz w:val="22"/>
        </w:rPr>
        <w:t xml:space="preserve">(b) Interest in the cause, bias, malice or corruption on the part of the person presiding over the court or tribunal concerned or on the part </w:t>
      </w:r>
      <w:r w:rsidR="00FC7DBF" w:rsidRPr="00FC7DBF">
        <w:rPr>
          <w:rFonts w:cs="Tahoma"/>
          <w:color w:val="auto"/>
          <w:sz w:val="22"/>
        </w:rPr>
        <w:t>of the authority concerned</w:t>
      </w:r>
      <w:r w:rsidRPr="00FC7DBF">
        <w:rPr>
          <w:rFonts w:cs="Tahoma"/>
          <w:color w:val="auto"/>
          <w:sz w:val="22"/>
        </w:rPr>
        <w:t>, as the case may be;</w:t>
      </w:r>
    </w:p>
    <w:p w:rsidR="00E70E29" w:rsidRPr="00FC7DBF" w:rsidRDefault="00E70E29" w:rsidP="00E34DAA">
      <w:pPr>
        <w:spacing w:line="276" w:lineRule="auto"/>
        <w:ind w:left="1440"/>
        <w:rPr>
          <w:rFonts w:cs="Tahoma"/>
          <w:color w:val="auto"/>
          <w:sz w:val="22"/>
        </w:rPr>
      </w:pPr>
      <w:r w:rsidRPr="00FC7DBF">
        <w:rPr>
          <w:rFonts w:cs="Tahoma"/>
          <w:color w:val="auto"/>
          <w:sz w:val="22"/>
        </w:rPr>
        <w:t>(c) Gross irregularity in the proceedings or the decision.</w:t>
      </w:r>
    </w:p>
    <w:p w:rsidR="001F6E90" w:rsidRPr="00FC7DBF" w:rsidRDefault="00E70E29" w:rsidP="00E34DAA">
      <w:pPr>
        <w:spacing w:line="276" w:lineRule="auto"/>
        <w:ind w:left="720"/>
        <w:rPr>
          <w:rFonts w:cs="Tahoma"/>
          <w:color w:val="auto"/>
          <w:sz w:val="22"/>
        </w:rPr>
      </w:pPr>
      <w:r w:rsidRPr="00FC7DBF">
        <w:rPr>
          <w:rFonts w:cs="Tahoma"/>
          <w:color w:val="auto"/>
          <w:sz w:val="22"/>
        </w:rPr>
        <w:t xml:space="preserve">(2) </w:t>
      </w:r>
      <w:proofErr w:type="gramStart"/>
      <w:r w:rsidRPr="00FC7DBF">
        <w:rPr>
          <w:rFonts w:cs="Tahoma"/>
          <w:color w:val="auto"/>
          <w:sz w:val="22"/>
        </w:rPr>
        <w:t>Nothing</w:t>
      </w:r>
      <w:proofErr w:type="gramEnd"/>
      <w:r w:rsidRPr="00FC7DBF">
        <w:rPr>
          <w:rFonts w:cs="Tahoma"/>
          <w:color w:val="auto"/>
          <w:sz w:val="22"/>
        </w:rPr>
        <w:t xml:space="preserve"> in subsection (1) shall affect any other law relating to the review of proceedings or decisions of inferior courts, tribunals or authorities.”</w:t>
      </w:r>
    </w:p>
    <w:p w:rsidR="00F3102C" w:rsidRDefault="00567255" w:rsidP="0059069C">
      <w:pPr>
        <w:rPr>
          <w:color w:val="auto"/>
        </w:rPr>
      </w:pPr>
      <w:r>
        <w:rPr>
          <w:color w:val="auto"/>
        </w:rPr>
        <w:tab/>
        <w:t xml:space="preserve">It is common cause </w:t>
      </w:r>
      <w:r w:rsidR="001F6E90">
        <w:rPr>
          <w:color w:val="auto"/>
        </w:rPr>
        <w:t xml:space="preserve">that </w:t>
      </w:r>
      <w:r>
        <w:rPr>
          <w:color w:val="auto"/>
        </w:rPr>
        <w:t xml:space="preserve">through the </w:t>
      </w:r>
      <w:r w:rsidRPr="001F6E90">
        <w:rPr>
          <w:b/>
          <w:color w:val="auto"/>
        </w:rPr>
        <w:t>Labour Amendment Act, 2015</w:t>
      </w:r>
      <w:r>
        <w:rPr>
          <w:color w:val="auto"/>
        </w:rPr>
        <w:t xml:space="preserve"> the grounds of review b</w:t>
      </w:r>
      <w:r w:rsidR="001F6E90">
        <w:rPr>
          <w:color w:val="auto"/>
        </w:rPr>
        <w:t xml:space="preserve">efore the Labour Court </w:t>
      </w:r>
      <w:r>
        <w:rPr>
          <w:color w:val="auto"/>
        </w:rPr>
        <w:t>have been clarified and amplified for the ease of the litigants</w:t>
      </w:r>
      <w:r w:rsidR="00E34DAA">
        <w:rPr>
          <w:color w:val="auto"/>
        </w:rPr>
        <w:t xml:space="preserve"> and the court</w:t>
      </w:r>
      <w:r>
        <w:rPr>
          <w:color w:val="auto"/>
        </w:rPr>
        <w:t>. This matter</w:t>
      </w:r>
      <w:r w:rsidR="00BE0AFF">
        <w:rPr>
          <w:color w:val="auto"/>
        </w:rPr>
        <w:t xml:space="preserve"> is however not concerned with the fresh grounds as outlined in the </w:t>
      </w:r>
      <w:r w:rsidR="00BE0AFF" w:rsidRPr="001F6E90">
        <w:rPr>
          <w:b/>
          <w:color w:val="auto"/>
        </w:rPr>
        <w:t>Labour Amendment Act</w:t>
      </w:r>
      <w:r w:rsidR="001F6E90">
        <w:rPr>
          <w:b/>
          <w:color w:val="auto"/>
        </w:rPr>
        <w:t>, 2015</w:t>
      </w:r>
      <w:r w:rsidR="00BE0AFF">
        <w:rPr>
          <w:color w:val="auto"/>
        </w:rPr>
        <w:t xml:space="preserve">. The Applicant in </w:t>
      </w:r>
      <w:proofErr w:type="spellStart"/>
      <w:r w:rsidR="00BE0AFF" w:rsidRPr="001F6E90">
        <w:rPr>
          <w:i/>
          <w:color w:val="auto"/>
        </w:rPr>
        <w:t>casu</w:t>
      </w:r>
      <w:proofErr w:type="spellEnd"/>
      <w:r w:rsidR="00BE0AFF">
        <w:rPr>
          <w:color w:val="auto"/>
        </w:rPr>
        <w:t xml:space="preserve"> needed to at the time of filing rely on either of the grounds for review as outlined in </w:t>
      </w:r>
      <w:r w:rsidR="00BE0AFF">
        <w:rPr>
          <w:b/>
          <w:color w:val="auto"/>
        </w:rPr>
        <w:t xml:space="preserve">Section 27 </w:t>
      </w:r>
      <w:r w:rsidR="00BE0AFF">
        <w:rPr>
          <w:color w:val="auto"/>
        </w:rPr>
        <w:t xml:space="preserve">of the </w:t>
      </w:r>
      <w:r w:rsidR="00BE0AFF">
        <w:rPr>
          <w:b/>
          <w:color w:val="auto"/>
        </w:rPr>
        <w:t>High Court Act [Cap</w:t>
      </w:r>
      <w:r w:rsidR="00E34DAA">
        <w:rPr>
          <w:b/>
          <w:color w:val="auto"/>
        </w:rPr>
        <w:t xml:space="preserve"> 7:06</w:t>
      </w:r>
      <w:r w:rsidR="00BE0AFF">
        <w:rPr>
          <w:b/>
          <w:color w:val="auto"/>
        </w:rPr>
        <w:t xml:space="preserve"> ]</w:t>
      </w:r>
      <w:r w:rsidR="00E34DAA">
        <w:rPr>
          <w:b/>
          <w:color w:val="auto"/>
        </w:rPr>
        <w:t xml:space="preserve"> </w:t>
      </w:r>
      <w:r w:rsidR="00E34DAA">
        <w:rPr>
          <w:color w:val="auto"/>
        </w:rPr>
        <w:t xml:space="preserve">referred to </w:t>
      </w:r>
      <w:r w:rsidR="00E34DAA" w:rsidRPr="00E34DAA">
        <w:rPr>
          <w:i/>
          <w:color w:val="auto"/>
        </w:rPr>
        <w:t>supra</w:t>
      </w:r>
      <w:r w:rsidR="00BE0AFF">
        <w:rPr>
          <w:color w:val="auto"/>
        </w:rPr>
        <w:t>. The application</w:t>
      </w:r>
      <w:r w:rsidR="001F6E90">
        <w:rPr>
          <w:color w:val="auto"/>
        </w:rPr>
        <w:t xml:space="preserve"> however</w:t>
      </w:r>
      <w:r w:rsidR="00BE0AFF">
        <w:rPr>
          <w:color w:val="auto"/>
        </w:rPr>
        <w:t xml:space="preserve"> is not premised on</w:t>
      </w:r>
      <w:r w:rsidR="001F6E90">
        <w:rPr>
          <w:color w:val="auto"/>
        </w:rPr>
        <w:t xml:space="preserve"> any of</w:t>
      </w:r>
      <w:r w:rsidR="00BE0AFF">
        <w:rPr>
          <w:color w:val="auto"/>
        </w:rPr>
        <w:t xml:space="preserve"> those grounds. The court however considering that the Applicant is a trade union represented by a non-lawyer is inclined to overlook</w:t>
      </w:r>
      <w:r w:rsidR="001F6E90">
        <w:rPr>
          <w:color w:val="auto"/>
        </w:rPr>
        <w:t xml:space="preserve"> the error. It is also patently</w:t>
      </w:r>
      <w:r w:rsidR="00BE0AFF">
        <w:rPr>
          <w:color w:val="auto"/>
        </w:rPr>
        <w:t xml:space="preserve"> clear from its papers that what the Applicant is claiming is that there was a gross irregularity emanating from the </w:t>
      </w:r>
      <w:r w:rsidR="00355728">
        <w:rPr>
          <w:color w:val="auto"/>
        </w:rPr>
        <w:t>First</w:t>
      </w:r>
      <w:r w:rsidR="00BE0AFF">
        <w:rPr>
          <w:color w:val="auto"/>
        </w:rPr>
        <w:t xml:space="preserve"> Respondent’s decision to reconsider its initial decision and that </w:t>
      </w:r>
      <w:r w:rsidR="001F6E90">
        <w:rPr>
          <w:color w:val="auto"/>
        </w:rPr>
        <w:t xml:space="preserve">this </w:t>
      </w:r>
      <w:r w:rsidR="00BE0AFF">
        <w:rPr>
          <w:color w:val="auto"/>
        </w:rPr>
        <w:t xml:space="preserve">is reviewable. In </w:t>
      </w:r>
      <w:r w:rsidR="00BE0AFF">
        <w:rPr>
          <w:color w:val="auto"/>
        </w:rPr>
        <w:lastRenderedPageBreak/>
        <w:t>my view the ground is a valid ground for review that this court can proceed to determine. I turn to dete</w:t>
      </w:r>
      <w:r w:rsidR="00611623">
        <w:rPr>
          <w:color w:val="auto"/>
        </w:rPr>
        <w:t>rmine the ground</w:t>
      </w:r>
      <w:r w:rsidR="00BE0AFF">
        <w:rPr>
          <w:color w:val="auto"/>
        </w:rPr>
        <w:t>.</w:t>
      </w:r>
    </w:p>
    <w:p w:rsidR="0090510B" w:rsidRDefault="00F3102C" w:rsidP="00E70E29">
      <w:pPr>
        <w:ind w:firstLine="720"/>
        <w:rPr>
          <w:color w:val="auto"/>
        </w:rPr>
      </w:pPr>
      <w:r>
        <w:rPr>
          <w:color w:val="auto"/>
        </w:rPr>
        <w:t>The Applicant submission before the court was</w:t>
      </w:r>
      <w:r w:rsidR="00E34DAA">
        <w:rPr>
          <w:color w:val="auto"/>
        </w:rPr>
        <w:t xml:space="preserve"> as follows; T</w:t>
      </w:r>
      <w:r>
        <w:rPr>
          <w:color w:val="auto"/>
        </w:rPr>
        <w:t xml:space="preserve">hat the </w:t>
      </w:r>
      <w:r w:rsidR="00E34DAA">
        <w:rPr>
          <w:color w:val="auto"/>
        </w:rPr>
        <w:t>First Respondent</w:t>
      </w:r>
      <w:r>
        <w:rPr>
          <w:color w:val="auto"/>
        </w:rPr>
        <w:t xml:space="preserve"> is duly established by the Constitution of the National Employment Council for the Detergents, Edible Oils and Fats</w:t>
      </w:r>
      <w:r w:rsidR="00411055">
        <w:rPr>
          <w:color w:val="auto"/>
        </w:rPr>
        <w:t xml:space="preserve"> Industry; the </w:t>
      </w:r>
      <w:r w:rsidR="00355728">
        <w:rPr>
          <w:color w:val="auto"/>
        </w:rPr>
        <w:t>Committee</w:t>
      </w:r>
      <w:r w:rsidR="00411055">
        <w:rPr>
          <w:color w:val="auto"/>
        </w:rPr>
        <w:t xml:space="preserve"> is made up of both parties i.e. trade union and employers organisation; the mandate of the </w:t>
      </w:r>
      <w:r w:rsidR="00355728">
        <w:rPr>
          <w:color w:val="auto"/>
        </w:rPr>
        <w:t>Committee</w:t>
      </w:r>
      <w:r w:rsidR="00411055">
        <w:rPr>
          <w:color w:val="auto"/>
        </w:rPr>
        <w:t xml:space="preserve"> is as outlined in </w:t>
      </w:r>
      <w:r w:rsidR="00411055">
        <w:rPr>
          <w:b/>
          <w:color w:val="auto"/>
        </w:rPr>
        <w:t xml:space="preserve">Section 11 </w:t>
      </w:r>
      <w:r w:rsidR="00411055">
        <w:rPr>
          <w:color w:val="auto"/>
        </w:rPr>
        <w:t xml:space="preserve">of the Constitution; the </w:t>
      </w:r>
      <w:r w:rsidR="00355728">
        <w:rPr>
          <w:color w:val="auto"/>
        </w:rPr>
        <w:t>Second</w:t>
      </w:r>
      <w:r w:rsidR="00411055">
        <w:rPr>
          <w:color w:val="auto"/>
        </w:rPr>
        <w:t xml:space="preserve"> Respondent having approached the </w:t>
      </w:r>
      <w:r w:rsidR="00355728">
        <w:rPr>
          <w:color w:val="auto"/>
        </w:rPr>
        <w:t>First</w:t>
      </w:r>
      <w:r w:rsidR="00E70E29">
        <w:rPr>
          <w:color w:val="auto"/>
        </w:rPr>
        <w:t xml:space="preserve"> Respondent with its initial</w:t>
      </w:r>
      <w:r w:rsidR="00411055">
        <w:rPr>
          <w:color w:val="auto"/>
        </w:rPr>
        <w:t xml:space="preserve"> application for exemption for periods January – December 2010 and January to December 2011 the </w:t>
      </w:r>
      <w:r w:rsidR="00355728">
        <w:rPr>
          <w:color w:val="auto"/>
        </w:rPr>
        <w:t>Committee</w:t>
      </w:r>
      <w:r w:rsidR="00411055">
        <w:rPr>
          <w:color w:val="auto"/>
        </w:rPr>
        <w:t xml:space="preserve"> then granted exemption in respect of January – December 2011</w:t>
      </w:r>
      <w:r w:rsidR="00340691">
        <w:rPr>
          <w:color w:val="auto"/>
        </w:rPr>
        <w:t xml:space="preserve">. The </w:t>
      </w:r>
      <w:r w:rsidR="00355728">
        <w:rPr>
          <w:color w:val="auto"/>
        </w:rPr>
        <w:t>Committee</w:t>
      </w:r>
      <w:r w:rsidR="00340691">
        <w:rPr>
          <w:color w:val="auto"/>
        </w:rPr>
        <w:t xml:space="preserve"> had declined the application in respect of the perio</w:t>
      </w:r>
      <w:r w:rsidR="00E70E29">
        <w:rPr>
          <w:color w:val="auto"/>
        </w:rPr>
        <w:t>d July to December 2010 and</w:t>
      </w:r>
      <w:r w:rsidR="00340691">
        <w:rPr>
          <w:color w:val="auto"/>
        </w:rPr>
        <w:t xml:space="preserve"> the reasons</w:t>
      </w:r>
      <w:r w:rsidR="00E70E29">
        <w:rPr>
          <w:color w:val="auto"/>
        </w:rPr>
        <w:t xml:space="preserve"> were</w:t>
      </w:r>
      <w:r w:rsidR="00340691">
        <w:rPr>
          <w:color w:val="auto"/>
        </w:rPr>
        <w:t xml:space="preserve"> furnished. The decision was</w:t>
      </w:r>
      <w:r w:rsidR="00E70E29">
        <w:rPr>
          <w:color w:val="auto"/>
        </w:rPr>
        <w:t xml:space="preserve"> made</w:t>
      </w:r>
      <w:r w:rsidR="00340691">
        <w:rPr>
          <w:color w:val="auto"/>
        </w:rPr>
        <w:t xml:space="preserve"> in terms of </w:t>
      </w:r>
      <w:r w:rsidR="00340691">
        <w:rPr>
          <w:b/>
          <w:color w:val="auto"/>
        </w:rPr>
        <w:t xml:space="preserve">Section 11 </w:t>
      </w:r>
      <w:r w:rsidR="00337837">
        <w:rPr>
          <w:b/>
          <w:color w:val="auto"/>
        </w:rPr>
        <w:t xml:space="preserve">(c) </w:t>
      </w:r>
      <w:r w:rsidR="00340691">
        <w:rPr>
          <w:b/>
          <w:color w:val="auto"/>
        </w:rPr>
        <w:t xml:space="preserve">(2) </w:t>
      </w:r>
      <w:r w:rsidR="00340691">
        <w:rPr>
          <w:color w:val="auto"/>
        </w:rPr>
        <w:t>of t</w:t>
      </w:r>
      <w:r w:rsidR="00E70E29">
        <w:rPr>
          <w:color w:val="auto"/>
        </w:rPr>
        <w:t>he NEC Constitution. In terms</w:t>
      </w:r>
      <w:r w:rsidR="00E34DAA">
        <w:rPr>
          <w:color w:val="auto"/>
        </w:rPr>
        <w:t xml:space="preserve"> of</w:t>
      </w:r>
      <w:r w:rsidR="00E70E29">
        <w:rPr>
          <w:color w:val="auto"/>
        </w:rPr>
        <w:t xml:space="preserve"> </w:t>
      </w:r>
      <w:r w:rsidR="00E70E29">
        <w:rPr>
          <w:b/>
          <w:color w:val="auto"/>
        </w:rPr>
        <w:t>Section 11</w:t>
      </w:r>
      <w:r w:rsidR="00337837">
        <w:rPr>
          <w:b/>
          <w:color w:val="auto"/>
        </w:rPr>
        <w:t>(c)</w:t>
      </w:r>
      <w:r w:rsidR="00E70E29">
        <w:rPr>
          <w:b/>
          <w:color w:val="auto"/>
        </w:rPr>
        <w:t xml:space="preserve"> (2) </w:t>
      </w:r>
      <w:r w:rsidR="00E34DAA">
        <w:rPr>
          <w:color w:val="auto"/>
        </w:rPr>
        <w:t xml:space="preserve">the </w:t>
      </w:r>
      <w:r w:rsidR="00340691">
        <w:rPr>
          <w:color w:val="auto"/>
        </w:rPr>
        <w:t xml:space="preserve">decision is a final decision and is not appealable. The </w:t>
      </w:r>
      <w:r w:rsidR="00355728">
        <w:rPr>
          <w:color w:val="auto"/>
        </w:rPr>
        <w:t>Second</w:t>
      </w:r>
      <w:r w:rsidR="00340691">
        <w:rPr>
          <w:color w:val="auto"/>
        </w:rPr>
        <w:t xml:space="preserve"> Respondent however made a fresh application before</w:t>
      </w:r>
      <w:r w:rsidR="00E70E29">
        <w:rPr>
          <w:color w:val="auto"/>
        </w:rPr>
        <w:t xml:space="preserve"> the same body resulting in the First Respondent</w:t>
      </w:r>
      <w:r w:rsidR="00340691">
        <w:rPr>
          <w:color w:val="auto"/>
        </w:rPr>
        <w:t xml:space="preserve"> granting the application for exemption. It was Applicant’s submission that it was grossly irregular</w:t>
      </w:r>
      <w:r w:rsidR="00E6130B">
        <w:rPr>
          <w:color w:val="auto"/>
        </w:rPr>
        <w:t xml:space="preserve"> for the </w:t>
      </w:r>
      <w:r w:rsidR="00E70E29">
        <w:rPr>
          <w:color w:val="auto"/>
        </w:rPr>
        <w:t>First Respondent</w:t>
      </w:r>
      <w:r w:rsidR="00E6130B">
        <w:rPr>
          <w:color w:val="auto"/>
        </w:rPr>
        <w:t xml:space="preserve"> to have sat to review its own decision and then granted t</w:t>
      </w:r>
      <w:r w:rsidR="00E70E29">
        <w:rPr>
          <w:color w:val="auto"/>
        </w:rPr>
        <w:t>he application essentially giving</w:t>
      </w:r>
      <w:r w:rsidR="00E6130B">
        <w:rPr>
          <w:color w:val="auto"/>
        </w:rPr>
        <w:t xml:space="preserve"> two </w:t>
      </w:r>
      <w:proofErr w:type="gramStart"/>
      <w:r w:rsidR="00E6130B">
        <w:rPr>
          <w:color w:val="auto"/>
        </w:rPr>
        <w:t>determination</w:t>
      </w:r>
      <w:proofErr w:type="gramEnd"/>
      <w:r w:rsidR="00E6130B">
        <w:rPr>
          <w:color w:val="auto"/>
        </w:rPr>
        <w:t xml:space="preserve"> in the same matter.</w:t>
      </w:r>
      <w:r w:rsidR="0090510B">
        <w:rPr>
          <w:color w:val="auto"/>
        </w:rPr>
        <w:t xml:space="preserve"> There was no provision in the Constitution allowing for such powers of re</w:t>
      </w:r>
      <w:r w:rsidR="00E70E29">
        <w:rPr>
          <w:color w:val="auto"/>
        </w:rPr>
        <w:t>view of its own decision. On that</w:t>
      </w:r>
      <w:r w:rsidR="0090510B">
        <w:rPr>
          <w:color w:val="auto"/>
        </w:rPr>
        <w:t xml:space="preserve"> basis it was </w:t>
      </w:r>
      <w:r w:rsidR="00E70E29">
        <w:rPr>
          <w:color w:val="auto"/>
        </w:rPr>
        <w:t xml:space="preserve">the </w:t>
      </w:r>
      <w:r w:rsidR="0090510B">
        <w:rPr>
          <w:color w:val="auto"/>
        </w:rPr>
        <w:t>Applicant</w:t>
      </w:r>
      <w:r w:rsidR="00E70E29">
        <w:rPr>
          <w:color w:val="auto"/>
        </w:rPr>
        <w:t>’s</w:t>
      </w:r>
      <w:r w:rsidR="0090510B">
        <w:rPr>
          <w:color w:val="auto"/>
        </w:rPr>
        <w:t xml:space="preserve"> submission the decision by the </w:t>
      </w:r>
      <w:r w:rsidR="00E70E29">
        <w:rPr>
          <w:color w:val="auto"/>
        </w:rPr>
        <w:t>First Respondent</w:t>
      </w:r>
      <w:r w:rsidR="0090510B">
        <w:rPr>
          <w:color w:val="auto"/>
        </w:rPr>
        <w:t xml:space="preserve"> was consequently null and void and ought to be set aside.</w:t>
      </w:r>
    </w:p>
    <w:p w:rsidR="00655127" w:rsidRDefault="00896825" w:rsidP="0059069C">
      <w:pPr>
        <w:rPr>
          <w:color w:val="auto"/>
        </w:rPr>
      </w:pPr>
      <w:r>
        <w:rPr>
          <w:color w:val="auto"/>
        </w:rPr>
        <w:tab/>
        <w:t xml:space="preserve">The </w:t>
      </w:r>
      <w:r w:rsidR="00355728">
        <w:rPr>
          <w:color w:val="auto"/>
        </w:rPr>
        <w:t>First</w:t>
      </w:r>
      <w:r>
        <w:rPr>
          <w:color w:val="auto"/>
        </w:rPr>
        <w:t xml:space="preserve"> Respondent submission was, contrary to the submission</w:t>
      </w:r>
      <w:r w:rsidR="00E70E29">
        <w:rPr>
          <w:color w:val="auto"/>
        </w:rPr>
        <w:t>s made</w:t>
      </w:r>
      <w:r>
        <w:rPr>
          <w:color w:val="auto"/>
        </w:rPr>
        <w:t xml:space="preserve"> by the Applicant, the </w:t>
      </w:r>
      <w:r w:rsidR="00355728">
        <w:rPr>
          <w:color w:val="auto"/>
        </w:rPr>
        <w:t>First</w:t>
      </w:r>
      <w:r>
        <w:rPr>
          <w:color w:val="auto"/>
        </w:rPr>
        <w:t xml:space="preserve"> Respondent </w:t>
      </w:r>
      <w:r w:rsidR="004035F8">
        <w:rPr>
          <w:color w:val="auto"/>
        </w:rPr>
        <w:t>when it initially sat to determ</w:t>
      </w:r>
      <w:r w:rsidR="00E70E29">
        <w:rPr>
          <w:color w:val="auto"/>
        </w:rPr>
        <w:t>ine the application did not hand down</w:t>
      </w:r>
      <w:r w:rsidR="003069F3">
        <w:rPr>
          <w:color w:val="auto"/>
        </w:rPr>
        <w:t xml:space="preserve"> a determination</w:t>
      </w:r>
      <w:r w:rsidR="004035F8">
        <w:rPr>
          <w:color w:val="auto"/>
        </w:rPr>
        <w:t xml:space="preserve"> in respect of the application for exemption for the January – December 2010. The </w:t>
      </w:r>
      <w:r w:rsidR="00355728">
        <w:rPr>
          <w:color w:val="auto"/>
        </w:rPr>
        <w:t>Committee</w:t>
      </w:r>
      <w:r w:rsidR="004035F8">
        <w:rPr>
          <w:color w:val="auto"/>
        </w:rPr>
        <w:t xml:space="preserve"> was constrained to determine the point in that the </w:t>
      </w:r>
      <w:r w:rsidR="00355728">
        <w:rPr>
          <w:color w:val="auto"/>
        </w:rPr>
        <w:t>Committee</w:t>
      </w:r>
      <w:r w:rsidR="004035F8">
        <w:rPr>
          <w:color w:val="auto"/>
        </w:rPr>
        <w:t xml:space="preserve"> considered that it could</w:t>
      </w:r>
      <w:r w:rsidR="0090510B">
        <w:rPr>
          <w:color w:val="auto"/>
        </w:rPr>
        <w:t xml:space="preserve"> </w:t>
      </w:r>
      <w:r w:rsidR="004035F8">
        <w:rPr>
          <w:color w:val="auto"/>
        </w:rPr>
        <w:t>not temper with a decision of a superior authority, being the Labour Court which had pegged the minimum wa</w:t>
      </w:r>
      <w:r w:rsidR="00E34DAA">
        <w:rPr>
          <w:color w:val="auto"/>
        </w:rPr>
        <w:t>ges through its determination in</w:t>
      </w:r>
      <w:r w:rsidR="004035F8">
        <w:rPr>
          <w:color w:val="auto"/>
        </w:rPr>
        <w:t xml:space="preserve"> the appeal case. It was after the </w:t>
      </w:r>
      <w:r w:rsidR="00355728">
        <w:rPr>
          <w:color w:val="auto"/>
        </w:rPr>
        <w:t>Second</w:t>
      </w:r>
      <w:r w:rsidR="004035F8">
        <w:rPr>
          <w:color w:val="auto"/>
        </w:rPr>
        <w:t xml:space="preserve"> Respondent had approached the </w:t>
      </w:r>
      <w:r w:rsidR="00355728">
        <w:rPr>
          <w:color w:val="auto"/>
        </w:rPr>
        <w:t>Committee</w:t>
      </w:r>
      <w:r w:rsidR="004035F8">
        <w:rPr>
          <w:color w:val="auto"/>
        </w:rPr>
        <w:t xml:space="preserve"> </w:t>
      </w:r>
      <w:r w:rsidR="003069F3">
        <w:rPr>
          <w:color w:val="auto"/>
        </w:rPr>
        <w:t xml:space="preserve">the second time </w:t>
      </w:r>
      <w:r w:rsidR="004035F8">
        <w:rPr>
          <w:color w:val="auto"/>
        </w:rPr>
        <w:t xml:space="preserve">and pointed at the error in the </w:t>
      </w:r>
      <w:r w:rsidR="00355728">
        <w:rPr>
          <w:color w:val="auto"/>
        </w:rPr>
        <w:t>Committee</w:t>
      </w:r>
      <w:r w:rsidR="004035F8">
        <w:rPr>
          <w:color w:val="auto"/>
        </w:rPr>
        <w:t xml:space="preserve"> assuming </w:t>
      </w:r>
      <w:r w:rsidR="001B0C6A">
        <w:rPr>
          <w:color w:val="auto"/>
        </w:rPr>
        <w:t xml:space="preserve">that it could not deal with the aspect of the 2010 wages, that the </w:t>
      </w:r>
      <w:r w:rsidR="00355728">
        <w:rPr>
          <w:color w:val="auto"/>
        </w:rPr>
        <w:t>Committee</w:t>
      </w:r>
      <w:r w:rsidR="001B0C6A">
        <w:rPr>
          <w:color w:val="auto"/>
        </w:rPr>
        <w:t xml:space="preserve"> had then dealt with the application and handed down its </w:t>
      </w:r>
      <w:r w:rsidR="001B0C6A">
        <w:rPr>
          <w:color w:val="auto"/>
        </w:rPr>
        <w:lastRenderedPageBreak/>
        <w:t>determination</w:t>
      </w:r>
      <w:r w:rsidR="005C380F">
        <w:rPr>
          <w:color w:val="auto"/>
        </w:rPr>
        <w:t>. I</w:t>
      </w:r>
      <w:r w:rsidR="001B0C6A">
        <w:rPr>
          <w:color w:val="auto"/>
        </w:rPr>
        <w:t xml:space="preserve">n </w:t>
      </w:r>
      <w:r w:rsidR="00355728">
        <w:rPr>
          <w:color w:val="auto"/>
        </w:rPr>
        <w:t>First</w:t>
      </w:r>
      <w:r w:rsidR="001B0C6A">
        <w:rPr>
          <w:color w:val="auto"/>
        </w:rPr>
        <w:t xml:space="preserve"> Respondent</w:t>
      </w:r>
      <w:r w:rsidR="005C380F">
        <w:rPr>
          <w:color w:val="auto"/>
        </w:rPr>
        <w:t xml:space="preserve">’s view the </w:t>
      </w:r>
      <w:r w:rsidR="003069F3">
        <w:rPr>
          <w:color w:val="auto"/>
        </w:rPr>
        <w:t>f</w:t>
      </w:r>
      <w:r w:rsidR="00355728">
        <w:rPr>
          <w:color w:val="auto"/>
        </w:rPr>
        <w:t>irst</w:t>
      </w:r>
      <w:r w:rsidR="005C380F">
        <w:rPr>
          <w:color w:val="auto"/>
        </w:rPr>
        <w:t xml:space="preserve"> time it dealt with the matter the </w:t>
      </w:r>
      <w:r w:rsidR="00355728">
        <w:rPr>
          <w:color w:val="auto"/>
        </w:rPr>
        <w:t>Committee</w:t>
      </w:r>
      <w:r w:rsidR="005C380F">
        <w:rPr>
          <w:color w:val="auto"/>
        </w:rPr>
        <w:t xml:space="preserve"> refused</w:t>
      </w:r>
      <w:r w:rsidR="003069F3">
        <w:rPr>
          <w:color w:val="auto"/>
        </w:rPr>
        <w:t>/declined</w:t>
      </w:r>
      <w:r w:rsidR="005C380F">
        <w:rPr>
          <w:color w:val="auto"/>
        </w:rPr>
        <w:t xml:space="preserve"> to determine the matter.</w:t>
      </w:r>
      <w:r w:rsidR="003069F3">
        <w:rPr>
          <w:color w:val="auto"/>
        </w:rPr>
        <w:t xml:space="preserve"> There was consequently no determination issued</w:t>
      </w:r>
      <w:r w:rsidR="00E34DAA">
        <w:rPr>
          <w:color w:val="auto"/>
        </w:rPr>
        <w:t xml:space="preserve"> then.</w:t>
      </w:r>
      <w:r w:rsidR="005C380F">
        <w:rPr>
          <w:color w:val="auto"/>
        </w:rPr>
        <w:t xml:space="preserve"> The only determination the </w:t>
      </w:r>
      <w:r w:rsidR="00355728">
        <w:rPr>
          <w:color w:val="auto"/>
        </w:rPr>
        <w:t>Committee</w:t>
      </w:r>
      <w:r w:rsidR="005C380F">
        <w:rPr>
          <w:color w:val="auto"/>
        </w:rPr>
        <w:t xml:space="preserve"> had made which was final was when the </w:t>
      </w:r>
      <w:r w:rsidR="00355728">
        <w:rPr>
          <w:color w:val="auto"/>
        </w:rPr>
        <w:t>Committee</w:t>
      </w:r>
      <w:r w:rsidR="005C380F">
        <w:rPr>
          <w:color w:val="auto"/>
        </w:rPr>
        <w:t xml:space="preserve"> was approached by the </w:t>
      </w:r>
      <w:r w:rsidR="00355728">
        <w:rPr>
          <w:color w:val="auto"/>
        </w:rPr>
        <w:t>Second</w:t>
      </w:r>
      <w:r w:rsidR="005C380F">
        <w:rPr>
          <w:color w:val="auto"/>
        </w:rPr>
        <w:t xml:space="preserve"> Respondent</w:t>
      </w:r>
      <w:r w:rsidR="003069F3">
        <w:rPr>
          <w:color w:val="auto"/>
        </w:rPr>
        <w:t xml:space="preserve"> the second time around. T</w:t>
      </w:r>
      <w:r w:rsidR="005C380F">
        <w:rPr>
          <w:color w:val="auto"/>
        </w:rPr>
        <w:t xml:space="preserve">he </w:t>
      </w:r>
      <w:r w:rsidR="00355728">
        <w:rPr>
          <w:color w:val="auto"/>
        </w:rPr>
        <w:t>Committee</w:t>
      </w:r>
      <w:r w:rsidR="003069F3">
        <w:rPr>
          <w:color w:val="auto"/>
        </w:rPr>
        <w:t xml:space="preserve"> had</w:t>
      </w:r>
      <w:r w:rsidR="005C380F">
        <w:rPr>
          <w:color w:val="auto"/>
        </w:rPr>
        <w:t xml:space="preserve"> sat on the 14</w:t>
      </w:r>
      <w:r w:rsidR="005C380F" w:rsidRPr="005C380F">
        <w:rPr>
          <w:color w:val="auto"/>
          <w:vertAlign w:val="superscript"/>
        </w:rPr>
        <w:t>th</w:t>
      </w:r>
      <w:r w:rsidR="005C380F">
        <w:rPr>
          <w:color w:val="auto"/>
        </w:rPr>
        <w:t xml:space="preserve"> of September, 2012</w:t>
      </w:r>
      <w:r w:rsidR="00E34DAA">
        <w:rPr>
          <w:color w:val="auto"/>
        </w:rPr>
        <w:t xml:space="preserve"> and then handed down its determination granting an exemption for 2010</w:t>
      </w:r>
      <w:r w:rsidR="005C380F">
        <w:rPr>
          <w:color w:val="auto"/>
        </w:rPr>
        <w:t xml:space="preserve">. According to the </w:t>
      </w:r>
      <w:r w:rsidR="00355728">
        <w:rPr>
          <w:color w:val="auto"/>
        </w:rPr>
        <w:t>First</w:t>
      </w:r>
      <w:r w:rsidR="005C380F">
        <w:rPr>
          <w:color w:val="auto"/>
        </w:rPr>
        <w:t xml:space="preserve"> Respondent no gross irregularity had been committed in the circumstances.</w:t>
      </w:r>
    </w:p>
    <w:p w:rsidR="00426A7F" w:rsidRDefault="00655127" w:rsidP="0059069C">
      <w:pPr>
        <w:rPr>
          <w:color w:val="auto"/>
        </w:rPr>
      </w:pPr>
      <w:r>
        <w:rPr>
          <w:color w:val="auto"/>
        </w:rPr>
        <w:tab/>
        <w:t xml:space="preserve">The </w:t>
      </w:r>
      <w:r w:rsidR="00355728">
        <w:rPr>
          <w:color w:val="auto"/>
        </w:rPr>
        <w:t>Second</w:t>
      </w:r>
      <w:r>
        <w:rPr>
          <w:color w:val="auto"/>
        </w:rPr>
        <w:t xml:space="preserve"> Respondent submission </w:t>
      </w:r>
      <w:r w:rsidR="003069F3">
        <w:rPr>
          <w:color w:val="auto"/>
        </w:rPr>
        <w:t xml:space="preserve">through Counsel </w:t>
      </w:r>
      <w:r>
        <w:rPr>
          <w:color w:val="auto"/>
        </w:rPr>
        <w:t xml:space="preserve">was that </w:t>
      </w:r>
      <w:r w:rsidR="00355728">
        <w:rPr>
          <w:color w:val="auto"/>
        </w:rPr>
        <w:t>First</w:t>
      </w:r>
      <w:r>
        <w:rPr>
          <w:color w:val="auto"/>
        </w:rPr>
        <w:t xml:space="preserve"> Respondent did not deal with the application for exemption for 2010 when it was initially referred by </w:t>
      </w:r>
      <w:r w:rsidR="00355728">
        <w:rPr>
          <w:color w:val="auto"/>
        </w:rPr>
        <w:t>Second</w:t>
      </w:r>
      <w:r>
        <w:rPr>
          <w:color w:val="auto"/>
        </w:rPr>
        <w:t xml:space="preserve"> Respondent. The </w:t>
      </w:r>
      <w:r w:rsidR="00355728">
        <w:rPr>
          <w:color w:val="auto"/>
        </w:rPr>
        <w:t>First</w:t>
      </w:r>
      <w:r>
        <w:rPr>
          <w:color w:val="auto"/>
        </w:rPr>
        <w:t xml:space="preserve"> Respondent had declined to deal with the matter on the basis of a wrong premise that it would amount to tempering with the decision of the Labour Court. The </w:t>
      </w:r>
      <w:r w:rsidR="00355728">
        <w:rPr>
          <w:color w:val="auto"/>
        </w:rPr>
        <w:t>Second</w:t>
      </w:r>
      <w:r>
        <w:rPr>
          <w:color w:val="auto"/>
        </w:rPr>
        <w:t xml:space="preserve"> Respondent however having then requested in the later application for the </w:t>
      </w:r>
      <w:r w:rsidR="00355728">
        <w:rPr>
          <w:color w:val="auto"/>
        </w:rPr>
        <w:t>First</w:t>
      </w:r>
      <w:r>
        <w:rPr>
          <w:color w:val="auto"/>
        </w:rPr>
        <w:t xml:space="preserve"> Respondent to reconsider its position considering </w:t>
      </w:r>
      <w:r w:rsidR="00355728">
        <w:rPr>
          <w:color w:val="auto"/>
        </w:rPr>
        <w:t>First</w:t>
      </w:r>
      <w:r>
        <w:rPr>
          <w:color w:val="auto"/>
        </w:rPr>
        <w:t xml:space="preserve">ly, </w:t>
      </w:r>
      <w:r w:rsidR="00E34DAA">
        <w:rPr>
          <w:color w:val="auto"/>
        </w:rPr>
        <w:t xml:space="preserve">that </w:t>
      </w:r>
      <w:r>
        <w:rPr>
          <w:color w:val="auto"/>
        </w:rPr>
        <w:t xml:space="preserve">the minimum wage was determined by the Arbitrator and not the Labour Court and </w:t>
      </w:r>
      <w:r w:rsidR="00355728">
        <w:rPr>
          <w:color w:val="auto"/>
        </w:rPr>
        <w:t>Second</w:t>
      </w:r>
      <w:r>
        <w:rPr>
          <w:color w:val="auto"/>
        </w:rPr>
        <w:t xml:space="preserve">ly that once the minimum wage had been determined and gazetted then </w:t>
      </w:r>
      <w:r w:rsidR="00355728">
        <w:rPr>
          <w:color w:val="auto"/>
        </w:rPr>
        <w:t>First</w:t>
      </w:r>
      <w:r>
        <w:rPr>
          <w:color w:val="auto"/>
        </w:rPr>
        <w:t xml:space="preserve"> Respondent could entertain any application for exemption placed before it the </w:t>
      </w:r>
      <w:r w:rsidR="00355728">
        <w:rPr>
          <w:color w:val="auto"/>
        </w:rPr>
        <w:t>First</w:t>
      </w:r>
      <w:r>
        <w:rPr>
          <w:color w:val="auto"/>
        </w:rPr>
        <w:t xml:space="preserve"> Respondent had duly granted the </w:t>
      </w:r>
      <w:r w:rsidR="00355728">
        <w:rPr>
          <w:color w:val="auto"/>
        </w:rPr>
        <w:t>Second</w:t>
      </w:r>
      <w:r>
        <w:rPr>
          <w:color w:val="auto"/>
        </w:rPr>
        <w:t xml:space="preserve"> Respondent application. It was </w:t>
      </w:r>
      <w:r w:rsidR="00355728">
        <w:rPr>
          <w:color w:val="auto"/>
        </w:rPr>
        <w:t>Second</w:t>
      </w:r>
      <w:r>
        <w:rPr>
          <w:color w:val="auto"/>
        </w:rPr>
        <w:t xml:space="preserve"> Respondent further submission</w:t>
      </w:r>
      <w:r w:rsidR="003069F3">
        <w:rPr>
          <w:color w:val="auto"/>
        </w:rPr>
        <w:t xml:space="preserve"> that</w:t>
      </w:r>
      <w:r>
        <w:rPr>
          <w:color w:val="auto"/>
        </w:rPr>
        <w:t xml:space="preserve"> against that background there were no two determinations by the </w:t>
      </w:r>
      <w:r w:rsidR="00355728">
        <w:rPr>
          <w:color w:val="auto"/>
        </w:rPr>
        <w:t>First</w:t>
      </w:r>
      <w:r>
        <w:rPr>
          <w:color w:val="auto"/>
        </w:rPr>
        <w:t xml:space="preserve"> Respondent. There was</w:t>
      </w:r>
      <w:r w:rsidR="003069F3">
        <w:rPr>
          <w:color w:val="auto"/>
        </w:rPr>
        <w:t xml:space="preserve"> initially</w:t>
      </w:r>
      <w:r>
        <w:rPr>
          <w:color w:val="auto"/>
        </w:rPr>
        <w:t xml:space="preserve"> a refusal to dea</w:t>
      </w:r>
      <w:r w:rsidR="00764CC2">
        <w:rPr>
          <w:color w:val="auto"/>
        </w:rPr>
        <w:t>l with the application and once</w:t>
      </w:r>
      <w:r>
        <w:rPr>
          <w:color w:val="auto"/>
        </w:rPr>
        <w:t xml:space="preserve"> the legal point</w:t>
      </w:r>
      <w:r w:rsidR="00764CC2">
        <w:rPr>
          <w:color w:val="auto"/>
        </w:rPr>
        <w:t xml:space="preserve"> had be</w:t>
      </w:r>
      <w:r w:rsidR="003069F3">
        <w:rPr>
          <w:color w:val="auto"/>
        </w:rPr>
        <w:t>en clarified the committee then handed its determination</w:t>
      </w:r>
      <w:r w:rsidR="00C228C5">
        <w:rPr>
          <w:color w:val="auto"/>
        </w:rPr>
        <w:t>. I</w:t>
      </w:r>
      <w:r w:rsidR="003069F3">
        <w:rPr>
          <w:color w:val="auto"/>
        </w:rPr>
        <w:t>t was also important to note there was no bar in</w:t>
      </w:r>
      <w:r w:rsidR="00764CC2">
        <w:rPr>
          <w:color w:val="auto"/>
        </w:rPr>
        <w:t xml:space="preserve"> </w:t>
      </w:r>
      <w:r w:rsidR="00C228C5">
        <w:rPr>
          <w:color w:val="auto"/>
        </w:rPr>
        <w:t xml:space="preserve">the </w:t>
      </w:r>
      <w:r w:rsidR="00764CC2">
        <w:rPr>
          <w:color w:val="auto"/>
        </w:rPr>
        <w:t>Constitution</w:t>
      </w:r>
      <w:r w:rsidR="00C228C5">
        <w:rPr>
          <w:color w:val="auto"/>
        </w:rPr>
        <w:t xml:space="preserve"> against the First Respondent</w:t>
      </w:r>
      <w:r w:rsidR="00764CC2">
        <w:rPr>
          <w:color w:val="auto"/>
        </w:rPr>
        <w:t xml:space="preserve"> entertaining an application for exemption after the minimum wages had been gazetted. It was </w:t>
      </w:r>
      <w:r w:rsidR="00355728">
        <w:rPr>
          <w:color w:val="auto"/>
        </w:rPr>
        <w:t>Second</w:t>
      </w:r>
      <w:r w:rsidR="00764CC2">
        <w:rPr>
          <w:color w:val="auto"/>
        </w:rPr>
        <w:t xml:space="preserve"> Respondent submission that no gross irregularity had thus been committed by the </w:t>
      </w:r>
      <w:r w:rsidR="00355728">
        <w:rPr>
          <w:color w:val="auto"/>
        </w:rPr>
        <w:t>First</w:t>
      </w:r>
      <w:r w:rsidR="00764CC2">
        <w:rPr>
          <w:color w:val="auto"/>
        </w:rPr>
        <w:t xml:space="preserve"> Respondent.</w:t>
      </w:r>
    </w:p>
    <w:p w:rsidR="00AB13A0" w:rsidRDefault="00426A7F" w:rsidP="0059069C">
      <w:pPr>
        <w:rPr>
          <w:color w:val="auto"/>
        </w:rPr>
      </w:pPr>
      <w:r>
        <w:rPr>
          <w:color w:val="auto"/>
        </w:rPr>
        <w:tab/>
        <w:t xml:space="preserve">The only issue that is before the court in my view is whether the </w:t>
      </w:r>
      <w:r w:rsidR="00355728">
        <w:rPr>
          <w:color w:val="auto"/>
        </w:rPr>
        <w:t>First</w:t>
      </w:r>
      <w:r>
        <w:rPr>
          <w:color w:val="auto"/>
        </w:rPr>
        <w:t xml:space="preserve"> Respondent committed a gross irregularity when it re-sat on the 14</w:t>
      </w:r>
      <w:r w:rsidRPr="00426A7F">
        <w:rPr>
          <w:color w:val="auto"/>
          <w:vertAlign w:val="superscript"/>
        </w:rPr>
        <w:t>th</w:t>
      </w:r>
      <w:r>
        <w:rPr>
          <w:color w:val="auto"/>
        </w:rPr>
        <w:t xml:space="preserve"> of September 2012 to consider the application for exemption for the period January – December 2010. </w:t>
      </w:r>
    </w:p>
    <w:p w:rsidR="000367E8" w:rsidRDefault="007C2197" w:rsidP="00AB13A0">
      <w:pPr>
        <w:ind w:firstLine="720"/>
        <w:rPr>
          <w:color w:val="auto"/>
        </w:rPr>
      </w:pPr>
      <w:r>
        <w:rPr>
          <w:color w:val="auto"/>
        </w:rPr>
        <w:lastRenderedPageBreak/>
        <w:t xml:space="preserve">The </w:t>
      </w:r>
      <w:r w:rsidR="00AB13A0">
        <w:rPr>
          <w:color w:val="auto"/>
        </w:rPr>
        <w:t>f</w:t>
      </w:r>
      <w:r w:rsidR="00355728">
        <w:rPr>
          <w:color w:val="auto"/>
        </w:rPr>
        <w:t>irst</w:t>
      </w:r>
      <w:r w:rsidR="00C228C5">
        <w:rPr>
          <w:color w:val="auto"/>
        </w:rPr>
        <w:t xml:space="preserve"> po</w:t>
      </w:r>
      <w:r w:rsidR="00AB13A0">
        <w:rPr>
          <w:color w:val="auto"/>
        </w:rPr>
        <w:t>rt</w:t>
      </w:r>
      <w:r>
        <w:rPr>
          <w:color w:val="auto"/>
        </w:rPr>
        <w:t xml:space="preserve"> of call is the powers of the </w:t>
      </w:r>
      <w:r w:rsidR="00AB13A0">
        <w:rPr>
          <w:color w:val="auto"/>
        </w:rPr>
        <w:t xml:space="preserve">Exemption </w:t>
      </w:r>
      <w:r w:rsidR="00355728">
        <w:rPr>
          <w:color w:val="auto"/>
        </w:rPr>
        <w:t>Committee</w:t>
      </w:r>
      <w:r>
        <w:rPr>
          <w:color w:val="auto"/>
        </w:rPr>
        <w:t xml:space="preserve">. The </w:t>
      </w:r>
      <w:r w:rsidR="00355728">
        <w:rPr>
          <w:color w:val="auto"/>
        </w:rPr>
        <w:t>Committee</w:t>
      </w:r>
      <w:r>
        <w:rPr>
          <w:color w:val="auto"/>
        </w:rPr>
        <w:t xml:space="preserve"> is indeed set up under the NEC Constitution</w:t>
      </w:r>
      <w:r w:rsidR="00C228C5">
        <w:rPr>
          <w:color w:val="auto"/>
        </w:rPr>
        <w:t>. Its powers as</w:t>
      </w:r>
      <w:r w:rsidR="00AB13A0">
        <w:rPr>
          <w:color w:val="auto"/>
        </w:rPr>
        <w:t xml:space="preserve"> outlined</w:t>
      </w:r>
      <w:r w:rsidR="00C228C5">
        <w:rPr>
          <w:color w:val="auto"/>
        </w:rPr>
        <w:t xml:space="preserve"> in the Constitution including receiving and determining applications for exemption from organisation covered by the Collective Bargaining Agreement</w:t>
      </w:r>
      <w:r w:rsidR="00AB13A0">
        <w:rPr>
          <w:color w:val="auto"/>
        </w:rPr>
        <w:t>.</w:t>
      </w:r>
      <w:r>
        <w:rPr>
          <w:color w:val="auto"/>
        </w:rPr>
        <w:t xml:space="preserve"> The constitution in </w:t>
      </w:r>
      <w:r w:rsidRPr="007C2197">
        <w:rPr>
          <w:b/>
          <w:color w:val="auto"/>
        </w:rPr>
        <w:t>Paragraph 11 (C) 2</w:t>
      </w:r>
      <w:r w:rsidR="000367E8">
        <w:rPr>
          <w:color w:val="auto"/>
        </w:rPr>
        <w:t xml:space="preserve"> clearly provides that upon consideration</w:t>
      </w:r>
      <w:r w:rsidR="00AB13A0">
        <w:rPr>
          <w:color w:val="auto"/>
        </w:rPr>
        <w:t xml:space="preserve"> of</w:t>
      </w:r>
      <w:r w:rsidR="000367E8">
        <w:rPr>
          <w:color w:val="auto"/>
        </w:rPr>
        <w:t xml:space="preserve"> an exemption application the </w:t>
      </w:r>
      <w:r w:rsidR="00355728">
        <w:rPr>
          <w:color w:val="auto"/>
        </w:rPr>
        <w:t>Committee</w:t>
      </w:r>
      <w:r w:rsidR="000367E8">
        <w:rPr>
          <w:color w:val="auto"/>
        </w:rPr>
        <w:t xml:space="preserve"> shall hand down a determination which determination shall be final and not appealable. </w:t>
      </w:r>
      <w:r w:rsidR="000367E8">
        <w:rPr>
          <w:b/>
          <w:color w:val="auto"/>
        </w:rPr>
        <w:t xml:space="preserve">Paragraph 11 (c) 2 </w:t>
      </w:r>
      <w:r w:rsidR="000367E8">
        <w:rPr>
          <w:color w:val="auto"/>
        </w:rPr>
        <w:t>in particular reads;</w:t>
      </w:r>
    </w:p>
    <w:p w:rsidR="00CB251E" w:rsidRDefault="000367E8" w:rsidP="00CB15BA">
      <w:pPr>
        <w:ind w:left="1440" w:hanging="720"/>
        <w:rPr>
          <w:color w:val="auto"/>
          <w:sz w:val="22"/>
        </w:rPr>
      </w:pPr>
      <w:r w:rsidRPr="00CB668A">
        <w:rPr>
          <w:color w:val="auto"/>
          <w:sz w:val="22"/>
        </w:rPr>
        <w:t>“2.</w:t>
      </w:r>
      <w:r w:rsidR="00CB15BA">
        <w:rPr>
          <w:color w:val="auto"/>
          <w:sz w:val="22"/>
        </w:rPr>
        <w:tab/>
      </w:r>
      <w:r w:rsidRPr="00CB668A">
        <w:rPr>
          <w:color w:val="auto"/>
          <w:sz w:val="22"/>
        </w:rPr>
        <w:t xml:space="preserve"> The exemption application, accompanied by the necessary supporting detail, shall be heard by the </w:t>
      </w:r>
      <w:r w:rsidR="00355728">
        <w:rPr>
          <w:color w:val="auto"/>
          <w:sz w:val="22"/>
        </w:rPr>
        <w:t>Committee</w:t>
      </w:r>
      <w:r w:rsidRPr="00CB668A">
        <w:rPr>
          <w:color w:val="auto"/>
          <w:sz w:val="22"/>
        </w:rPr>
        <w:t xml:space="preserve"> which shall come up with a determination and that determination shall be </w:t>
      </w:r>
      <w:r w:rsidR="00CB668A" w:rsidRPr="00CB668A">
        <w:rPr>
          <w:color w:val="auto"/>
          <w:sz w:val="22"/>
        </w:rPr>
        <w:t>final and not appealable”</w:t>
      </w:r>
      <w:r w:rsidR="007C2197" w:rsidRPr="00CB668A">
        <w:rPr>
          <w:color w:val="auto"/>
          <w:sz w:val="22"/>
        </w:rPr>
        <w:t xml:space="preserve">  </w:t>
      </w:r>
      <w:r w:rsidR="00426A7F" w:rsidRPr="00CB668A">
        <w:rPr>
          <w:color w:val="auto"/>
          <w:sz w:val="22"/>
        </w:rPr>
        <w:t xml:space="preserve">  </w:t>
      </w:r>
      <w:r w:rsidR="00764CC2" w:rsidRPr="00CB668A">
        <w:rPr>
          <w:color w:val="auto"/>
          <w:sz w:val="22"/>
        </w:rPr>
        <w:t xml:space="preserve"> </w:t>
      </w:r>
      <w:r w:rsidR="00E6130B" w:rsidRPr="00CB668A">
        <w:rPr>
          <w:color w:val="auto"/>
          <w:sz w:val="22"/>
        </w:rPr>
        <w:t xml:space="preserve"> </w:t>
      </w:r>
      <w:r w:rsidR="00340691" w:rsidRPr="00CB668A">
        <w:rPr>
          <w:color w:val="auto"/>
          <w:sz w:val="22"/>
        </w:rPr>
        <w:t xml:space="preserve"> </w:t>
      </w:r>
    </w:p>
    <w:p w:rsidR="00282106" w:rsidRDefault="00CB251E" w:rsidP="00CB668A">
      <w:pPr>
        <w:ind w:firstLine="720"/>
        <w:rPr>
          <w:color w:val="auto"/>
          <w:szCs w:val="24"/>
        </w:rPr>
      </w:pPr>
      <w:r>
        <w:rPr>
          <w:color w:val="auto"/>
          <w:szCs w:val="24"/>
        </w:rPr>
        <w:t xml:space="preserve">It is clear that the </w:t>
      </w:r>
      <w:r w:rsidR="00355728">
        <w:rPr>
          <w:color w:val="auto"/>
          <w:szCs w:val="24"/>
        </w:rPr>
        <w:t>Committee</w:t>
      </w:r>
      <w:r>
        <w:rPr>
          <w:color w:val="auto"/>
          <w:szCs w:val="24"/>
        </w:rPr>
        <w:t xml:space="preserve"> once it has sat to determine an application has to hand down a determination. The determination is final and not appealable</w:t>
      </w:r>
      <w:r w:rsidR="009B658C">
        <w:rPr>
          <w:color w:val="auto"/>
          <w:szCs w:val="24"/>
        </w:rPr>
        <w:t xml:space="preserve">. The facts in </w:t>
      </w:r>
      <w:proofErr w:type="spellStart"/>
      <w:r w:rsidR="009B658C">
        <w:rPr>
          <w:color w:val="auto"/>
          <w:szCs w:val="24"/>
        </w:rPr>
        <w:t>casu</w:t>
      </w:r>
      <w:proofErr w:type="spellEnd"/>
      <w:r w:rsidR="009B658C">
        <w:rPr>
          <w:color w:val="auto"/>
          <w:szCs w:val="24"/>
        </w:rPr>
        <w:t xml:space="preserve"> clearly disclose that the </w:t>
      </w:r>
      <w:r w:rsidR="00355728">
        <w:rPr>
          <w:color w:val="auto"/>
          <w:szCs w:val="24"/>
        </w:rPr>
        <w:t>Second</w:t>
      </w:r>
      <w:r w:rsidR="009B658C">
        <w:rPr>
          <w:color w:val="auto"/>
          <w:szCs w:val="24"/>
        </w:rPr>
        <w:t xml:space="preserve"> Respondent referred an application on the 23</w:t>
      </w:r>
      <w:r w:rsidR="009B658C" w:rsidRPr="009B658C">
        <w:rPr>
          <w:color w:val="auto"/>
          <w:szCs w:val="24"/>
          <w:vertAlign w:val="superscript"/>
        </w:rPr>
        <w:t>rd</w:t>
      </w:r>
      <w:r w:rsidR="009B658C">
        <w:rPr>
          <w:color w:val="auto"/>
          <w:szCs w:val="24"/>
        </w:rPr>
        <w:t xml:space="preserve"> July 2012. The </w:t>
      </w:r>
      <w:r w:rsidR="00355728">
        <w:rPr>
          <w:color w:val="auto"/>
          <w:szCs w:val="24"/>
        </w:rPr>
        <w:t>Committee</w:t>
      </w:r>
      <w:r w:rsidR="009B658C">
        <w:rPr>
          <w:color w:val="auto"/>
          <w:szCs w:val="24"/>
        </w:rPr>
        <w:t xml:space="preserve"> then sat on the 29</w:t>
      </w:r>
      <w:r w:rsidR="009B658C" w:rsidRPr="009B658C">
        <w:rPr>
          <w:color w:val="auto"/>
          <w:szCs w:val="24"/>
          <w:vertAlign w:val="superscript"/>
        </w:rPr>
        <w:t>th</w:t>
      </w:r>
      <w:r w:rsidR="009B658C">
        <w:rPr>
          <w:color w:val="auto"/>
          <w:szCs w:val="24"/>
        </w:rPr>
        <w:t xml:space="preserve"> of August, 2012. It handed down a deter</w:t>
      </w:r>
      <w:r w:rsidR="00AB13A0">
        <w:rPr>
          <w:color w:val="auto"/>
          <w:szCs w:val="24"/>
        </w:rPr>
        <w:t>mination which was communicated</w:t>
      </w:r>
      <w:r w:rsidR="009B658C">
        <w:rPr>
          <w:color w:val="auto"/>
          <w:szCs w:val="24"/>
        </w:rPr>
        <w:t xml:space="preserve"> through a letter by the NEC Chairman dated 29</w:t>
      </w:r>
      <w:r w:rsidR="009B658C" w:rsidRPr="009B658C">
        <w:rPr>
          <w:color w:val="auto"/>
          <w:szCs w:val="24"/>
          <w:vertAlign w:val="superscript"/>
        </w:rPr>
        <w:t>th</w:t>
      </w:r>
      <w:r w:rsidR="009B658C">
        <w:rPr>
          <w:color w:val="auto"/>
          <w:szCs w:val="24"/>
        </w:rPr>
        <w:t xml:space="preserve"> of August 2012. The determination reads</w:t>
      </w:r>
      <w:r w:rsidR="00565435">
        <w:rPr>
          <w:color w:val="auto"/>
          <w:szCs w:val="24"/>
        </w:rPr>
        <w:t>;</w:t>
      </w:r>
      <w:r w:rsidR="009B658C">
        <w:rPr>
          <w:color w:val="auto"/>
          <w:szCs w:val="24"/>
        </w:rPr>
        <w:t xml:space="preserve"> </w:t>
      </w:r>
    </w:p>
    <w:p w:rsidR="00C45647" w:rsidRDefault="002C0366" w:rsidP="00CB668A">
      <w:pPr>
        <w:ind w:firstLine="720"/>
        <w:rPr>
          <w:color w:val="auto"/>
          <w:szCs w:val="24"/>
        </w:rPr>
      </w:pPr>
      <w:r>
        <w:rPr>
          <w:color w:val="auto"/>
          <w:szCs w:val="24"/>
        </w:rPr>
        <w:t>“</w:t>
      </w:r>
      <w:r w:rsidR="00C45647">
        <w:rPr>
          <w:color w:val="auto"/>
          <w:szCs w:val="24"/>
        </w:rPr>
        <w:t>T</w:t>
      </w:r>
      <w:r>
        <w:rPr>
          <w:color w:val="auto"/>
          <w:szCs w:val="24"/>
        </w:rPr>
        <w:t>he Exemptions and Variations Committee at the meeting held on</w:t>
      </w:r>
      <w:r w:rsidR="00C45647">
        <w:rPr>
          <w:color w:val="auto"/>
          <w:szCs w:val="24"/>
        </w:rPr>
        <w:t xml:space="preserve"> the 29</w:t>
      </w:r>
      <w:r w:rsidR="00C45647" w:rsidRPr="00C45647">
        <w:rPr>
          <w:color w:val="auto"/>
          <w:szCs w:val="24"/>
          <w:vertAlign w:val="superscript"/>
        </w:rPr>
        <w:t>th</w:t>
      </w:r>
      <w:r w:rsidR="00C45647">
        <w:rPr>
          <w:color w:val="auto"/>
          <w:szCs w:val="24"/>
        </w:rPr>
        <w:t xml:space="preserve"> of August 2012 agreed on the following:</w:t>
      </w:r>
    </w:p>
    <w:p w:rsidR="00DA2A0B" w:rsidRPr="000C5F13" w:rsidRDefault="00C45647" w:rsidP="00C45647">
      <w:pPr>
        <w:pStyle w:val="ListParagraph"/>
        <w:numPr>
          <w:ilvl w:val="0"/>
          <w:numId w:val="7"/>
        </w:numPr>
        <w:rPr>
          <w:color w:val="auto"/>
          <w:sz w:val="22"/>
        </w:rPr>
      </w:pPr>
      <w:r w:rsidRPr="000C5F13">
        <w:rPr>
          <w:color w:val="auto"/>
          <w:sz w:val="22"/>
        </w:rPr>
        <w:t xml:space="preserve">That exemption from paying NEC minimum wages </w:t>
      </w:r>
      <w:proofErr w:type="gramStart"/>
      <w:r w:rsidRPr="00AB13A0">
        <w:rPr>
          <w:b/>
          <w:color w:val="auto"/>
          <w:sz w:val="22"/>
        </w:rPr>
        <w:t>be</w:t>
      </w:r>
      <w:proofErr w:type="gramEnd"/>
      <w:r w:rsidRPr="00AB13A0">
        <w:rPr>
          <w:b/>
          <w:color w:val="auto"/>
          <w:sz w:val="22"/>
        </w:rPr>
        <w:t xml:space="preserve"> denied for January to December 2010</w:t>
      </w:r>
      <w:r w:rsidRPr="000C5F13">
        <w:rPr>
          <w:color w:val="auto"/>
          <w:sz w:val="22"/>
        </w:rPr>
        <w:t xml:space="preserve"> for the reason that the increase for this period was awarded by the Labour Court which is a higher authority than the Exemption and Variations Committee. The Exemption and Variations Committee cannot therefore tamper with a decision made by a higher authority. It felt strongly that the application for the said period should have been limited to July – December and not to cover the whole period.</w:t>
      </w:r>
    </w:p>
    <w:p w:rsidR="00282106" w:rsidRPr="00C45647" w:rsidRDefault="00DA2A0B" w:rsidP="00C45647">
      <w:pPr>
        <w:pStyle w:val="ListParagraph"/>
        <w:numPr>
          <w:ilvl w:val="0"/>
          <w:numId w:val="7"/>
        </w:numPr>
        <w:rPr>
          <w:color w:val="auto"/>
          <w:szCs w:val="24"/>
        </w:rPr>
      </w:pPr>
      <w:r w:rsidRPr="000C5F13">
        <w:rPr>
          <w:color w:val="auto"/>
          <w:sz w:val="22"/>
        </w:rPr>
        <w:t xml:space="preserve">That exemption from paying NEC minimum wages and allowances </w:t>
      </w:r>
      <w:proofErr w:type="gramStart"/>
      <w:r w:rsidRPr="000C5F13">
        <w:rPr>
          <w:color w:val="auto"/>
          <w:sz w:val="22"/>
        </w:rPr>
        <w:t>be</w:t>
      </w:r>
      <w:proofErr w:type="gramEnd"/>
      <w:r w:rsidRPr="000C5F13">
        <w:rPr>
          <w:color w:val="auto"/>
          <w:sz w:val="22"/>
        </w:rPr>
        <w:t xml:space="preserve"> granted for the period January to December 2011.</w:t>
      </w:r>
      <w:r w:rsidR="000C5F13" w:rsidRPr="000C5F13">
        <w:rPr>
          <w:color w:val="auto"/>
          <w:sz w:val="22"/>
        </w:rPr>
        <w:t>”</w:t>
      </w:r>
      <w:r>
        <w:rPr>
          <w:color w:val="auto"/>
          <w:szCs w:val="24"/>
        </w:rPr>
        <w:t xml:space="preserve"> </w:t>
      </w:r>
      <w:r w:rsidR="00B13037">
        <w:rPr>
          <w:color w:val="auto"/>
          <w:szCs w:val="24"/>
        </w:rPr>
        <w:t xml:space="preserve">(my own underlining) </w:t>
      </w:r>
      <w:r w:rsidR="00C45647">
        <w:rPr>
          <w:color w:val="auto"/>
          <w:szCs w:val="24"/>
        </w:rPr>
        <w:t xml:space="preserve"> </w:t>
      </w:r>
      <w:r w:rsidR="00C45647" w:rsidRPr="00C45647">
        <w:rPr>
          <w:color w:val="auto"/>
          <w:szCs w:val="24"/>
        </w:rPr>
        <w:t xml:space="preserve"> </w:t>
      </w:r>
    </w:p>
    <w:p w:rsidR="0059069C" w:rsidRDefault="00282106" w:rsidP="00337837">
      <w:pPr>
        <w:ind w:firstLine="720"/>
        <w:rPr>
          <w:color w:val="auto"/>
          <w:szCs w:val="24"/>
        </w:rPr>
      </w:pPr>
      <w:r>
        <w:rPr>
          <w:color w:val="auto"/>
          <w:szCs w:val="24"/>
        </w:rPr>
        <w:t xml:space="preserve">It is clear upon perusal of the letter by the Chairman that the </w:t>
      </w:r>
      <w:r w:rsidR="00355728">
        <w:rPr>
          <w:color w:val="auto"/>
          <w:szCs w:val="24"/>
        </w:rPr>
        <w:t>Committee</w:t>
      </w:r>
      <w:r>
        <w:rPr>
          <w:color w:val="auto"/>
          <w:szCs w:val="24"/>
        </w:rPr>
        <w:t xml:space="preserve"> did consider the application and dismissed the application in respect of January to December 2010 whilst allowing exemption for January to December, 2011. The </w:t>
      </w:r>
      <w:r w:rsidR="00355728">
        <w:rPr>
          <w:color w:val="auto"/>
          <w:szCs w:val="24"/>
        </w:rPr>
        <w:t>First</w:t>
      </w:r>
      <w:r>
        <w:rPr>
          <w:color w:val="auto"/>
          <w:szCs w:val="24"/>
        </w:rPr>
        <w:t xml:space="preserve"> </w:t>
      </w:r>
      <w:r>
        <w:rPr>
          <w:color w:val="auto"/>
          <w:szCs w:val="24"/>
        </w:rPr>
        <w:lastRenderedPageBreak/>
        <w:t xml:space="preserve">and </w:t>
      </w:r>
      <w:r w:rsidR="00355728">
        <w:rPr>
          <w:color w:val="auto"/>
          <w:szCs w:val="24"/>
        </w:rPr>
        <w:t>Second</w:t>
      </w:r>
      <w:r>
        <w:rPr>
          <w:color w:val="auto"/>
          <w:szCs w:val="24"/>
        </w:rPr>
        <w:t xml:space="preserve"> Respondent have both argued that the </w:t>
      </w:r>
      <w:r w:rsidR="00355728">
        <w:rPr>
          <w:color w:val="auto"/>
          <w:szCs w:val="24"/>
        </w:rPr>
        <w:t>Committee</w:t>
      </w:r>
      <w:r>
        <w:rPr>
          <w:color w:val="auto"/>
          <w:szCs w:val="24"/>
        </w:rPr>
        <w:t xml:space="preserve"> did not determine the </w:t>
      </w:r>
      <w:r w:rsidR="00355728">
        <w:rPr>
          <w:color w:val="auto"/>
          <w:szCs w:val="24"/>
        </w:rPr>
        <w:t>First</w:t>
      </w:r>
      <w:r>
        <w:rPr>
          <w:color w:val="auto"/>
          <w:szCs w:val="24"/>
        </w:rPr>
        <w:t xml:space="preserve"> </w:t>
      </w:r>
      <w:proofErr w:type="gramStart"/>
      <w:r>
        <w:rPr>
          <w:color w:val="auto"/>
          <w:szCs w:val="24"/>
        </w:rPr>
        <w:t>issue,</w:t>
      </w:r>
      <w:r w:rsidR="00232BE7">
        <w:rPr>
          <w:color w:val="auto"/>
          <w:szCs w:val="24"/>
        </w:rPr>
        <w:t xml:space="preserve"> </w:t>
      </w:r>
      <w:r>
        <w:rPr>
          <w:color w:val="auto"/>
          <w:szCs w:val="24"/>
        </w:rPr>
        <w:t>that</w:t>
      </w:r>
      <w:proofErr w:type="gramEnd"/>
      <w:r>
        <w:rPr>
          <w:color w:val="auto"/>
          <w:szCs w:val="24"/>
        </w:rPr>
        <w:t xml:space="preserve"> the </w:t>
      </w:r>
      <w:r w:rsidR="00355728">
        <w:rPr>
          <w:color w:val="auto"/>
          <w:szCs w:val="24"/>
        </w:rPr>
        <w:t>Committee</w:t>
      </w:r>
      <w:r w:rsidR="00706F02">
        <w:rPr>
          <w:color w:val="auto"/>
          <w:szCs w:val="24"/>
        </w:rPr>
        <w:t xml:space="preserve"> refused</w:t>
      </w:r>
      <w:r w:rsidR="00AB13A0">
        <w:rPr>
          <w:color w:val="auto"/>
          <w:szCs w:val="24"/>
        </w:rPr>
        <w:t xml:space="preserve"> or declined</w:t>
      </w:r>
      <w:r w:rsidR="00706F02">
        <w:rPr>
          <w:color w:val="auto"/>
          <w:szCs w:val="24"/>
        </w:rPr>
        <w:t xml:space="preserve"> to address the application</w:t>
      </w:r>
      <w:r w:rsidR="00AB13A0">
        <w:rPr>
          <w:color w:val="auto"/>
          <w:szCs w:val="24"/>
        </w:rPr>
        <w:t>. With respect t</w:t>
      </w:r>
      <w:r w:rsidR="00B13037">
        <w:rPr>
          <w:color w:val="auto"/>
          <w:szCs w:val="24"/>
        </w:rPr>
        <w:t>he submission</w:t>
      </w:r>
      <w:r w:rsidR="00337837">
        <w:rPr>
          <w:color w:val="auto"/>
          <w:szCs w:val="24"/>
        </w:rPr>
        <w:t>s</w:t>
      </w:r>
      <w:r w:rsidR="00B13037">
        <w:rPr>
          <w:color w:val="auto"/>
          <w:szCs w:val="24"/>
        </w:rPr>
        <w:t xml:space="preserve"> by </w:t>
      </w:r>
      <w:r w:rsidR="00337837">
        <w:rPr>
          <w:color w:val="auto"/>
          <w:szCs w:val="24"/>
        </w:rPr>
        <w:t>both</w:t>
      </w:r>
      <w:r w:rsidR="00B13037">
        <w:rPr>
          <w:color w:val="auto"/>
          <w:szCs w:val="24"/>
        </w:rPr>
        <w:t xml:space="preserve"> Respondent</w:t>
      </w:r>
      <w:r w:rsidR="00AB13A0">
        <w:rPr>
          <w:color w:val="auto"/>
          <w:szCs w:val="24"/>
        </w:rPr>
        <w:t>s</w:t>
      </w:r>
      <w:r w:rsidR="00A21D0C">
        <w:rPr>
          <w:color w:val="auto"/>
          <w:szCs w:val="24"/>
        </w:rPr>
        <w:t xml:space="preserve"> are</w:t>
      </w:r>
      <w:r w:rsidR="00706F02">
        <w:rPr>
          <w:color w:val="auto"/>
          <w:szCs w:val="24"/>
        </w:rPr>
        <w:t xml:space="preserve"> not borne by the letter. The letter clearly shows that the </w:t>
      </w:r>
      <w:r w:rsidR="00355728">
        <w:rPr>
          <w:color w:val="auto"/>
          <w:szCs w:val="24"/>
        </w:rPr>
        <w:t>Committee</w:t>
      </w:r>
      <w:r w:rsidR="00706F02">
        <w:rPr>
          <w:color w:val="auto"/>
          <w:szCs w:val="24"/>
        </w:rPr>
        <w:t xml:space="preserve"> made a determination to decline the award of an exemption in respect of January to December 2010</w:t>
      </w:r>
      <w:r w:rsidR="00A21D0C">
        <w:rPr>
          <w:color w:val="auto"/>
          <w:szCs w:val="24"/>
        </w:rPr>
        <w:t>. They then elaborated on the reasons for denial. That was clearly a determination on the application</w:t>
      </w:r>
      <w:r w:rsidR="00337837">
        <w:rPr>
          <w:color w:val="auto"/>
          <w:szCs w:val="24"/>
        </w:rPr>
        <w:t xml:space="preserve"> referred to them on the 23</w:t>
      </w:r>
      <w:r w:rsidR="00337837" w:rsidRPr="00337837">
        <w:rPr>
          <w:color w:val="auto"/>
          <w:szCs w:val="24"/>
          <w:vertAlign w:val="superscript"/>
        </w:rPr>
        <w:t>rd</w:t>
      </w:r>
      <w:r w:rsidR="00337837">
        <w:rPr>
          <w:color w:val="auto"/>
          <w:szCs w:val="24"/>
        </w:rPr>
        <w:t xml:space="preserve"> July 2012</w:t>
      </w:r>
      <w:r w:rsidR="00A21D0C">
        <w:rPr>
          <w:color w:val="auto"/>
          <w:szCs w:val="24"/>
        </w:rPr>
        <w:t>.</w:t>
      </w:r>
    </w:p>
    <w:p w:rsidR="00706F02" w:rsidRDefault="00706F02" w:rsidP="00CB668A">
      <w:pPr>
        <w:ind w:firstLine="720"/>
        <w:rPr>
          <w:color w:val="auto"/>
          <w:szCs w:val="24"/>
        </w:rPr>
      </w:pPr>
      <w:r>
        <w:rPr>
          <w:color w:val="auto"/>
          <w:szCs w:val="24"/>
        </w:rPr>
        <w:t>Whether they made that decision based on the wrong reasons is clearly neither here nor there. The bottom line is they did make a determination on the 29</w:t>
      </w:r>
      <w:r w:rsidRPr="00706F02">
        <w:rPr>
          <w:color w:val="auto"/>
          <w:szCs w:val="24"/>
          <w:vertAlign w:val="superscript"/>
        </w:rPr>
        <w:t>th</w:t>
      </w:r>
      <w:r>
        <w:rPr>
          <w:color w:val="auto"/>
          <w:szCs w:val="24"/>
        </w:rPr>
        <w:t xml:space="preserve"> of August, 2012. That determination in terms of </w:t>
      </w:r>
      <w:r>
        <w:rPr>
          <w:b/>
          <w:color w:val="auto"/>
          <w:szCs w:val="24"/>
        </w:rPr>
        <w:t xml:space="preserve">Paragraph 11 (c) 2 </w:t>
      </w:r>
      <w:r w:rsidR="00B13037">
        <w:rPr>
          <w:color w:val="auto"/>
          <w:szCs w:val="24"/>
        </w:rPr>
        <w:t xml:space="preserve">of the relevant Constitution </w:t>
      </w:r>
      <w:r w:rsidR="00A21D0C">
        <w:rPr>
          <w:color w:val="auto"/>
          <w:szCs w:val="24"/>
        </w:rPr>
        <w:t>was final</w:t>
      </w:r>
      <w:r>
        <w:rPr>
          <w:color w:val="auto"/>
          <w:szCs w:val="24"/>
        </w:rPr>
        <w:t xml:space="preserve"> and not appealable. </w:t>
      </w:r>
    </w:p>
    <w:p w:rsidR="00FE3AD2" w:rsidRDefault="00706F02" w:rsidP="00CB668A">
      <w:pPr>
        <w:ind w:firstLine="720"/>
        <w:rPr>
          <w:color w:val="auto"/>
          <w:szCs w:val="24"/>
        </w:rPr>
      </w:pPr>
      <w:r>
        <w:rPr>
          <w:color w:val="auto"/>
          <w:szCs w:val="24"/>
        </w:rPr>
        <w:t xml:space="preserve">The argument has been tendered by </w:t>
      </w:r>
      <w:r w:rsidR="00355728">
        <w:rPr>
          <w:color w:val="auto"/>
          <w:szCs w:val="24"/>
        </w:rPr>
        <w:t>Second</w:t>
      </w:r>
      <w:r>
        <w:rPr>
          <w:color w:val="auto"/>
          <w:szCs w:val="24"/>
        </w:rPr>
        <w:t xml:space="preserve"> Respondent that it approached the </w:t>
      </w:r>
      <w:r w:rsidR="00355728">
        <w:rPr>
          <w:color w:val="auto"/>
          <w:szCs w:val="24"/>
        </w:rPr>
        <w:t>First</w:t>
      </w:r>
      <w:r>
        <w:rPr>
          <w:color w:val="auto"/>
          <w:szCs w:val="24"/>
        </w:rPr>
        <w:t xml:space="preserve"> Re</w:t>
      </w:r>
      <w:r w:rsidR="00B13037">
        <w:rPr>
          <w:color w:val="auto"/>
          <w:szCs w:val="24"/>
        </w:rPr>
        <w:t>spondent with a view to revisiting</w:t>
      </w:r>
      <w:r>
        <w:rPr>
          <w:color w:val="auto"/>
          <w:szCs w:val="24"/>
        </w:rPr>
        <w:t xml:space="preserve"> the correct position. The </w:t>
      </w:r>
      <w:r w:rsidR="00355728">
        <w:rPr>
          <w:color w:val="auto"/>
          <w:szCs w:val="24"/>
        </w:rPr>
        <w:t>First</w:t>
      </w:r>
      <w:r>
        <w:rPr>
          <w:color w:val="auto"/>
          <w:szCs w:val="24"/>
        </w:rPr>
        <w:t xml:space="preserve"> and </w:t>
      </w:r>
      <w:r w:rsidR="00355728">
        <w:rPr>
          <w:color w:val="auto"/>
          <w:szCs w:val="24"/>
        </w:rPr>
        <w:t>Second</w:t>
      </w:r>
      <w:r>
        <w:rPr>
          <w:color w:val="auto"/>
          <w:szCs w:val="24"/>
        </w:rPr>
        <w:t xml:space="preserve"> Respondent in their oral submis</w:t>
      </w:r>
      <w:r w:rsidR="00A21D0C">
        <w:rPr>
          <w:color w:val="auto"/>
          <w:szCs w:val="24"/>
        </w:rPr>
        <w:t>sion were both striving to avoid</w:t>
      </w:r>
      <w:r w:rsidR="00FE3AD2">
        <w:rPr>
          <w:color w:val="auto"/>
          <w:szCs w:val="24"/>
        </w:rPr>
        <w:t xml:space="preserve"> the use of the word ‘review’ but in essence </w:t>
      </w:r>
      <w:r w:rsidR="00A21D0C">
        <w:rPr>
          <w:color w:val="auto"/>
          <w:szCs w:val="24"/>
        </w:rPr>
        <w:t xml:space="preserve">what </w:t>
      </w:r>
      <w:r w:rsidR="00FE3AD2">
        <w:rPr>
          <w:color w:val="auto"/>
          <w:szCs w:val="24"/>
        </w:rPr>
        <w:t xml:space="preserve">the </w:t>
      </w:r>
      <w:r w:rsidR="00355728">
        <w:rPr>
          <w:color w:val="auto"/>
          <w:szCs w:val="24"/>
        </w:rPr>
        <w:t>Second</w:t>
      </w:r>
      <w:r w:rsidR="00FE3AD2">
        <w:rPr>
          <w:color w:val="auto"/>
          <w:szCs w:val="24"/>
        </w:rPr>
        <w:t xml:space="preserve"> Respondent was indeed seeking </w:t>
      </w:r>
      <w:r w:rsidR="00A21D0C">
        <w:rPr>
          <w:color w:val="auto"/>
          <w:szCs w:val="24"/>
        </w:rPr>
        <w:t xml:space="preserve">was </w:t>
      </w:r>
      <w:r w:rsidR="00FE3AD2">
        <w:rPr>
          <w:color w:val="auto"/>
          <w:szCs w:val="24"/>
        </w:rPr>
        <w:t xml:space="preserve">a review of the initial determination by the </w:t>
      </w:r>
      <w:r w:rsidR="00355728">
        <w:rPr>
          <w:color w:val="auto"/>
          <w:szCs w:val="24"/>
        </w:rPr>
        <w:t>First</w:t>
      </w:r>
      <w:r w:rsidR="00B13037">
        <w:rPr>
          <w:color w:val="auto"/>
          <w:szCs w:val="24"/>
        </w:rPr>
        <w:t xml:space="preserve"> Respondent</w:t>
      </w:r>
      <w:r w:rsidR="00A21D0C">
        <w:rPr>
          <w:color w:val="auto"/>
          <w:szCs w:val="24"/>
        </w:rPr>
        <w:t>. The</w:t>
      </w:r>
      <w:r w:rsidR="00FE3AD2">
        <w:rPr>
          <w:color w:val="auto"/>
          <w:szCs w:val="24"/>
        </w:rPr>
        <w:t xml:space="preserve"> approach by the </w:t>
      </w:r>
      <w:r w:rsidR="00355728">
        <w:rPr>
          <w:color w:val="auto"/>
          <w:szCs w:val="24"/>
        </w:rPr>
        <w:t>Second</w:t>
      </w:r>
      <w:r w:rsidR="00FE3AD2">
        <w:rPr>
          <w:color w:val="auto"/>
          <w:szCs w:val="24"/>
        </w:rPr>
        <w:t xml:space="preserve"> Respondent that it was only seeking a reconsideration of the position adopted is belied by the papers filed by the </w:t>
      </w:r>
      <w:r w:rsidR="00355728">
        <w:rPr>
          <w:color w:val="auto"/>
          <w:szCs w:val="24"/>
        </w:rPr>
        <w:t>First</w:t>
      </w:r>
      <w:r w:rsidR="00FE3AD2">
        <w:rPr>
          <w:color w:val="auto"/>
          <w:szCs w:val="24"/>
        </w:rPr>
        <w:t xml:space="preserve"> Respondent. The papers clearly reveal that the </w:t>
      </w:r>
      <w:r w:rsidR="00355728">
        <w:rPr>
          <w:color w:val="auto"/>
          <w:szCs w:val="24"/>
        </w:rPr>
        <w:t>Second</w:t>
      </w:r>
      <w:r w:rsidR="00FE3AD2">
        <w:rPr>
          <w:color w:val="auto"/>
          <w:szCs w:val="24"/>
        </w:rPr>
        <w:t xml:space="preserve"> Respondent was seeking a review of the </w:t>
      </w:r>
      <w:r w:rsidR="00355728">
        <w:rPr>
          <w:color w:val="auto"/>
          <w:szCs w:val="24"/>
        </w:rPr>
        <w:t>First</w:t>
      </w:r>
      <w:r w:rsidR="00FE3AD2">
        <w:rPr>
          <w:color w:val="auto"/>
          <w:szCs w:val="24"/>
        </w:rPr>
        <w:t xml:space="preserve"> Respondent initial determination. The minutes of the </w:t>
      </w:r>
      <w:r w:rsidR="00355728">
        <w:rPr>
          <w:color w:val="auto"/>
          <w:szCs w:val="24"/>
        </w:rPr>
        <w:t>First</w:t>
      </w:r>
      <w:r w:rsidR="00FE3AD2">
        <w:rPr>
          <w:color w:val="auto"/>
          <w:szCs w:val="24"/>
        </w:rPr>
        <w:t xml:space="preserve"> Respondent which are dated 14</w:t>
      </w:r>
      <w:r w:rsidR="00FE3AD2" w:rsidRPr="00FE3AD2">
        <w:rPr>
          <w:color w:val="auto"/>
          <w:szCs w:val="24"/>
          <w:vertAlign w:val="superscript"/>
        </w:rPr>
        <w:t>th</w:t>
      </w:r>
      <w:r w:rsidR="00FE3AD2">
        <w:rPr>
          <w:color w:val="auto"/>
          <w:szCs w:val="24"/>
        </w:rPr>
        <w:t xml:space="preserve"> September 2012 </w:t>
      </w:r>
      <w:r w:rsidR="00B13037">
        <w:rPr>
          <w:color w:val="auto"/>
          <w:szCs w:val="24"/>
        </w:rPr>
        <w:t>also clearly indicate</w:t>
      </w:r>
      <w:r w:rsidR="00FE3AD2">
        <w:rPr>
          <w:color w:val="auto"/>
          <w:szCs w:val="24"/>
        </w:rPr>
        <w:t xml:space="preserve"> that they are ‘minutes of the review of Olivine’s application for exemption</w:t>
      </w:r>
      <w:r w:rsidR="00B13037">
        <w:rPr>
          <w:color w:val="auto"/>
          <w:szCs w:val="24"/>
        </w:rPr>
        <w:t>’</w:t>
      </w:r>
      <w:r w:rsidR="00FE3AD2">
        <w:rPr>
          <w:color w:val="auto"/>
          <w:szCs w:val="24"/>
        </w:rPr>
        <w:t xml:space="preserve"> held on the 14</w:t>
      </w:r>
      <w:r w:rsidR="00FE3AD2" w:rsidRPr="00FE3AD2">
        <w:rPr>
          <w:color w:val="auto"/>
          <w:szCs w:val="24"/>
          <w:vertAlign w:val="superscript"/>
        </w:rPr>
        <w:t>th</w:t>
      </w:r>
      <w:r w:rsidR="00FE3AD2">
        <w:rPr>
          <w:color w:val="auto"/>
          <w:szCs w:val="24"/>
        </w:rPr>
        <w:t xml:space="preserve"> of September, 2012’. Inside the body of the minutes it shows that Olivine HR Director thanked the </w:t>
      </w:r>
      <w:r w:rsidR="00355728">
        <w:rPr>
          <w:color w:val="auto"/>
          <w:szCs w:val="24"/>
        </w:rPr>
        <w:t>Committee</w:t>
      </w:r>
      <w:r w:rsidR="00A21D0C">
        <w:rPr>
          <w:color w:val="auto"/>
          <w:szCs w:val="24"/>
        </w:rPr>
        <w:t xml:space="preserve"> for granting them</w:t>
      </w:r>
      <w:r w:rsidR="00FE3AD2">
        <w:rPr>
          <w:color w:val="auto"/>
          <w:szCs w:val="24"/>
        </w:rPr>
        <w:t xml:space="preserve"> an opportunity to review their application for ex</w:t>
      </w:r>
      <w:r w:rsidR="00A21D0C">
        <w:rPr>
          <w:color w:val="auto"/>
          <w:szCs w:val="24"/>
        </w:rPr>
        <w:t>empt</w:t>
      </w:r>
      <w:r w:rsidR="00B13037">
        <w:rPr>
          <w:color w:val="auto"/>
          <w:szCs w:val="24"/>
        </w:rPr>
        <w:t>ion. Finally the letter containing</w:t>
      </w:r>
      <w:r w:rsidR="00A21D0C">
        <w:rPr>
          <w:color w:val="auto"/>
          <w:szCs w:val="24"/>
        </w:rPr>
        <w:t xml:space="preserve"> the</w:t>
      </w:r>
      <w:r w:rsidR="00FE3AD2">
        <w:rPr>
          <w:color w:val="auto"/>
          <w:szCs w:val="24"/>
        </w:rPr>
        <w:t xml:space="preserve"> </w:t>
      </w:r>
      <w:r w:rsidR="00B13037">
        <w:rPr>
          <w:color w:val="auto"/>
          <w:szCs w:val="24"/>
        </w:rPr>
        <w:t>s</w:t>
      </w:r>
      <w:r w:rsidR="00355728">
        <w:rPr>
          <w:color w:val="auto"/>
          <w:szCs w:val="24"/>
        </w:rPr>
        <w:t>econd</w:t>
      </w:r>
      <w:r w:rsidR="00FE3AD2">
        <w:rPr>
          <w:color w:val="auto"/>
          <w:szCs w:val="24"/>
        </w:rPr>
        <w:t xml:space="preserve"> determination</w:t>
      </w:r>
      <w:r w:rsidR="00A21D0C">
        <w:rPr>
          <w:color w:val="auto"/>
          <w:szCs w:val="24"/>
        </w:rPr>
        <w:t xml:space="preserve"> by the</w:t>
      </w:r>
      <w:r w:rsidR="00FE3AD2">
        <w:rPr>
          <w:color w:val="auto"/>
          <w:szCs w:val="24"/>
        </w:rPr>
        <w:t xml:space="preserve"> NEC Chairman dated</w:t>
      </w:r>
      <w:r w:rsidR="00B13037">
        <w:rPr>
          <w:color w:val="auto"/>
          <w:szCs w:val="24"/>
        </w:rPr>
        <w:t xml:space="preserve"> the</w:t>
      </w:r>
      <w:r w:rsidR="00FE3AD2">
        <w:rPr>
          <w:color w:val="auto"/>
          <w:szCs w:val="24"/>
        </w:rPr>
        <w:t xml:space="preserve"> 14</w:t>
      </w:r>
      <w:r w:rsidR="00B13037" w:rsidRPr="00B13037">
        <w:rPr>
          <w:color w:val="auto"/>
          <w:szCs w:val="24"/>
          <w:vertAlign w:val="superscript"/>
        </w:rPr>
        <w:t>th</w:t>
      </w:r>
      <w:r w:rsidR="00FE3AD2">
        <w:rPr>
          <w:color w:val="auto"/>
          <w:szCs w:val="24"/>
        </w:rPr>
        <w:t xml:space="preserve"> September 2012 is </w:t>
      </w:r>
      <w:r w:rsidR="00B13037">
        <w:rPr>
          <w:color w:val="auto"/>
          <w:szCs w:val="24"/>
        </w:rPr>
        <w:t xml:space="preserve">also </w:t>
      </w:r>
      <w:r w:rsidR="00FE3AD2">
        <w:rPr>
          <w:color w:val="auto"/>
          <w:szCs w:val="24"/>
        </w:rPr>
        <w:t xml:space="preserve">clearly titled ‘Review of the Exemption </w:t>
      </w:r>
      <w:r w:rsidR="00355728">
        <w:rPr>
          <w:color w:val="auto"/>
          <w:szCs w:val="24"/>
        </w:rPr>
        <w:t>Committee</w:t>
      </w:r>
      <w:r w:rsidR="00B13037">
        <w:rPr>
          <w:color w:val="auto"/>
          <w:szCs w:val="24"/>
        </w:rPr>
        <w:t xml:space="preserve"> Decision-Exemption for 2010.</w:t>
      </w:r>
    </w:p>
    <w:p w:rsidR="00855B17" w:rsidRDefault="00561B2D" w:rsidP="0094619F">
      <w:pPr>
        <w:ind w:firstLine="720"/>
        <w:rPr>
          <w:color w:val="auto"/>
          <w:szCs w:val="24"/>
        </w:rPr>
      </w:pPr>
      <w:r>
        <w:rPr>
          <w:color w:val="auto"/>
          <w:szCs w:val="24"/>
        </w:rPr>
        <w:t>The question t</w:t>
      </w:r>
      <w:r w:rsidR="00A21D0C">
        <w:rPr>
          <w:color w:val="auto"/>
          <w:szCs w:val="24"/>
        </w:rPr>
        <w:t xml:space="preserve">hat arises then is whether </w:t>
      </w:r>
      <w:r w:rsidR="00B13037">
        <w:rPr>
          <w:color w:val="auto"/>
          <w:szCs w:val="24"/>
        </w:rPr>
        <w:t>the First Respondent had</w:t>
      </w:r>
      <w:r w:rsidR="00A21D0C">
        <w:rPr>
          <w:color w:val="auto"/>
          <w:szCs w:val="24"/>
        </w:rPr>
        <w:t xml:space="preserve"> the powers to review a</w:t>
      </w:r>
      <w:r>
        <w:rPr>
          <w:color w:val="auto"/>
          <w:szCs w:val="24"/>
        </w:rPr>
        <w:t>n earlier decision made in respect</w:t>
      </w:r>
      <w:r w:rsidR="00855B17">
        <w:rPr>
          <w:color w:val="auto"/>
          <w:szCs w:val="24"/>
        </w:rPr>
        <w:t xml:space="preserve"> of t</w:t>
      </w:r>
      <w:r w:rsidR="00B13037">
        <w:rPr>
          <w:color w:val="auto"/>
          <w:szCs w:val="24"/>
        </w:rPr>
        <w:t>he same matter. Clearly it did</w:t>
      </w:r>
      <w:r w:rsidR="00855B17">
        <w:rPr>
          <w:color w:val="auto"/>
          <w:szCs w:val="24"/>
        </w:rPr>
        <w:t xml:space="preserve"> not. A perusal of the Constitution shows</w:t>
      </w:r>
      <w:r w:rsidR="00A21D0C">
        <w:rPr>
          <w:color w:val="auto"/>
          <w:szCs w:val="24"/>
        </w:rPr>
        <w:t xml:space="preserve"> that the Constitution</w:t>
      </w:r>
      <w:r w:rsidR="00855B17">
        <w:rPr>
          <w:color w:val="auto"/>
          <w:szCs w:val="24"/>
        </w:rPr>
        <w:t xml:space="preserve"> has no such provision for a </w:t>
      </w:r>
      <w:r w:rsidR="00855B17">
        <w:rPr>
          <w:color w:val="auto"/>
          <w:szCs w:val="24"/>
        </w:rPr>
        <w:lastRenderedPageBreak/>
        <w:t xml:space="preserve">review by the Exemption </w:t>
      </w:r>
      <w:r w:rsidR="00355728">
        <w:rPr>
          <w:color w:val="auto"/>
          <w:szCs w:val="24"/>
        </w:rPr>
        <w:t>Committee</w:t>
      </w:r>
      <w:r w:rsidR="00855B17">
        <w:rPr>
          <w:color w:val="auto"/>
          <w:szCs w:val="24"/>
        </w:rPr>
        <w:t xml:space="preserve"> of its own decision.</w:t>
      </w:r>
      <w:r w:rsidR="0094619F">
        <w:rPr>
          <w:color w:val="auto"/>
          <w:szCs w:val="24"/>
        </w:rPr>
        <w:t xml:space="preserve"> </w:t>
      </w:r>
      <w:r w:rsidR="00855B17">
        <w:rPr>
          <w:color w:val="auto"/>
          <w:szCs w:val="24"/>
        </w:rPr>
        <w:t xml:space="preserve">The Constitution instead clearly provides in </w:t>
      </w:r>
      <w:r w:rsidR="00855B17">
        <w:rPr>
          <w:b/>
          <w:color w:val="auto"/>
          <w:szCs w:val="24"/>
        </w:rPr>
        <w:t xml:space="preserve">Section 11 (c) 2 </w:t>
      </w:r>
      <w:r w:rsidR="00855B17">
        <w:rPr>
          <w:color w:val="auto"/>
          <w:szCs w:val="24"/>
        </w:rPr>
        <w:t xml:space="preserve">that the </w:t>
      </w:r>
      <w:r w:rsidR="00355728">
        <w:rPr>
          <w:color w:val="auto"/>
          <w:szCs w:val="24"/>
        </w:rPr>
        <w:t>Committee</w:t>
      </w:r>
      <w:r w:rsidR="00855B17">
        <w:rPr>
          <w:color w:val="auto"/>
          <w:szCs w:val="24"/>
        </w:rPr>
        <w:t xml:space="preserve"> once it has reached a determination that determination is final and not appealable.</w:t>
      </w:r>
      <w:r w:rsidR="00A21D0C">
        <w:rPr>
          <w:color w:val="auto"/>
          <w:szCs w:val="24"/>
        </w:rPr>
        <w:t xml:space="preserve"> </w:t>
      </w:r>
      <w:r w:rsidR="00855B17">
        <w:rPr>
          <w:color w:val="auto"/>
          <w:szCs w:val="24"/>
        </w:rPr>
        <w:t xml:space="preserve">It was open to the </w:t>
      </w:r>
      <w:r w:rsidR="00355728">
        <w:rPr>
          <w:color w:val="auto"/>
          <w:szCs w:val="24"/>
        </w:rPr>
        <w:t>Second</w:t>
      </w:r>
      <w:r w:rsidR="00855B17">
        <w:rPr>
          <w:color w:val="auto"/>
          <w:szCs w:val="24"/>
        </w:rPr>
        <w:t xml:space="preserve"> Respondent to if it was aggrieved by the decision to seek a review of the determination in the Labour Court </w:t>
      </w:r>
      <w:r w:rsidR="006669BD">
        <w:rPr>
          <w:color w:val="auto"/>
          <w:szCs w:val="24"/>
        </w:rPr>
        <w:t xml:space="preserve">or even appeal </w:t>
      </w:r>
      <w:r w:rsidR="00855B17">
        <w:rPr>
          <w:color w:val="auto"/>
          <w:szCs w:val="24"/>
        </w:rPr>
        <w:t>if it was so inclined.</w:t>
      </w:r>
    </w:p>
    <w:p w:rsidR="00855B17" w:rsidRDefault="00855B17" w:rsidP="00CB668A">
      <w:pPr>
        <w:ind w:firstLine="720"/>
        <w:rPr>
          <w:color w:val="auto"/>
          <w:szCs w:val="24"/>
        </w:rPr>
      </w:pPr>
      <w:r>
        <w:rPr>
          <w:color w:val="auto"/>
          <w:szCs w:val="24"/>
        </w:rPr>
        <w:t xml:space="preserve">The </w:t>
      </w:r>
      <w:r w:rsidR="00355728">
        <w:rPr>
          <w:color w:val="auto"/>
          <w:szCs w:val="24"/>
        </w:rPr>
        <w:t>First</w:t>
      </w:r>
      <w:r>
        <w:rPr>
          <w:color w:val="auto"/>
          <w:szCs w:val="24"/>
        </w:rPr>
        <w:t xml:space="preserve"> and </w:t>
      </w:r>
      <w:r w:rsidR="00355728">
        <w:rPr>
          <w:color w:val="auto"/>
          <w:szCs w:val="24"/>
        </w:rPr>
        <w:t>Second</w:t>
      </w:r>
      <w:r>
        <w:rPr>
          <w:color w:val="auto"/>
          <w:szCs w:val="24"/>
        </w:rPr>
        <w:t xml:space="preserve"> Respondent in </w:t>
      </w:r>
      <w:r w:rsidR="00377494">
        <w:rPr>
          <w:color w:val="auto"/>
          <w:szCs w:val="24"/>
        </w:rPr>
        <w:t xml:space="preserve">both </w:t>
      </w:r>
      <w:r>
        <w:rPr>
          <w:color w:val="auto"/>
          <w:szCs w:val="24"/>
        </w:rPr>
        <w:t>their submissions stressed the point</w:t>
      </w:r>
      <w:r w:rsidR="00377494">
        <w:rPr>
          <w:color w:val="auto"/>
          <w:szCs w:val="24"/>
        </w:rPr>
        <w:t xml:space="preserve"> the first decision by</w:t>
      </w:r>
      <w:r>
        <w:rPr>
          <w:color w:val="auto"/>
          <w:szCs w:val="24"/>
        </w:rPr>
        <w:t xml:space="preserve"> that the </w:t>
      </w:r>
      <w:r w:rsidR="00355728">
        <w:rPr>
          <w:color w:val="auto"/>
          <w:szCs w:val="24"/>
        </w:rPr>
        <w:t>First</w:t>
      </w:r>
      <w:r w:rsidR="0094619F">
        <w:rPr>
          <w:color w:val="auto"/>
          <w:szCs w:val="24"/>
        </w:rPr>
        <w:t xml:space="preserve"> Respondent was reached as an</w:t>
      </w:r>
      <w:r>
        <w:rPr>
          <w:color w:val="auto"/>
          <w:szCs w:val="24"/>
        </w:rPr>
        <w:t xml:space="preserve"> error</w:t>
      </w:r>
      <w:r w:rsidR="0094619F">
        <w:rPr>
          <w:color w:val="auto"/>
          <w:szCs w:val="24"/>
        </w:rPr>
        <w:t xml:space="preserve"> at law</w:t>
      </w:r>
      <w:r>
        <w:rPr>
          <w:color w:val="auto"/>
          <w:szCs w:val="24"/>
        </w:rPr>
        <w:t xml:space="preserve">. The </w:t>
      </w:r>
      <w:r w:rsidR="00355728">
        <w:rPr>
          <w:color w:val="auto"/>
          <w:szCs w:val="24"/>
        </w:rPr>
        <w:t>First</w:t>
      </w:r>
      <w:r w:rsidR="001749CC">
        <w:rPr>
          <w:color w:val="auto"/>
          <w:szCs w:val="24"/>
        </w:rPr>
        <w:t xml:space="preserve"> Respondent had declined to address the applicati</w:t>
      </w:r>
      <w:r w:rsidR="0094619F">
        <w:rPr>
          <w:color w:val="auto"/>
          <w:szCs w:val="24"/>
        </w:rPr>
        <w:t>on as it erroneously believed if it were to</w:t>
      </w:r>
      <w:r w:rsidR="001749CC">
        <w:rPr>
          <w:color w:val="auto"/>
          <w:szCs w:val="24"/>
        </w:rPr>
        <w:t xml:space="preserve"> deal with </w:t>
      </w:r>
      <w:r w:rsidR="0094619F">
        <w:rPr>
          <w:color w:val="auto"/>
          <w:szCs w:val="24"/>
        </w:rPr>
        <w:t xml:space="preserve">application would amount to it </w:t>
      </w:r>
      <w:r w:rsidR="001749CC">
        <w:rPr>
          <w:color w:val="auto"/>
          <w:szCs w:val="24"/>
        </w:rPr>
        <w:t xml:space="preserve">tempering with the decision by the Labour Court. The </w:t>
      </w:r>
      <w:r w:rsidR="0094619F">
        <w:rPr>
          <w:color w:val="auto"/>
          <w:szCs w:val="24"/>
        </w:rPr>
        <w:t xml:space="preserve">Second </w:t>
      </w:r>
      <w:r w:rsidR="001749CC">
        <w:rPr>
          <w:color w:val="auto"/>
          <w:szCs w:val="24"/>
        </w:rPr>
        <w:t>Res</w:t>
      </w:r>
      <w:r w:rsidR="0094619F">
        <w:rPr>
          <w:color w:val="auto"/>
          <w:szCs w:val="24"/>
        </w:rPr>
        <w:t>pondent submission was that it</w:t>
      </w:r>
      <w:r w:rsidR="001749CC">
        <w:rPr>
          <w:color w:val="auto"/>
          <w:szCs w:val="24"/>
        </w:rPr>
        <w:t xml:space="preserve"> was </w:t>
      </w:r>
      <w:r w:rsidR="0094619F">
        <w:rPr>
          <w:color w:val="auto"/>
          <w:szCs w:val="24"/>
        </w:rPr>
        <w:t xml:space="preserve">therefore </w:t>
      </w:r>
      <w:r w:rsidR="001749CC">
        <w:rPr>
          <w:color w:val="auto"/>
          <w:szCs w:val="24"/>
        </w:rPr>
        <w:t xml:space="preserve">entitled in </w:t>
      </w:r>
      <w:r w:rsidR="00377494">
        <w:rPr>
          <w:color w:val="auto"/>
          <w:szCs w:val="24"/>
        </w:rPr>
        <w:t>those</w:t>
      </w:r>
      <w:r w:rsidR="001749CC">
        <w:rPr>
          <w:color w:val="auto"/>
          <w:szCs w:val="24"/>
        </w:rPr>
        <w:t xml:space="preserve"> circumstances to approach the </w:t>
      </w:r>
      <w:r w:rsidR="00355728">
        <w:rPr>
          <w:color w:val="auto"/>
          <w:szCs w:val="24"/>
        </w:rPr>
        <w:t>First</w:t>
      </w:r>
      <w:r w:rsidR="001749CC">
        <w:rPr>
          <w:color w:val="auto"/>
          <w:szCs w:val="24"/>
        </w:rPr>
        <w:t xml:space="preserve"> Respondent to clarify the correct legal position. Whether the </w:t>
      </w:r>
      <w:r w:rsidR="00355728">
        <w:rPr>
          <w:color w:val="auto"/>
          <w:szCs w:val="24"/>
        </w:rPr>
        <w:t>First</w:t>
      </w:r>
      <w:r w:rsidR="001749CC">
        <w:rPr>
          <w:color w:val="auto"/>
          <w:szCs w:val="24"/>
        </w:rPr>
        <w:t xml:space="preserve"> Respondent was correct or wrong in their determination to decline to address the application for exemption of 2010 wages is </w:t>
      </w:r>
      <w:r w:rsidR="0094619F">
        <w:rPr>
          <w:color w:val="auto"/>
          <w:szCs w:val="24"/>
        </w:rPr>
        <w:t xml:space="preserve">clearly </w:t>
      </w:r>
      <w:r w:rsidR="001749CC">
        <w:rPr>
          <w:color w:val="auto"/>
          <w:szCs w:val="24"/>
        </w:rPr>
        <w:t>ne</w:t>
      </w:r>
      <w:r w:rsidR="0094619F">
        <w:rPr>
          <w:color w:val="auto"/>
          <w:szCs w:val="24"/>
        </w:rPr>
        <w:t>ither here or there</w:t>
      </w:r>
      <w:r w:rsidR="001749CC">
        <w:rPr>
          <w:color w:val="auto"/>
          <w:szCs w:val="24"/>
        </w:rPr>
        <w:t xml:space="preserve">. The issue is whether the </w:t>
      </w:r>
      <w:r w:rsidR="00355728">
        <w:rPr>
          <w:color w:val="auto"/>
          <w:szCs w:val="24"/>
        </w:rPr>
        <w:t>First</w:t>
      </w:r>
      <w:r w:rsidR="001749CC">
        <w:rPr>
          <w:color w:val="auto"/>
          <w:szCs w:val="24"/>
        </w:rPr>
        <w:t xml:space="preserve"> Respondent had the powers to review its </w:t>
      </w:r>
      <w:r w:rsidR="00377494">
        <w:rPr>
          <w:color w:val="auto"/>
          <w:szCs w:val="24"/>
        </w:rPr>
        <w:t>f</w:t>
      </w:r>
      <w:r w:rsidR="00355728">
        <w:rPr>
          <w:color w:val="auto"/>
          <w:szCs w:val="24"/>
        </w:rPr>
        <w:t>irst</w:t>
      </w:r>
      <w:r w:rsidR="0094619F">
        <w:rPr>
          <w:color w:val="auto"/>
          <w:szCs w:val="24"/>
        </w:rPr>
        <w:t xml:space="preserve"> decision taken on the 29</w:t>
      </w:r>
      <w:r w:rsidR="0094619F" w:rsidRPr="0094619F">
        <w:rPr>
          <w:color w:val="auto"/>
          <w:szCs w:val="24"/>
          <w:vertAlign w:val="superscript"/>
        </w:rPr>
        <w:t>th</w:t>
      </w:r>
      <w:r w:rsidR="0094619F">
        <w:rPr>
          <w:color w:val="auto"/>
          <w:szCs w:val="24"/>
        </w:rPr>
        <w:t xml:space="preserve"> August, 2012</w:t>
      </w:r>
      <w:r w:rsidR="001749CC">
        <w:rPr>
          <w:color w:val="auto"/>
          <w:szCs w:val="24"/>
        </w:rPr>
        <w:t>. It clearly did not have such powers</w:t>
      </w:r>
      <w:r w:rsidR="00377494">
        <w:rPr>
          <w:color w:val="auto"/>
          <w:szCs w:val="24"/>
        </w:rPr>
        <w:t>.</w:t>
      </w:r>
      <w:r w:rsidR="001749CC">
        <w:rPr>
          <w:color w:val="auto"/>
          <w:szCs w:val="24"/>
        </w:rPr>
        <w:t xml:space="preserve">  </w:t>
      </w:r>
      <w:r>
        <w:rPr>
          <w:color w:val="auto"/>
          <w:szCs w:val="24"/>
        </w:rPr>
        <w:t xml:space="preserve"> </w:t>
      </w:r>
    </w:p>
    <w:p w:rsidR="00314E46" w:rsidRDefault="00314E46" w:rsidP="00CB668A">
      <w:pPr>
        <w:ind w:firstLine="720"/>
        <w:rPr>
          <w:color w:val="auto"/>
          <w:szCs w:val="24"/>
        </w:rPr>
      </w:pPr>
      <w:r>
        <w:rPr>
          <w:color w:val="auto"/>
          <w:szCs w:val="24"/>
        </w:rPr>
        <w:t>In the result I make the following order:</w:t>
      </w:r>
    </w:p>
    <w:p w:rsidR="00565435" w:rsidRPr="00565435" w:rsidRDefault="00565435" w:rsidP="00565435">
      <w:pPr>
        <w:pStyle w:val="ListParagraph"/>
        <w:numPr>
          <w:ilvl w:val="0"/>
          <w:numId w:val="8"/>
        </w:numPr>
        <w:rPr>
          <w:color w:val="auto"/>
          <w:szCs w:val="24"/>
        </w:rPr>
      </w:pPr>
      <w:r>
        <w:rPr>
          <w:color w:val="auto"/>
          <w:szCs w:val="24"/>
        </w:rPr>
        <w:t>The application for review succeeds.</w:t>
      </w:r>
    </w:p>
    <w:p w:rsidR="00314E46" w:rsidRDefault="00314E46" w:rsidP="00314E46">
      <w:pPr>
        <w:pStyle w:val="ListParagraph"/>
        <w:numPr>
          <w:ilvl w:val="0"/>
          <w:numId w:val="8"/>
        </w:numPr>
        <w:rPr>
          <w:color w:val="auto"/>
          <w:szCs w:val="24"/>
        </w:rPr>
      </w:pPr>
      <w:r>
        <w:rPr>
          <w:color w:val="auto"/>
          <w:szCs w:val="24"/>
        </w:rPr>
        <w:t>The proceedings of the First Respondent on the 14</w:t>
      </w:r>
      <w:r w:rsidRPr="00314E46">
        <w:rPr>
          <w:color w:val="auto"/>
          <w:szCs w:val="24"/>
          <w:vertAlign w:val="superscript"/>
        </w:rPr>
        <w:t>th</w:t>
      </w:r>
      <w:r>
        <w:rPr>
          <w:color w:val="auto"/>
          <w:szCs w:val="24"/>
        </w:rPr>
        <w:t xml:space="preserve"> of September </w:t>
      </w:r>
      <w:proofErr w:type="gramStart"/>
      <w:r>
        <w:rPr>
          <w:color w:val="auto"/>
          <w:szCs w:val="24"/>
        </w:rPr>
        <w:t xml:space="preserve">2012 </w:t>
      </w:r>
      <w:r w:rsidR="008A000F">
        <w:rPr>
          <w:color w:val="auto"/>
          <w:szCs w:val="24"/>
        </w:rPr>
        <w:t xml:space="preserve"> and</w:t>
      </w:r>
      <w:proofErr w:type="gramEnd"/>
      <w:r w:rsidR="008A000F">
        <w:rPr>
          <w:color w:val="auto"/>
          <w:szCs w:val="24"/>
        </w:rPr>
        <w:t xml:space="preserve"> the determination be and</w:t>
      </w:r>
      <w:r>
        <w:rPr>
          <w:color w:val="auto"/>
          <w:szCs w:val="24"/>
        </w:rPr>
        <w:t xml:space="preserve"> are hereby set aside.</w:t>
      </w:r>
    </w:p>
    <w:p w:rsidR="00314E46" w:rsidRDefault="00565435" w:rsidP="00314E46">
      <w:pPr>
        <w:pStyle w:val="ListParagraph"/>
        <w:numPr>
          <w:ilvl w:val="0"/>
          <w:numId w:val="8"/>
        </w:numPr>
        <w:rPr>
          <w:color w:val="auto"/>
          <w:szCs w:val="24"/>
        </w:rPr>
      </w:pPr>
      <w:r>
        <w:rPr>
          <w:color w:val="auto"/>
          <w:szCs w:val="24"/>
        </w:rPr>
        <w:t>The First and Second Respondent shall jointly and severally</w:t>
      </w:r>
      <w:r w:rsidR="00314E46">
        <w:rPr>
          <w:color w:val="auto"/>
          <w:szCs w:val="24"/>
        </w:rPr>
        <w:t xml:space="preserve"> </w:t>
      </w:r>
      <w:r w:rsidR="00337837">
        <w:rPr>
          <w:color w:val="auto"/>
          <w:szCs w:val="24"/>
        </w:rPr>
        <w:t xml:space="preserve">the </w:t>
      </w:r>
      <w:r>
        <w:rPr>
          <w:color w:val="auto"/>
          <w:szCs w:val="24"/>
        </w:rPr>
        <w:t>one paying the oth</w:t>
      </w:r>
      <w:r w:rsidR="00F14C4F">
        <w:rPr>
          <w:color w:val="auto"/>
          <w:szCs w:val="24"/>
        </w:rPr>
        <w:t>er to be absolved pay the applic</w:t>
      </w:r>
      <w:r>
        <w:rPr>
          <w:color w:val="auto"/>
          <w:szCs w:val="24"/>
        </w:rPr>
        <w:t>ant’s costs.</w:t>
      </w:r>
    </w:p>
    <w:p w:rsidR="008252D5" w:rsidRDefault="008252D5" w:rsidP="008252D5">
      <w:pPr>
        <w:rPr>
          <w:color w:val="auto"/>
          <w:szCs w:val="24"/>
        </w:rPr>
      </w:pPr>
    </w:p>
    <w:p w:rsidR="008252D5" w:rsidRPr="008252D5" w:rsidRDefault="008252D5" w:rsidP="008252D5">
      <w:pPr>
        <w:rPr>
          <w:color w:val="auto"/>
          <w:sz w:val="22"/>
        </w:rPr>
      </w:pPr>
      <w:proofErr w:type="spellStart"/>
      <w:r>
        <w:rPr>
          <w:i/>
          <w:color w:val="auto"/>
          <w:sz w:val="22"/>
        </w:rPr>
        <w:t>Coglan</w:t>
      </w:r>
      <w:proofErr w:type="spellEnd"/>
      <w:r>
        <w:rPr>
          <w:i/>
          <w:color w:val="auto"/>
          <w:sz w:val="22"/>
        </w:rPr>
        <w:t xml:space="preserve">, Welsh &amp; Guest, </w:t>
      </w:r>
      <w:r w:rsidRPr="004B0540">
        <w:rPr>
          <w:color w:val="auto"/>
          <w:sz w:val="22"/>
        </w:rPr>
        <w:t>2</w:t>
      </w:r>
      <w:r w:rsidRPr="004B0540">
        <w:rPr>
          <w:color w:val="auto"/>
          <w:sz w:val="22"/>
          <w:vertAlign w:val="superscript"/>
        </w:rPr>
        <w:t>nd</w:t>
      </w:r>
      <w:r w:rsidRPr="004B0540">
        <w:rPr>
          <w:color w:val="auto"/>
          <w:sz w:val="22"/>
        </w:rPr>
        <w:t xml:space="preserve"> r</w:t>
      </w:r>
      <w:r>
        <w:rPr>
          <w:color w:val="auto"/>
          <w:sz w:val="22"/>
        </w:rPr>
        <w:t>espondent’s legal practitioners</w:t>
      </w:r>
    </w:p>
    <w:p w:rsidR="00565435" w:rsidRPr="00565435" w:rsidRDefault="00565435" w:rsidP="00565435">
      <w:pPr>
        <w:rPr>
          <w:color w:val="auto"/>
          <w:szCs w:val="24"/>
        </w:rPr>
      </w:pPr>
      <w:bookmarkStart w:id="0" w:name="_GoBack"/>
      <w:bookmarkEnd w:id="0"/>
    </w:p>
    <w:sectPr w:rsidR="00565435" w:rsidRPr="00565435" w:rsidSect="005F70AD">
      <w:headerReference w:type="default" r:id="rId8"/>
      <w:footerReference w:type="defaul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1D8" w:rsidRDefault="005211D8" w:rsidP="00A741A7">
      <w:pPr>
        <w:spacing w:before="0" w:after="0" w:line="240" w:lineRule="auto"/>
      </w:pPr>
      <w:r>
        <w:separator/>
      </w:r>
    </w:p>
  </w:endnote>
  <w:endnote w:type="continuationSeparator" w:id="0">
    <w:p w:rsidR="005211D8" w:rsidRDefault="005211D8" w:rsidP="00A741A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7902760"/>
      <w:docPartObj>
        <w:docPartGallery w:val="Page Numbers (Bottom of Page)"/>
        <w:docPartUnique/>
      </w:docPartObj>
    </w:sdtPr>
    <w:sdtEndPr/>
    <w:sdtContent>
      <w:p w:rsidR="00733171" w:rsidRDefault="00CE38A8">
        <w:pPr>
          <w:pStyle w:val="Footer"/>
          <w:jc w:val="center"/>
        </w:pPr>
        <w:r>
          <w:fldChar w:fldCharType="begin"/>
        </w:r>
        <w:r>
          <w:instrText xml:space="preserve"> PAGE   \* MERGEFORMAT </w:instrText>
        </w:r>
        <w:r>
          <w:fldChar w:fldCharType="separate"/>
        </w:r>
        <w:r w:rsidR="004B0540">
          <w:rPr>
            <w:noProof/>
          </w:rPr>
          <w:t>8</w:t>
        </w:r>
        <w:r>
          <w:rPr>
            <w:noProof/>
          </w:rPr>
          <w:fldChar w:fldCharType="end"/>
        </w:r>
      </w:p>
    </w:sdtContent>
  </w:sdt>
  <w:p w:rsidR="00733171" w:rsidRDefault="007331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1D8" w:rsidRDefault="005211D8" w:rsidP="00A741A7">
      <w:pPr>
        <w:spacing w:before="0" w:after="0" w:line="240" w:lineRule="auto"/>
      </w:pPr>
      <w:r>
        <w:separator/>
      </w:r>
    </w:p>
  </w:footnote>
  <w:footnote w:type="continuationSeparator" w:id="0">
    <w:p w:rsidR="005211D8" w:rsidRDefault="005211D8" w:rsidP="00A741A7">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30A3" w:rsidRDefault="000F30A3">
    <w:pPr>
      <w:pStyle w:val="Header"/>
    </w:pPr>
    <w:r>
      <w:rPr>
        <w:rFonts w:cs="Tahoma"/>
        <w:b/>
        <w:color w:val="auto"/>
        <w:szCs w:val="24"/>
      </w:rPr>
      <w:tab/>
    </w:r>
    <w:r>
      <w:rPr>
        <w:rFonts w:cs="Tahoma"/>
        <w:b/>
        <w:color w:val="auto"/>
        <w:szCs w:val="24"/>
      </w:rPr>
      <w:tab/>
      <w:t>JUDGMENT NO LC/H/37/16</w:t>
    </w:r>
    <w:r w:rsidRPr="00287B9F">
      <w:rPr>
        <w:rFonts w:cs="Tahoma"/>
        <w:b/>
        <w:color w:val="auto"/>
        <w:szCs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5D35C4"/>
    <w:multiLevelType w:val="hybridMultilevel"/>
    <w:tmpl w:val="40F8E922"/>
    <w:lvl w:ilvl="0" w:tplc="1918EFC0">
      <w:start w:val="1"/>
      <w:numFmt w:val="decimal"/>
      <w:lvlText w:val="%1)"/>
      <w:lvlJc w:val="left"/>
      <w:pPr>
        <w:ind w:left="720" w:hanging="360"/>
      </w:pPr>
      <w:rPr>
        <w:rFonts w:cs="Tahoma"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16BC5FA3"/>
    <w:multiLevelType w:val="hybridMultilevel"/>
    <w:tmpl w:val="50400E38"/>
    <w:lvl w:ilvl="0" w:tplc="AA1A4EA4">
      <w:numFmt w:val="bullet"/>
      <w:lvlText w:val="-"/>
      <w:lvlJc w:val="left"/>
      <w:pPr>
        <w:ind w:left="6120" w:hanging="360"/>
      </w:pPr>
      <w:rPr>
        <w:rFonts w:ascii="Tahoma" w:eastAsiaTheme="minorHAnsi" w:hAnsi="Tahoma" w:cs="Tahoma" w:hint="default"/>
      </w:rPr>
    </w:lvl>
    <w:lvl w:ilvl="1" w:tplc="30090003" w:tentative="1">
      <w:start w:val="1"/>
      <w:numFmt w:val="bullet"/>
      <w:lvlText w:val="o"/>
      <w:lvlJc w:val="left"/>
      <w:pPr>
        <w:ind w:left="6840" w:hanging="360"/>
      </w:pPr>
      <w:rPr>
        <w:rFonts w:ascii="Courier New" w:hAnsi="Courier New" w:cs="Courier New" w:hint="default"/>
      </w:rPr>
    </w:lvl>
    <w:lvl w:ilvl="2" w:tplc="30090005" w:tentative="1">
      <w:start w:val="1"/>
      <w:numFmt w:val="bullet"/>
      <w:lvlText w:val=""/>
      <w:lvlJc w:val="left"/>
      <w:pPr>
        <w:ind w:left="7560" w:hanging="360"/>
      </w:pPr>
      <w:rPr>
        <w:rFonts w:ascii="Wingdings" w:hAnsi="Wingdings" w:hint="default"/>
      </w:rPr>
    </w:lvl>
    <w:lvl w:ilvl="3" w:tplc="30090001" w:tentative="1">
      <w:start w:val="1"/>
      <w:numFmt w:val="bullet"/>
      <w:lvlText w:val=""/>
      <w:lvlJc w:val="left"/>
      <w:pPr>
        <w:ind w:left="8280" w:hanging="360"/>
      </w:pPr>
      <w:rPr>
        <w:rFonts w:ascii="Symbol" w:hAnsi="Symbol" w:hint="default"/>
      </w:rPr>
    </w:lvl>
    <w:lvl w:ilvl="4" w:tplc="30090003" w:tentative="1">
      <w:start w:val="1"/>
      <w:numFmt w:val="bullet"/>
      <w:lvlText w:val="o"/>
      <w:lvlJc w:val="left"/>
      <w:pPr>
        <w:ind w:left="9000" w:hanging="360"/>
      </w:pPr>
      <w:rPr>
        <w:rFonts w:ascii="Courier New" w:hAnsi="Courier New" w:cs="Courier New" w:hint="default"/>
      </w:rPr>
    </w:lvl>
    <w:lvl w:ilvl="5" w:tplc="30090005" w:tentative="1">
      <w:start w:val="1"/>
      <w:numFmt w:val="bullet"/>
      <w:lvlText w:val=""/>
      <w:lvlJc w:val="left"/>
      <w:pPr>
        <w:ind w:left="9720" w:hanging="360"/>
      </w:pPr>
      <w:rPr>
        <w:rFonts w:ascii="Wingdings" w:hAnsi="Wingdings" w:hint="default"/>
      </w:rPr>
    </w:lvl>
    <w:lvl w:ilvl="6" w:tplc="30090001" w:tentative="1">
      <w:start w:val="1"/>
      <w:numFmt w:val="bullet"/>
      <w:lvlText w:val=""/>
      <w:lvlJc w:val="left"/>
      <w:pPr>
        <w:ind w:left="10440" w:hanging="360"/>
      </w:pPr>
      <w:rPr>
        <w:rFonts w:ascii="Symbol" w:hAnsi="Symbol" w:hint="default"/>
      </w:rPr>
    </w:lvl>
    <w:lvl w:ilvl="7" w:tplc="30090003" w:tentative="1">
      <w:start w:val="1"/>
      <w:numFmt w:val="bullet"/>
      <w:lvlText w:val="o"/>
      <w:lvlJc w:val="left"/>
      <w:pPr>
        <w:ind w:left="11160" w:hanging="360"/>
      </w:pPr>
      <w:rPr>
        <w:rFonts w:ascii="Courier New" w:hAnsi="Courier New" w:cs="Courier New" w:hint="default"/>
      </w:rPr>
    </w:lvl>
    <w:lvl w:ilvl="8" w:tplc="30090005" w:tentative="1">
      <w:start w:val="1"/>
      <w:numFmt w:val="bullet"/>
      <w:lvlText w:val=""/>
      <w:lvlJc w:val="left"/>
      <w:pPr>
        <w:ind w:left="11880" w:hanging="360"/>
      </w:pPr>
      <w:rPr>
        <w:rFonts w:ascii="Wingdings" w:hAnsi="Wingdings" w:hint="default"/>
      </w:rPr>
    </w:lvl>
  </w:abstractNum>
  <w:abstractNum w:abstractNumId="2">
    <w:nsid w:val="1D476715"/>
    <w:multiLevelType w:val="hybridMultilevel"/>
    <w:tmpl w:val="ABB61166"/>
    <w:lvl w:ilvl="0" w:tplc="D7B858A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21C3780F"/>
    <w:multiLevelType w:val="hybridMultilevel"/>
    <w:tmpl w:val="82DA6818"/>
    <w:lvl w:ilvl="0" w:tplc="3AAA171A">
      <w:start w:val="1"/>
      <w:numFmt w:val="upp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2873757B"/>
    <w:multiLevelType w:val="hybridMultilevel"/>
    <w:tmpl w:val="9C2A8C5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nsid w:val="3ECE3578"/>
    <w:multiLevelType w:val="hybridMultilevel"/>
    <w:tmpl w:val="7F1E135C"/>
    <w:lvl w:ilvl="0" w:tplc="A20C502E">
      <w:start w:val="1"/>
      <w:numFmt w:val="decimal"/>
      <w:lvlText w:val="%1."/>
      <w:lvlJc w:val="left"/>
      <w:pPr>
        <w:ind w:left="360" w:hanging="360"/>
      </w:pPr>
      <w:rPr>
        <w:rFonts w:cs="Tahoma" w:hint="default"/>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6">
    <w:nsid w:val="4EA6086F"/>
    <w:multiLevelType w:val="hybridMultilevel"/>
    <w:tmpl w:val="793A3260"/>
    <w:lvl w:ilvl="0" w:tplc="9A80BADE">
      <w:start w:val="1"/>
      <w:numFmt w:val="decimal"/>
      <w:lvlText w:val="%1."/>
      <w:lvlJc w:val="left"/>
      <w:pPr>
        <w:ind w:left="360" w:hanging="360"/>
      </w:pPr>
      <w:rPr>
        <w:rFonts w:cs="Tahoma" w:hint="default"/>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7">
    <w:nsid w:val="78DF6078"/>
    <w:multiLevelType w:val="hybridMultilevel"/>
    <w:tmpl w:val="42C872B8"/>
    <w:lvl w:ilvl="0" w:tplc="78A49344">
      <w:start w:val="1"/>
      <w:numFmt w:val="lowerRoman"/>
      <w:lvlText w:val="%1."/>
      <w:lvlJc w:val="left"/>
      <w:pPr>
        <w:ind w:left="720" w:hanging="720"/>
      </w:pPr>
      <w:rPr>
        <w:rFonts w:hint="default"/>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num w:numId="1">
    <w:abstractNumId w:val="4"/>
  </w:num>
  <w:num w:numId="2">
    <w:abstractNumId w:val="1"/>
  </w:num>
  <w:num w:numId="3">
    <w:abstractNumId w:val="5"/>
  </w:num>
  <w:num w:numId="4">
    <w:abstractNumId w:val="6"/>
  </w:num>
  <w:num w:numId="5">
    <w:abstractNumId w:val="0"/>
  </w:num>
  <w:num w:numId="6">
    <w:abstractNumId w:val="3"/>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3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612"/>
    <w:rsid w:val="00003665"/>
    <w:rsid w:val="00013FF2"/>
    <w:rsid w:val="00020EF3"/>
    <w:rsid w:val="000367E8"/>
    <w:rsid w:val="00083106"/>
    <w:rsid w:val="00093F2E"/>
    <w:rsid w:val="000C37D2"/>
    <w:rsid w:val="000C4391"/>
    <w:rsid w:val="000C5F13"/>
    <w:rsid w:val="000F1B6E"/>
    <w:rsid w:val="000F30A3"/>
    <w:rsid w:val="00101CE5"/>
    <w:rsid w:val="00111FFA"/>
    <w:rsid w:val="001749CC"/>
    <w:rsid w:val="001767DE"/>
    <w:rsid w:val="001928A1"/>
    <w:rsid w:val="001B0C6A"/>
    <w:rsid w:val="001F0318"/>
    <w:rsid w:val="001F6E90"/>
    <w:rsid w:val="00212CC8"/>
    <w:rsid w:val="00232BE7"/>
    <w:rsid w:val="00233207"/>
    <w:rsid w:val="00260D99"/>
    <w:rsid w:val="00282106"/>
    <w:rsid w:val="00287B9F"/>
    <w:rsid w:val="002C0366"/>
    <w:rsid w:val="002E1F55"/>
    <w:rsid w:val="003069F3"/>
    <w:rsid w:val="00314E46"/>
    <w:rsid w:val="00325728"/>
    <w:rsid w:val="00337837"/>
    <w:rsid w:val="00340691"/>
    <w:rsid w:val="003460F2"/>
    <w:rsid w:val="00355728"/>
    <w:rsid w:val="00377494"/>
    <w:rsid w:val="003B36C9"/>
    <w:rsid w:val="003D14D2"/>
    <w:rsid w:val="004035F8"/>
    <w:rsid w:val="00411055"/>
    <w:rsid w:val="00415657"/>
    <w:rsid w:val="0042577E"/>
    <w:rsid w:val="00426898"/>
    <w:rsid w:val="00426A7F"/>
    <w:rsid w:val="00467CAA"/>
    <w:rsid w:val="0047468C"/>
    <w:rsid w:val="00496B8A"/>
    <w:rsid w:val="004B0540"/>
    <w:rsid w:val="004B159C"/>
    <w:rsid w:val="004C1A9A"/>
    <w:rsid w:val="004F5B80"/>
    <w:rsid w:val="00504DFB"/>
    <w:rsid w:val="005211D8"/>
    <w:rsid w:val="00523AFA"/>
    <w:rsid w:val="00527612"/>
    <w:rsid w:val="005336BA"/>
    <w:rsid w:val="00547360"/>
    <w:rsid w:val="00561B2D"/>
    <w:rsid w:val="005630DC"/>
    <w:rsid w:val="00565435"/>
    <w:rsid w:val="00567255"/>
    <w:rsid w:val="0059069C"/>
    <w:rsid w:val="00591FC3"/>
    <w:rsid w:val="00597946"/>
    <w:rsid w:val="005C35E1"/>
    <w:rsid w:val="005C380F"/>
    <w:rsid w:val="005C5303"/>
    <w:rsid w:val="005C58EB"/>
    <w:rsid w:val="005D501C"/>
    <w:rsid w:val="005F70AD"/>
    <w:rsid w:val="00610032"/>
    <w:rsid w:val="00611623"/>
    <w:rsid w:val="006439D6"/>
    <w:rsid w:val="00652E6E"/>
    <w:rsid w:val="00655127"/>
    <w:rsid w:val="006571A2"/>
    <w:rsid w:val="006669BD"/>
    <w:rsid w:val="006C1486"/>
    <w:rsid w:val="006C1FF4"/>
    <w:rsid w:val="006D391B"/>
    <w:rsid w:val="00706F02"/>
    <w:rsid w:val="00710C8A"/>
    <w:rsid w:val="00723859"/>
    <w:rsid w:val="00726CD4"/>
    <w:rsid w:val="00733171"/>
    <w:rsid w:val="00735F9F"/>
    <w:rsid w:val="007523CE"/>
    <w:rsid w:val="00764CC2"/>
    <w:rsid w:val="00766326"/>
    <w:rsid w:val="00773E64"/>
    <w:rsid w:val="007B5C1F"/>
    <w:rsid w:val="007C2197"/>
    <w:rsid w:val="007D3971"/>
    <w:rsid w:val="00814AAD"/>
    <w:rsid w:val="008252D5"/>
    <w:rsid w:val="0083053A"/>
    <w:rsid w:val="00847844"/>
    <w:rsid w:val="00855B17"/>
    <w:rsid w:val="00885B13"/>
    <w:rsid w:val="008871B5"/>
    <w:rsid w:val="00896825"/>
    <w:rsid w:val="00897845"/>
    <w:rsid w:val="008A000F"/>
    <w:rsid w:val="008B203E"/>
    <w:rsid w:val="0090084B"/>
    <w:rsid w:val="0090510B"/>
    <w:rsid w:val="009070D5"/>
    <w:rsid w:val="009171C9"/>
    <w:rsid w:val="00926DAF"/>
    <w:rsid w:val="00940C15"/>
    <w:rsid w:val="0094619F"/>
    <w:rsid w:val="00952987"/>
    <w:rsid w:val="009536AF"/>
    <w:rsid w:val="00977A88"/>
    <w:rsid w:val="00996DFD"/>
    <w:rsid w:val="009B658C"/>
    <w:rsid w:val="009D188E"/>
    <w:rsid w:val="009E2056"/>
    <w:rsid w:val="00A02271"/>
    <w:rsid w:val="00A04E9D"/>
    <w:rsid w:val="00A21D0C"/>
    <w:rsid w:val="00A267DE"/>
    <w:rsid w:val="00A67EFE"/>
    <w:rsid w:val="00A741A7"/>
    <w:rsid w:val="00A87B2C"/>
    <w:rsid w:val="00AB13A0"/>
    <w:rsid w:val="00AB3597"/>
    <w:rsid w:val="00AD0529"/>
    <w:rsid w:val="00AE1E4D"/>
    <w:rsid w:val="00AE70E5"/>
    <w:rsid w:val="00AF1243"/>
    <w:rsid w:val="00B00F6D"/>
    <w:rsid w:val="00B13037"/>
    <w:rsid w:val="00B8659B"/>
    <w:rsid w:val="00B9653C"/>
    <w:rsid w:val="00BE0AFF"/>
    <w:rsid w:val="00BE6E11"/>
    <w:rsid w:val="00BF7430"/>
    <w:rsid w:val="00C10051"/>
    <w:rsid w:val="00C108A5"/>
    <w:rsid w:val="00C228C5"/>
    <w:rsid w:val="00C352A3"/>
    <w:rsid w:val="00C45647"/>
    <w:rsid w:val="00C563E7"/>
    <w:rsid w:val="00C63EFE"/>
    <w:rsid w:val="00C6776B"/>
    <w:rsid w:val="00C7542A"/>
    <w:rsid w:val="00C838A1"/>
    <w:rsid w:val="00C91FDC"/>
    <w:rsid w:val="00CB15BA"/>
    <w:rsid w:val="00CB1901"/>
    <w:rsid w:val="00CB251E"/>
    <w:rsid w:val="00CB668A"/>
    <w:rsid w:val="00CC4B59"/>
    <w:rsid w:val="00CE38A8"/>
    <w:rsid w:val="00CF1090"/>
    <w:rsid w:val="00CF6EC2"/>
    <w:rsid w:val="00D0286F"/>
    <w:rsid w:val="00D44B38"/>
    <w:rsid w:val="00D50394"/>
    <w:rsid w:val="00D6584D"/>
    <w:rsid w:val="00D82E99"/>
    <w:rsid w:val="00D830CC"/>
    <w:rsid w:val="00DA2118"/>
    <w:rsid w:val="00DA2A0B"/>
    <w:rsid w:val="00DB3048"/>
    <w:rsid w:val="00DB6390"/>
    <w:rsid w:val="00DC0B6B"/>
    <w:rsid w:val="00DD5790"/>
    <w:rsid w:val="00DF2978"/>
    <w:rsid w:val="00E1584A"/>
    <w:rsid w:val="00E22C1A"/>
    <w:rsid w:val="00E34DAA"/>
    <w:rsid w:val="00E409F6"/>
    <w:rsid w:val="00E51D89"/>
    <w:rsid w:val="00E6130B"/>
    <w:rsid w:val="00E65E70"/>
    <w:rsid w:val="00E66E9D"/>
    <w:rsid w:val="00E70E29"/>
    <w:rsid w:val="00E71F8D"/>
    <w:rsid w:val="00EA2BDD"/>
    <w:rsid w:val="00EB2C00"/>
    <w:rsid w:val="00EC682E"/>
    <w:rsid w:val="00EF218B"/>
    <w:rsid w:val="00F106C2"/>
    <w:rsid w:val="00F14C4F"/>
    <w:rsid w:val="00F3102C"/>
    <w:rsid w:val="00F76B98"/>
    <w:rsid w:val="00F81D22"/>
    <w:rsid w:val="00F8209B"/>
    <w:rsid w:val="00F90F81"/>
    <w:rsid w:val="00FC7DBF"/>
    <w:rsid w:val="00FD0CE7"/>
    <w:rsid w:val="00FE3AD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0EF3"/>
    <w:pPr>
      <w:spacing w:before="120" w:after="240" w:line="360" w:lineRule="auto"/>
    </w:pPr>
    <w:rPr>
      <w:rFonts w:ascii="Tahoma" w:hAnsi="Tahoma"/>
      <w:color w:val="7F7F7F" w:themeColor="text1" w:themeTint="8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6326"/>
    <w:pPr>
      <w:ind w:left="720"/>
      <w:contextualSpacing/>
    </w:pPr>
  </w:style>
  <w:style w:type="paragraph" w:styleId="Header">
    <w:name w:val="header"/>
    <w:basedOn w:val="Normal"/>
    <w:link w:val="HeaderChar"/>
    <w:uiPriority w:val="99"/>
    <w:unhideWhenUsed/>
    <w:rsid w:val="00A741A7"/>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A741A7"/>
    <w:rPr>
      <w:rFonts w:ascii="Tahoma" w:hAnsi="Tahoma"/>
      <w:sz w:val="26"/>
    </w:rPr>
  </w:style>
  <w:style w:type="paragraph" w:styleId="Footer">
    <w:name w:val="footer"/>
    <w:basedOn w:val="Normal"/>
    <w:link w:val="FooterChar"/>
    <w:uiPriority w:val="99"/>
    <w:unhideWhenUsed/>
    <w:rsid w:val="00A741A7"/>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A741A7"/>
    <w:rPr>
      <w:rFonts w:ascii="Tahoma" w:hAnsi="Tahoma"/>
      <w:sz w:val="26"/>
    </w:rPr>
  </w:style>
  <w:style w:type="paragraph" w:styleId="NoSpacing">
    <w:name w:val="No Spacing"/>
    <w:link w:val="NoSpacingChar"/>
    <w:uiPriority w:val="1"/>
    <w:qFormat/>
    <w:rsid w:val="00CC4B59"/>
    <w:pPr>
      <w:spacing w:before="120" w:after="320" w:line="240" w:lineRule="auto"/>
    </w:pPr>
    <w:rPr>
      <w:rFonts w:ascii="Tahoma" w:eastAsiaTheme="minorEastAsia" w:hAnsi="Tahoma"/>
      <w:lang w:val="en-US"/>
    </w:rPr>
  </w:style>
  <w:style w:type="character" w:customStyle="1" w:styleId="NoSpacingChar">
    <w:name w:val="No Spacing Char"/>
    <w:basedOn w:val="DefaultParagraphFont"/>
    <w:link w:val="NoSpacing"/>
    <w:uiPriority w:val="1"/>
    <w:rsid w:val="00CC4B59"/>
    <w:rPr>
      <w:rFonts w:ascii="Tahoma" w:eastAsiaTheme="minorEastAsia" w:hAnsi="Tahoma"/>
      <w:lang w:val="en-US"/>
    </w:rPr>
  </w:style>
  <w:style w:type="paragraph" w:styleId="BalloonText">
    <w:name w:val="Balloon Text"/>
    <w:basedOn w:val="Normal"/>
    <w:link w:val="BalloonTextChar"/>
    <w:uiPriority w:val="99"/>
    <w:semiHidden/>
    <w:unhideWhenUsed/>
    <w:rsid w:val="005F70AD"/>
    <w:pPr>
      <w:spacing w:before="0"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5F70A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0EF3"/>
    <w:pPr>
      <w:spacing w:before="120" w:after="240" w:line="360" w:lineRule="auto"/>
    </w:pPr>
    <w:rPr>
      <w:rFonts w:ascii="Tahoma" w:hAnsi="Tahoma"/>
      <w:color w:val="7F7F7F" w:themeColor="text1" w:themeTint="8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6326"/>
    <w:pPr>
      <w:ind w:left="720"/>
      <w:contextualSpacing/>
    </w:pPr>
  </w:style>
  <w:style w:type="paragraph" w:styleId="Header">
    <w:name w:val="header"/>
    <w:basedOn w:val="Normal"/>
    <w:link w:val="HeaderChar"/>
    <w:uiPriority w:val="99"/>
    <w:unhideWhenUsed/>
    <w:rsid w:val="00A741A7"/>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A741A7"/>
    <w:rPr>
      <w:rFonts w:ascii="Tahoma" w:hAnsi="Tahoma"/>
      <w:sz w:val="26"/>
    </w:rPr>
  </w:style>
  <w:style w:type="paragraph" w:styleId="Footer">
    <w:name w:val="footer"/>
    <w:basedOn w:val="Normal"/>
    <w:link w:val="FooterChar"/>
    <w:uiPriority w:val="99"/>
    <w:unhideWhenUsed/>
    <w:rsid w:val="00A741A7"/>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A741A7"/>
    <w:rPr>
      <w:rFonts w:ascii="Tahoma" w:hAnsi="Tahoma"/>
      <w:sz w:val="26"/>
    </w:rPr>
  </w:style>
  <w:style w:type="paragraph" w:styleId="NoSpacing">
    <w:name w:val="No Spacing"/>
    <w:link w:val="NoSpacingChar"/>
    <w:uiPriority w:val="1"/>
    <w:qFormat/>
    <w:rsid w:val="00CC4B59"/>
    <w:pPr>
      <w:spacing w:before="120" w:after="320" w:line="240" w:lineRule="auto"/>
    </w:pPr>
    <w:rPr>
      <w:rFonts w:ascii="Tahoma" w:eastAsiaTheme="minorEastAsia" w:hAnsi="Tahoma"/>
      <w:lang w:val="en-US"/>
    </w:rPr>
  </w:style>
  <w:style w:type="character" w:customStyle="1" w:styleId="NoSpacingChar">
    <w:name w:val="No Spacing Char"/>
    <w:basedOn w:val="DefaultParagraphFont"/>
    <w:link w:val="NoSpacing"/>
    <w:uiPriority w:val="1"/>
    <w:rsid w:val="00CC4B59"/>
    <w:rPr>
      <w:rFonts w:ascii="Tahoma" w:eastAsiaTheme="minorEastAsia" w:hAnsi="Tahoma"/>
      <w:lang w:val="en-US"/>
    </w:rPr>
  </w:style>
  <w:style w:type="paragraph" w:styleId="BalloonText">
    <w:name w:val="Balloon Text"/>
    <w:basedOn w:val="Normal"/>
    <w:link w:val="BalloonTextChar"/>
    <w:uiPriority w:val="99"/>
    <w:semiHidden/>
    <w:unhideWhenUsed/>
    <w:rsid w:val="005F70AD"/>
    <w:pPr>
      <w:spacing w:before="0"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5F70A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4405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2428</Words>
  <Characters>13842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16238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BTC</dc:creator>
  <cp:lastModifiedBy>Labour Court</cp:lastModifiedBy>
  <cp:revision>9</cp:revision>
  <cp:lastPrinted>2016-01-21T13:24:00Z</cp:lastPrinted>
  <dcterms:created xsi:type="dcterms:W3CDTF">2016-01-21T10:18:00Z</dcterms:created>
  <dcterms:modified xsi:type="dcterms:W3CDTF">2016-01-21T13:25:00Z</dcterms:modified>
</cp:coreProperties>
</file>