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B5" w:rsidRDefault="008B63ED">
      <w:pPr>
        <w:rPr>
          <w:b/>
          <w:sz w:val="28"/>
          <w:szCs w:val="28"/>
        </w:rPr>
      </w:pPr>
      <w:r>
        <w:rPr>
          <w:b/>
          <w:sz w:val="28"/>
          <w:szCs w:val="28"/>
        </w:rPr>
        <w:t>IN THE LABOUR COURT OF ZIMBABWE</w:t>
      </w:r>
      <w:r>
        <w:rPr>
          <w:b/>
          <w:sz w:val="28"/>
          <w:szCs w:val="28"/>
        </w:rPr>
        <w:tab/>
        <w:t>JUDGMENT NO LC/H/76/13</w:t>
      </w:r>
    </w:p>
    <w:p w:rsidR="008B63ED" w:rsidRDefault="008B63ED">
      <w:pPr>
        <w:rPr>
          <w:b/>
          <w:sz w:val="28"/>
          <w:szCs w:val="28"/>
        </w:rPr>
      </w:pPr>
      <w:r>
        <w:rPr>
          <w:b/>
          <w:sz w:val="28"/>
          <w:szCs w:val="28"/>
        </w:rPr>
        <w:t>HELD AT HARARE 1</w:t>
      </w:r>
      <w:r w:rsidRPr="008B63ED">
        <w:rPr>
          <w:b/>
          <w:sz w:val="28"/>
          <w:szCs w:val="28"/>
          <w:vertAlign w:val="superscript"/>
        </w:rPr>
        <w:t>ST</w:t>
      </w:r>
      <w:r>
        <w:rPr>
          <w:b/>
          <w:sz w:val="28"/>
          <w:szCs w:val="28"/>
        </w:rPr>
        <w:t xml:space="preserve"> MARCH 2013 </w:t>
      </w:r>
      <w:r>
        <w:rPr>
          <w:b/>
          <w:sz w:val="28"/>
          <w:szCs w:val="28"/>
        </w:rPr>
        <w:tab/>
      </w:r>
      <w:r>
        <w:rPr>
          <w:b/>
          <w:sz w:val="28"/>
          <w:szCs w:val="28"/>
        </w:rPr>
        <w:tab/>
        <w:t>CASE NO LC/ORD/H/166/11</w:t>
      </w:r>
    </w:p>
    <w:p w:rsidR="008B63ED" w:rsidRDefault="008B63ED">
      <w:pPr>
        <w:rPr>
          <w:b/>
          <w:sz w:val="28"/>
          <w:szCs w:val="28"/>
        </w:rPr>
      </w:pPr>
    </w:p>
    <w:p w:rsidR="008B63ED" w:rsidRDefault="008B63ED">
      <w:pPr>
        <w:rPr>
          <w:b/>
          <w:sz w:val="28"/>
          <w:szCs w:val="28"/>
        </w:rPr>
      </w:pPr>
      <w:r>
        <w:rPr>
          <w:b/>
          <w:sz w:val="28"/>
          <w:szCs w:val="28"/>
        </w:rPr>
        <w:t>DENNIS VETERAI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Applicants</w:t>
      </w:r>
    </w:p>
    <w:p w:rsidR="008B63ED" w:rsidRDefault="008B63ED">
      <w:pPr>
        <w:rPr>
          <w:b/>
          <w:sz w:val="28"/>
          <w:szCs w:val="28"/>
        </w:rPr>
      </w:pPr>
      <w:r>
        <w:rPr>
          <w:b/>
          <w:sz w:val="28"/>
          <w:szCs w:val="28"/>
        </w:rPr>
        <w:t>&amp; 5 OTHERS</w:t>
      </w:r>
    </w:p>
    <w:p w:rsidR="008B63ED" w:rsidRDefault="008B63ED">
      <w:pPr>
        <w:rPr>
          <w:b/>
          <w:sz w:val="28"/>
          <w:szCs w:val="28"/>
        </w:rPr>
      </w:pPr>
    </w:p>
    <w:p w:rsidR="008B63ED" w:rsidRDefault="008B63ED">
      <w:pPr>
        <w:rPr>
          <w:b/>
          <w:sz w:val="28"/>
          <w:szCs w:val="28"/>
        </w:rPr>
      </w:pPr>
      <w:r>
        <w:rPr>
          <w:b/>
          <w:sz w:val="28"/>
          <w:szCs w:val="28"/>
        </w:rPr>
        <w:t>BORDER TIMBERS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8B63ED" w:rsidRDefault="008B63ED">
      <w:pPr>
        <w:rPr>
          <w:b/>
          <w:sz w:val="28"/>
          <w:szCs w:val="28"/>
        </w:rPr>
      </w:pPr>
      <w:r>
        <w:rPr>
          <w:b/>
          <w:sz w:val="28"/>
          <w:szCs w:val="28"/>
        </w:rPr>
        <w:t>INTERNATIONAL (PVT) LTD</w:t>
      </w:r>
    </w:p>
    <w:p w:rsidR="008B63ED" w:rsidRDefault="008B63ED">
      <w:pPr>
        <w:rPr>
          <w:b/>
          <w:sz w:val="28"/>
          <w:szCs w:val="28"/>
        </w:rPr>
      </w:pPr>
    </w:p>
    <w:p w:rsidR="008B63ED" w:rsidRDefault="008B63ED">
      <w:pPr>
        <w:rPr>
          <w:sz w:val="28"/>
          <w:szCs w:val="28"/>
        </w:rPr>
      </w:pPr>
      <w:r>
        <w:rPr>
          <w:sz w:val="28"/>
          <w:szCs w:val="28"/>
        </w:rPr>
        <w:t>Before The Honourable G Musariri, President</w:t>
      </w:r>
    </w:p>
    <w:p w:rsidR="008B63ED" w:rsidRDefault="008B63ED">
      <w:pPr>
        <w:rPr>
          <w:sz w:val="28"/>
          <w:szCs w:val="28"/>
        </w:rPr>
      </w:pPr>
    </w:p>
    <w:p w:rsidR="008B63ED" w:rsidRDefault="008B63ED">
      <w:pPr>
        <w:rPr>
          <w:b/>
          <w:sz w:val="28"/>
          <w:szCs w:val="28"/>
        </w:rPr>
      </w:pPr>
      <w:r>
        <w:rPr>
          <w:b/>
          <w:sz w:val="28"/>
          <w:szCs w:val="28"/>
        </w:rPr>
        <w:t>For Applicants</w:t>
      </w:r>
      <w:r>
        <w:rPr>
          <w:b/>
          <w:sz w:val="28"/>
          <w:szCs w:val="28"/>
        </w:rPr>
        <w:tab/>
      </w:r>
      <w:r>
        <w:rPr>
          <w:b/>
          <w:sz w:val="28"/>
          <w:szCs w:val="28"/>
        </w:rPr>
        <w:tab/>
        <w:t>Mr I Makoshori, Unionist</w:t>
      </w:r>
    </w:p>
    <w:p w:rsidR="008B63ED" w:rsidRDefault="008B63ED">
      <w:pPr>
        <w:rPr>
          <w:b/>
          <w:sz w:val="28"/>
          <w:szCs w:val="28"/>
        </w:rPr>
      </w:pPr>
      <w:r>
        <w:rPr>
          <w:b/>
          <w:sz w:val="28"/>
          <w:szCs w:val="28"/>
        </w:rPr>
        <w:t>For Respondent</w:t>
      </w:r>
      <w:r>
        <w:rPr>
          <w:b/>
          <w:sz w:val="28"/>
          <w:szCs w:val="28"/>
        </w:rPr>
        <w:tab/>
      </w:r>
      <w:r>
        <w:rPr>
          <w:b/>
          <w:sz w:val="28"/>
          <w:szCs w:val="28"/>
        </w:rPr>
        <w:tab/>
        <w:t>Mr A Mugandiwa, Attorney</w:t>
      </w:r>
    </w:p>
    <w:p w:rsidR="008B63ED" w:rsidRDefault="008B63ED">
      <w:pPr>
        <w:rPr>
          <w:b/>
          <w:sz w:val="28"/>
          <w:szCs w:val="28"/>
        </w:rPr>
      </w:pPr>
    </w:p>
    <w:p w:rsidR="008B63ED" w:rsidRDefault="008B63ED">
      <w:pPr>
        <w:rPr>
          <w:b/>
          <w:sz w:val="28"/>
          <w:szCs w:val="28"/>
        </w:rPr>
      </w:pPr>
      <w:r>
        <w:rPr>
          <w:b/>
          <w:sz w:val="28"/>
          <w:szCs w:val="28"/>
        </w:rPr>
        <w:t>MUSARIRI, G:</w:t>
      </w:r>
    </w:p>
    <w:p w:rsidR="008B63ED" w:rsidRDefault="008B63ED">
      <w:pPr>
        <w:rPr>
          <w:b/>
          <w:sz w:val="28"/>
          <w:szCs w:val="28"/>
        </w:rPr>
      </w:pPr>
    </w:p>
    <w:p w:rsidR="00A27D44" w:rsidRDefault="008B63ED" w:rsidP="008B63ED">
      <w:pPr>
        <w:spacing w:line="360" w:lineRule="auto"/>
        <w:rPr>
          <w:sz w:val="28"/>
          <w:szCs w:val="28"/>
        </w:rPr>
      </w:pPr>
      <w:r>
        <w:rPr>
          <w:sz w:val="28"/>
          <w:szCs w:val="28"/>
        </w:rPr>
        <w:t>On 25</w:t>
      </w:r>
      <w:r w:rsidRPr="008B63ED">
        <w:rPr>
          <w:sz w:val="28"/>
          <w:szCs w:val="28"/>
          <w:vertAlign w:val="superscript"/>
        </w:rPr>
        <w:t>th</w:t>
      </w:r>
      <w:r>
        <w:rPr>
          <w:sz w:val="28"/>
          <w:szCs w:val="28"/>
        </w:rPr>
        <w:t xml:space="preserve"> October 2011 Applicants filed an application in this Court.  They prayed for an order to compel Respondent to comply with orders made by the Labour Board of the Export Processing Zones Authority in 2005.  The orders </w:t>
      </w:r>
      <w:r w:rsidR="0088251E">
        <w:rPr>
          <w:sz w:val="28"/>
          <w:szCs w:val="28"/>
        </w:rPr>
        <w:t>by the</w:t>
      </w:r>
      <w:r w:rsidR="00C93A34">
        <w:rPr>
          <w:sz w:val="28"/>
          <w:szCs w:val="28"/>
        </w:rPr>
        <w:t xml:space="preserve"> Board </w:t>
      </w:r>
      <w:r>
        <w:rPr>
          <w:sz w:val="28"/>
          <w:szCs w:val="28"/>
        </w:rPr>
        <w:t>d</w:t>
      </w:r>
      <w:r w:rsidR="00A27D44">
        <w:rPr>
          <w:sz w:val="28"/>
          <w:szCs w:val="28"/>
        </w:rPr>
        <w:t>irected Respondent to reinstate Applicants in its employ.  Respondent opposed the application.</w:t>
      </w:r>
    </w:p>
    <w:p w:rsidR="00C93A34" w:rsidRDefault="00C93A34" w:rsidP="008B63ED">
      <w:pPr>
        <w:spacing w:line="360" w:lineRule="auto"/>
        <w:rPr>
          <w:sz w:val="28"/>
          <w:szCs w:val="28"/>
        </w:rPr>
      </w:pPr>
    </w:p>
    <w:p w:rsidR="00C93A34" w:rsidRDefault="00C93A34" w:rsidP="008B63ED">
      <w:pPr>
        <w:spacing w:line="360" w:lineRule="auto"/>
        <w:rPr>
          <w:sz w:val="28"/>
          <w:szCs w:val="28"/>
        </w:rPr>
      </w:pPr>
    </w:p>
    <w:p w:rsidR="0088251E" w:rsidRDefault="0088251E" w:rsidP="008B63ED">
      <w:pPr>
        <w:spacing w:line="360" w:lineRule="auto"/>
        <w:rPr>
          <w:sz w:val="28"/>
          <w:szCs w:val="28"/>
        </w:rPr>
      </w:pPr>
    </w:p>
    <w:p w:rsidR="00A27D44" w:rsidRDefault="00A27D44" w:rsidP="008B63ED">
      <w:pPr>
        <w:spacing w:line="360" w:lineRule="auto"/>
        <w:rPr>
          <w:sz w:val="28"/>
          <w:szCs w:val="28"/>
        </w:rPr>
      </w:pPr>
      <w:r>
        <w:rPr>
          <w:sz w:val="28"/>
          <w:szCs w:val="28"/>
        </w:rPr>
        <w:t>The material facts of the matter are as follows</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A27D44" w:rsidRDefault="00A27D44" w:rsidP="008B63ED">
      <w:pPr>
        <w:spacing w:line="360" w:lineRule="auto"/>
        <w:rPr>
          <w:sz w:val="28"/>
          <w:szCs w:val="28"/>
        </w:rPr>
      </w:pPr>
      <w:r>
        <w:rPr>
          <w:sz w:val="28"/>
          <w:szCs w:val="28"/>
        </w:rPr>
        <w:t>On 1</w:t>
      </w:r>
      <w:r w:rsidRPr="00A27D44">
        <w:rPr>
          <w:sz w:val="28"/>
          <w:szCs w:val="28"/>
          <w:vertAlign w:val="superscript"/>
        </w:rPr>
        <w:t>st</w:t>
      </w:r>
      <w:r>
        <w:rPr>
          <w:sz w:val="28"/>
          <w:szCs w:val="28"/>
        </w:rPr>
        <w:t xml:space="preserve"> November 2005 the </w:t>
      </w:r>
      <w:r w:rsidR="00C93A34">
        <w:rPr>
          <w:sz w:val="28"/>
          <w:szCs w:val="28"/>
        </w:rPr>
        <w:t xml:space="preserve">Labour </w:t>
      </w:r>
      <w:r>
        <w:rPr>
          <w:sz w:val="28"/>
          <w:szCs w:val="28"/>
        </w:rPr>
        <w:t>Board made determination</w:t>
      </w:r>
      <w:r w:rsidR="00C93A34">
        <w:rPr>
          <w:sz w:val="28"/>
          <w:szCs w:val="28"/>
        </w:rPr>
        <w:t>s</w:t>
      </w:r>
      <w:r>
        <w:rPr>
          <w:sz w:val="28"/>
          <w:szCs w:val="28"/>
        </w:rPr>
        <w:t xml:space="preserve"> ordering Respondent to reinstate Applicants.</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A27D44" w:rsidRDefault="00A27D44" w:rsidP="008B63ED">
      <w:pPr>
        <w:spacing w:line="360" w:lineRule="auto"/>
        <w:rPr>
          <w:sz w:val="28"/>
          <w:szCs w:val="28"/>
        </w:rPr>
      </w:pPr>
      <w:r>
        <w:rPr>
          <w:sz w:val="28"/>
          <w:szCs w:val="28"/>
        </w:rPr>
        <w:t>Respondent filed an application for review of the determinations by the High Court.</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A27D44" w:rsidRDefault="00A27D44" w:rsidP="008B63ED">
      <w:pPr>
        <w:spacing w:line="360" w:lineRule="auto"/>
        <w:rPr>
          <w:sz w:val="28"/>
          <w:szCs w:val="28"/>
        </w:rPr>
      </w:pPr>
      <w:r>
        <w:rPr>
          <w:sz w:val="28"/>
          <w:szCs w:val="28"/>
        </w:rPr>
        <w:t>On</w:t>
      </w:r>
      <w:r w:rsidR="00C93A34">
        <w:rPr>
          <w:sz w:val="28"/>
          <w:szCs w:val="28"/>
        </w:rPr>
        <w:t xml:space="preserve"> </w:t>
      </w:r>
      <w:r>
        <w:rPr>
          <w:sz w:val="28"/>
          <w:szCs w:val="28"/>
        </w:rPr>
        <w:t>6th December 2006 the High Court dismissed the application for review.</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A27D44" w:rsidRDefault="00A27D44" w:rsidP="008B63ED">
      <w:pPr>
        <w:spacing w:line="360" w:lineRule="auto"/>
        <w:rPr>
          <w:sz w:val="28"/>
          <w:szCs w:val="28"/>
        </w:rPr>
      </w:pPr>
      <w:r>
        <w:rPr>
          <w:sz w:val="28"/>
          <w:szCs w:val="28"/>
        </w:rPr>
        <w:t>Respondent appealed against the High Court’s decision to the Supreme Court.</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A27D44" w:rsidRDefault="00A27D44" w:rsidP="008B63ED">
      <w:pPr>
        <w:spacing w:line="360" w:lineRule="auto"/>
        <w:rPr>
          <w:sz w:val="28"/>
          <w:szCs w:val="28"/>
        </w:rPr>
      </w:pPr>
      <w:r>
        <w:rPr>
          <w:sz w:val="28"/>
          <w:szCs w:val="28"/>
        </w:rPr>
        <w:t>On 5</w:t>
      </w:r>
      <w:r w:rsidRPr="00A27D44">
        <w:rPr>
          <w:sz w:val="28"/>
          <w:szCs w:val="28"/>
          <w:vertAlign w:val="superscript"/>
        </w:rPr>
        <w:t>th</w:t>
      </w:r>
      <w:r>
        <w:rPr>
          <w:sz w:val="28"/>
          <w:szCs w:val="28"/>
        </w:rPr>
        <w:t xml:space="preserve"> November 2009 the Supreme Court dismissed the Respondent’s appeal.</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A27D44" w:rsidRDefault="00A27D44" w:rsidP="008B63ED">
      <w:pPr>
        <w:spacing w:line="360" w:lineRule="auto"/>
        <w:rPr>
          <w:sz w:val="28"/>
          <w:szCs w:val="28"/>
        </w:rPr>
      </w:pPr>
      <w:r>
        <w:rPr>
          <w:sz w:val="28"/>
          <w:szCs w:val="28"/>
        </w:rPr>
        <w:t xml:space="preserve">Applicants </w:t>
      </w:r>
      <w:r w:rsidR="00C93A34">
        <w:rPr>
          <w:sz w:val="28"/>
          <w:szCs w:val="28"/>
        </w:rPr>
        <w:t xml:space="preserve">then </w:t>
      </w:r>
      <w:r>
        <w:rPr>
          <w:sz w:val="28"/>
          <w:szCs w:val="28"/>
        </w:rPr>
        <w:t>filed a complaint with a Labour Officer citing the continued refusal by Respondent to reinstate them.</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A27D44" w:rsidRDefault="00A27D44" w:rsidP="008B63ED">
      <w:pPr>
        <w:spacing w:line="360" w:lineRule="auto"/>
        <w:rPr>
          <w:sz w:val="28"/>
          <w:szCs w:val="28"/>
        </w:rPr>
      </w:pPr>
      <w:r>
        <w:rPr>
          <w:sz w:val="28"/>
          <w:szCs w:val="28"/>
        </w:rPr>
        <w:t>Conciliation failed to settle the matter which was then referred to compulsory arbitration.</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A27D44" w:rsidRDefault="00A27D44" w:rsidP="00A27D44">
      <w:pPr>
        <w:spacing w:line="360" w:lineRule="auto"/>
        <w:ind w:left="3600" w:firstLine="720"/>
        <w:rPr>
          <w:sz w:val="28"/>
          <w:szCs w:val="28"/>
        </w:rPr>
      </w:pPr>
    </w:p>
    <w:p w:rsidR="00A27D44" w:rsidRDefault="00A27D44" w:rsidP="00A27D44">
      <w:pPr>
        <w:spacing w:line="360" w:lineRule="auto"/>
        <w:ind w:left="3600" w:firstLine="720"/>
        <w:rPr>
          <w:sz w:val="28"/>
          <w:szCs w:val="28"/>
        </w:rPr>
      </w:pPr>
      <w:r>
        <w:rPr>
          <w:sz w:val="28"/>
          <w:szCs w:val="28"/>
        </w:rPr>
        <w:t>8.</w:t>
      </w:r>
    </w:p>
    <w:p w:rsidR="00A27D44" w:rsidRDefault="00A27D44" w:rsidP="008B63ED">
      <w:pPr>
        <w:spacing w:line="360" w:lineRule="auto"/>
        <w:rPr>
          <w:sz w:val="28"/>
          <w:szCs w:val="28"/>
        </w:rPr>
      </w:pPr>
      <w:r>
        <w:rPr>
          <w:sz w:val="28"/>
          <w:szCs w:val="28"/>
        </w:rPr>
        <w:t>On 12</w:t>
      </w:r>
      <w:r w:rsidRPr="00A27D44">
        <w:rPr>
          <w:sz w:val="28"/>
          <w:szCs w:val="28"/>
          <w:vertAlign w:val="superscript"/>
        </w:rPr>
        <w:t>th</w:t>
      </w:r>
      <w:r>
        <w:rPr>
          <w:sz w:val="28"/>
          <w:szCs w:val="28"/>
        </w:rPr>
        <w:t xml:space="preserve"> January 2011 an arbitrator made an award in terms of which he declined jurisdiction.</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A27D44" w:rsidRDefault="00A27D44" w:rsidP="008B63ED">
      <w:pPr>
        <w:spacing w:line="360" w:lineRule="auto"/>
        <w:rPr>
          <w:sz w:val="28"/>
          <w:szCs w:val="28"/>
        </w:rPr>
      </w:pPr>
      <w:r>
        <w:rPr>
          <w:sz w:val="28"/>
          <w:szCs w:val="28"/>
        </w:rPr>
        <w:t>Applicants appealed to this Court.</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A27D44" w:rsidRDefault="00A27D44" w:rsidP="008B63ED">
      <w:pPr>
        <w:spacing w:line="360" w:lineRule="auto"/>
        <w:rPr>
          <w:sz w:val="28"/>
          <w:szCs w:val="28"/>
        </w:rPr>
      </w:pPr>
      <w:r>
        <w:rPr>
          <w:sz w:val="28"/>
          <w:szCs w:val="28"/>
        </w:rPr>
        <w:t>On 2</w:t>
      </w:r>
      <w:r w:rsidRPr="00A27D44">
        <w:rPr>
          <w:sz w:val="28"/>
          <w:szCs w:val="28"/>
          <w:vertAlign w:val="superscript"/>
        </w:rPr>
        <w:t>nd</w:t>
      </w:r>
      <w:r>
        <w:rPr>
          <w:sz w:val="28"/>
          <w:szCs w:val="28"/>
        </w:rPr>
        <w:t xml:space="preserve"> September 2011 Applicants withdrew their appeal.</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11.</w:t>
      </w:r>
    </w:p>
    <w:p w:rsidR="00A27D44" w:rsidRDefault="00A27D44" w:rsidP="008B63ED">
      <w:pPr>
        <w:spacing w:line="360" w:lineRule="auto"/>
        <w:rPr>
          <w:sz w:val="28"/>
          <w:szCs w:val="28"/>
        </w:rPr>
      </w:pPr>
      <w:r>
        <w:rPr>
          <w:sz w:val="28"/>
          <w:szCs w:val="28"/>
        </w:rPr>
        <w:t>Then they filed the present application.</w:t>
      </w:r>
    </w:p>
    <w:p w:rsidR="00A27D44" w:rsidRDefault="00A27D44" w:rsidP="008B63ED">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rsidR="00A27D44" w:rsidRDefault="00A27D44" w:rsidP="008B63ED">
      <w:pPr>
        <w:spacing w:line="360" w:lineRule="auto"/>
        <w:rPr>
          <w:sz w:val="28"/>
          <w:szCs w:val="28"/>
        </w:rPr>
      </w:pPr>
      <w:r>
        <w:rPr>
          <w:sz w:val="28"/>
          <w:szCs w:val="28"/>
        </w:rPr>
        <w:t>No clear explanation has been given for the withdrawal</w:t>
      </w:r>
      <w:r w:rsidR="005B6FB5">
        <w:rPr>
          <w:sz w:val="28"/>
          <w:szCs w:val="28"/>
        </w:rPr>
        <w:t xml:space="preserve"> of the appeal and the filing of th</w:t>
      </w:r>
      <w:r w:rsidR="00C93A34">
        <w:rPr>
          <w:sz w:val="28"/>
          <w:szCs w:val="28"/>
        </w:rPr>
        <w:t>is</w:t>
      </w:r>
      <w:r w:rsidR="005B6FB5">
        <w:rPr>
          <w:sz w:val="28"/>
          <w:szCs w:val="28"/>
        </w:rPr>
        <w:t xml:space="preserve"> application.</w:t>
      </w:r>
    </w:p>
    <w:p w:rsidR="00C93A34" w:rsidRDefault="00C93A34" w:rsidP="008B63ED">
      <w:pPr>
        <w:spacing w:line="360" w:lineRule="auto"/>
        <w:rPr>
          <w:sz w:val="28"/>
          <w:szCs w:val="28"/>
        </w:rPr>
      </w:pPr>
    </w:p>
    <w:p w:rsidR="00111DB4" w:rsidRDefault="005B6FB5" w:rsidP="008B63ED">
      <w:pPr>
        <w:spacing w:line="360" w:lineRule="auto"/>
        <w:rPr>
          <w:sz w:val="28"/>
          <w:szCs w:val="28"/>
        </w:rPr>
      </w:pPr>
      <w:r>
        <w:rPr>
          <w:sz w:val="28"/>
          <w:szCs w:val="28"/>
        </w:rPr>
        <w:t xml:space="preserve">As stated earlier, Respondent opposed the application.  Its main argument was that this Court does not have jurisdiction to deal with this sort of application.  In the alternative Respondent argued that the matter is either prescribed or </w:t>
      </w:r>
      <w:r>
        <w:rPr>
          <w:sz w:val="28"/>
          <w:szCs w:val="28"/>
          <w:u w:val="single"/>
        </w:rPr>
        <w:t>res</w:t>
      </w:r>
      <w:r>
        <w:rPr>
          <w:sz w:val="28"/>
          <w:szCs w:val="28"/>
        </w:rPr>
        <w:t xml:space="preserve"> </w:t>
      </w:r>
      <w:r>
        <w:rPr>
          <w:sz w:val="28"/>
          <w:szCs w:val="28"/>
          <w:u w:val="single"/>
        </w:rPr>
        <w:t>judicata.</w:t>
      </w:r>
      <w:r>
        <w:rPr>
          <w:sz w:val="28"/>
          <w:szCs w:val="28"/>
        </w:rPr>
        <w:t xml:space="preserve">  It also argued that Applicants’ failure to use the correct forms prescribed by this Court’s Rules was a fatal irregularity warranting dismissal of the application.  I do not agree with the last submission.  The irregula</w:t>
      </w:r>
      <w:r w:rsidR="00326CDD">
        <w:rPr>
          <w:sz w:val="28"/>
          <w:szCs w:val="28"/>
        </w:rPr>
        <w:t>rity i</w:t>
      </w:r>
      <w:r w:rsidR="00C93A34">
        <w:rPr>
          <w:sz w:val="28"/>
          <w:szCs w:val="28"/>
        </w:rPr>
        <w:t>n</w:t>
      </w:r>
      <w:r w:rsidR="00326CDD">
        <w:rPr>
          <w:sz w:val="28"/>
          <w:szCs w:val="28"/>
        </w:rPr>
        <w:t xml:space="preserve"> this  case is</w:t>
      </w:r>
      <w:r w:rsidR="00111DB4">
        <w:rPr>
          <w:sz w:val="28"/>
          <w:szCs w:val="28"/>
        </w:rPr>
        <w:t xml:space="preserve"> condonable considering that Applicants were not assisted by an attorney in drafting their papers and no prejudice was proven by Respondent.</w:t>
      </w:r>
    </w:p>
    <w:p w:rsidR="00111DB4" w:rsidRDefault="00111DB4" w:rsidP="008B63ED">
      <w:pPr>
        <w:spacing w:line="360" w:lineRule="auto"/>
        <w:rPr>
          <w:sz w:val="28"/>
          <w:szCs w:val="28"/>
        </w:rPr>
      </w:pPr>
    </w:p>
    <w:p w:rsidR="00111DB4" w:rsidRDefault="00111DB4" w:rsidP="008B63ED">
      <w:pPr>
        <w:spacing w:line="360" w:lineRule="auto"/>
        <w:rPr>
          <w:sz w:val="28"/>
          <w:szCs w:val="28"/>
        </w:rPr>
      </w:pPr>
      <w:r>
        <w:rPr>
          <w:sz w:val="28"/>
          <w:szCs w:val="28"/>
        </w:rPr>
        <w:t xml:space="preserve">I consider that the decisive issue relates to the Court’s jurisdiction.  Section 89 (1) of the </w:t>
      </w:r>
      <w:r>
        <w:rPr>
          <w:sz w:val="28"/>
          <w:szCs w:val="28"/>
          <w:u w:val="single"/>
        </w:rPr>
        <w:t>Labour Act</w:t>
      </w:r>
      <w:r>
        <w:rPr>
          <w:sz w:val="28"/>
          <w:szCs w:val="28"/>
        </w:rPr>
        <w:t xml:space="preserve"> Chapter 28:01 (hereafter called the Act) provides that</w:t>
      </w:r>
    </w:p>
    <w:p w:rsidR="00111DB4" w:rsidRDefault="00111DB4" w:rsidP="008B63ED">
      <w:pPr>
        <w:spacing w:line="360" w:lineRule="auto"/>
        <w:rPr>
          <w:i/>
          <w:sz w:val="28"/>
          <w:szCs w:val="28"/>
        </w:rPr>
      </w:pPr>
      <w:r>
        <w:rPr>
          <w:sz w:val="28"/>
          <w:szCs w:val="28"/>
        </w:rPr>
        <w:tab/>
        <w:t xml:space="preserve">“(1) </w:t>
      </w:r>
      <w:r w:rsidR="005258F8">
        <w:rPr>
          <w:sz w:val="28"/>
          <w:szCs w:val="28"/>
        </w:rPr>
        <w:t xml:space="preserve"> </w:t>
      </w:r>
      <w:r>
        <w:rPr>
          <w:i/>
          <w:sz w:val="28"/>
          <w:szCs w:val="28"/>
        </w:rPr>
        <w:t>The L</w:t>
      </w:r>
      <w:r w:rsidR="005258F8">
        <w:rPr>
          <w:i/>
          <w:sz w:val="28"/>
          <w:szCs w:val="28"/>
        </w:rPr>
        <w:t>abour Court shall exercise the following functions-</w:t>
      </w:r>
    </w:p>
    <w:p w:rsidR="005258F8" w:rsidRDefault="005258F8" w:rsidP="005258F8">
      <w:pPr>
        <w:pStyle w:val="ListParagraph"/>
        <w:numPr>
          <w:ilvl w:val="0"/>
          <w:numId w:val="1"/>
        </w:numPr>
        <w:spacing w:line="360" w:lineRule="auto"/>
        <w:rPr>
          <w:i/>
          <w:sz w:val="28"/>
          <w:szCs w:val="28"/>
        </w:rPr>
      </w:pPr>
      <w:r>
        <w:rPr>
          <w:i/>
          <w:sz w:val="28"/>
          <w:szCs w:val="28"/>
        </w:rPr>
        <w:t xml:space="preserve">  hearing and determining </w:t>
      </w:r>
      <w:r>
        <w:rPr>
          <w:i/>
          <w:sz w:val="28"/>
          <w:szCs w:val="28"/>
          <w:u w:val="single"/>
        </w:rPr>
        <w:t>applications</w:t>
      </w:r>
      <w:r>
        <w:rPr>
          <w:i/>
          <w:sz w:val="28"/>
          <w:szCs w:val="28"/>
        </w:rPr>
        <w:t xml:space="preserve"> </w:t>
      </w:r>
      <w:r w:rsidR="00C93A34">
        <w:rPr>
          <w:i/>
          <w:sz w:val="28"/>
          <w:szCs w:val="28"/>
        </w:rPr>
        <w:t xml:space="preserve">and </w:t>
      </w:r>
      <w:r>
        <w:rPr>
          <w:i/>
          <w:sz w:val="28"/>
          <w:szCs w:val="28"/>
        </w:rPr>
        <w:t>appeals in terms of this Act or any other enactment;”</w:t>
      </w:r>
    </w:p>
    <w:p w:rsidR="0010780F" w:rsidRDefault="005258F8" w:rsidP="0010780F">
      <w:pPr>
        <w:spacing w:after="0" w:line="360" w:lineRule="auto"/>
        <w:rPr>
          <w:sz w:val="28"/>
          <w:szCs w:val="28"/>
        </w:rPr>
      </w:pPr>
      <w:r>
        <w:rPr>
          <w:sz w:val="28"/>
          <w:szCs w:val="28"/>
        </w:rPr>
        <w:t xml:space="preserve">It therefore follows that </w:t>
      </w:r>
      <w:r w:rsidR="00C93A34">
        <w:rPr>
          <w:sz w:val="28"/>
          <w:szCs w:val="28"/>
        </w:rPr>
        <w:t>an</w:t>
      </w:r>
      <w:r>
        <w:rPr>
          <w:sz w:val="28"/>
          <w:szCs w:val="28"/>
        </w:rPr>
        <w:t xml:space="preserve"> Applicant should be able to cite</w:t>
      </w:r>
      <w:r w:rsidR="0010780F">
        <w:rPr>
          <w:sz w:val="28"/>
          <w:szCs w:val="28"/>
        </w:rPr>
        <w:t xml:space="preserve"> a provision in the Act or any other enactment which provides for the</w:t>
      </w:r>
      <w:r w:rsidR="00C93A34">
        <w:rPr>
          <w:sz w:val="28"/>
          <w:szCs w:val="28"/>
        </w:rPr>
        <w:t>ir</w:t>
      </w:r>
      <w:r w:rsidR="0010780F">
        <w:rPr>
          <w:sz w:val="28"/>
          <w:szCs w:val="28"/>
        </w:rPr>
        <w:t xml:space="preserve"> application.</w:t>
      </w:r>
      <w:r w:rsidR="00C93A34">
        <w:rPr>
          <w:sz w:val="28"/>
          <w:szCs w:val="28"/>
        </w:rPr>
        <w:t xml:space="preserve"> </w:t>
      </w:r>
      <w:r w:rsidR="0010780F">
        <w:rPr>
          <w:sz w:val="28"/>
          <w:szCs w:val="28"/>
        </w:rPr>
        <w:t>Applicant</w:t>
      </w:r>
      <w:r w:rsidR="0088251E">
        <w:rPr>
          <w:sz w:val="28"/>
          <w:szCs w:val="28"/>
        </w:rPr>
        <w:t>s</w:t>
      </w:r>
      <w:r w:rsidR="0010780F">
        <w:rPr>
          <w:sz w:val="28"/>
          <w:szCs w:val="28"/>
        </w:rPr>
        <w:t xml:space="preserve"> purported to bring their application in terms of section 89 (2) (d) of the Act which state</w:t>
      </w:r>
      <w:r w:rsidR="00C93A34">
        <w:rPr>
          <w:sz w:val="28"/>
          <w:szCs w:val="28"/>
        </w:rPr>
        <w:t>s</w:t>
      </w:r>
      <w:r w:rsidR="0010780F">
        <w:rPr>
          <w:sz w:val="28"/>
          <w:szCs w:val="28"/>
        </w:rPr>
        <w:t xml:space="preserve"> that,</w:t>
      </w:r>
    </w:p>
    <w:p w:rsidR="0010780F" w:rsidRDefault="0010780F" w:rsidP="0010780F">
      <w:pPr>
        <w:spacing w:after="0" w:line="360" w:lineRule="auto"/>
        <w:rPr>
          <w:i/>
          <w:sz w:val="28"/>
          <w:szCs w:val="28"/>
        </w:rPr>
      </w:pPr>
      <w:r>
        <w:rPr>
          <w:sz w:val="28"/>
          <w:szCs w:val="28"/>
        </w:rPr>
        <w:tab/>
      </w:r>
      <w:r>
        <w:rPr>
          <w:i/>
          <w:sz w:val="28"/>
          <w:szCs w:val="28"/>
        </w:rPr>
        <w:t>“(2)</w:t>
      </w:r>
      <w:r>
        <w:rPr>
          <w:i/>
          <w:sz w:val="28"/>
          <w:szCs w:val="28"/>
        </w:rPr>
        <w:tab/>
        <w:t>In the exercise of its functions, the Labour Court may –</w:t>
      </w:r>
    </w:p>
    <w:p w:rsidR="0010780F" w:rsidRPr="0010780F" w:rsidRDefault="0010780F" w:rsidP="0010780F">
      <w:pPr>
        <w:spacing w:after="0" w:line="360" w:lineRule="auto"/>
        <w:ind w:left="720" w:hanging="720"/>
        <w:rPr>
          <w:i/>
          <w:sz w:val="28"/>
          <w:szCs w:val="28"/>
        </w:rPr>
      </w:pPr>
      <w:r>
        <w:rPr>
          <w:i/>
          <w:sz w:val="28"/>
          <w:szCs w:val="28"/>
        </w:rPr>
        <w:tab/>
        <w:t xml:space="preserve"> (d)</w:t>
      </w:r>
      <w:r>
        <w:rPr>
          <w:i/>
          <w:sz w:val="28"/>
          <w:szCs w:val="28"/>
        </w:rPr>
        <w:tab/>
        <w:t xml:space="preserve">in the case of an application other than one referred to in </w:t>
      </w:r>
    </w:p>
    <w:p w:rsidR="00A27D44" w:rsidRDefault="0010780F" w:rsidP="0010780F">
      <w:pPr>
        <w:spacing w:after="0" w:line="360" w:lineRule="auto"/>
        <w:ind w:left="1440"/>
        <w:rPr>
          <w:i/>
          <w:sz w:val="28"/>
          <w:szCs w:val="28"/>
        </w:rPr>
      </w:pPr>
      <w:r w:rsidRPr="0010780F">
        <w:rPr>
          <w:i/>
          <w:sz w:val="28"/>
          <w:szCs w:val="28"/>
        </w:rPr>
        <w:t>Paragraph</w:t>
      </w:r>
      <w:r>
        <w:rPr>
          <w:i/>
          <w:sz w:val="28"/>
          <w:szCs w:val="28"/>
        </w:rPr>
        <w:t xml:space="preserve"> (b) or (c), or a reference, make such an order or exercise such powers </w:t>
      </w:r>
      <w:r>
        <w:rPr>
          <w:i/>
          <w:sz w:val="28"/>
          <w:szCs w:val="28"/>
          <w:u w:val="single"/>
        </w:rPr>
        <w:t>as may be provided for in the appropriate provision of this Act</w:t>
      </w:r>
      <w:r>
        <w:rPr>
          <w:i/>
          <w:sz w:val="28"/>
          <w:szCs w:val="28"/>
        </w:rPr>
        <w:t>;”</w:t>
      </w:r>
    </w:p>
    <w:p w:rsidR="003640BC" w:rsidRDefault="003640BC" w:rsidP="0010780F">
      <w:pPr>
        <w:spacing w:after="0" w:line="360" w:lineRule="auto"/>
        <w:ind w:left="1440"/>
        <w:rPr>
          <w:i/>
          <w:sz w:val="28"/>
          <w:szCs w:val="28"/>
        </w:rPr>
      </w:pPr>
    </w:p>
    <w:p w:rsidR="0010780F" w:rsidRDefault="0010780F" w:rsidP="0010780F">
      <w:pPr>
        <w:spacing w:after="0" w:line="360" w:lineRule="auto"/>
        <w:rPr>
          <w:sz w:val="28"/>
          <w:szCs w:val="28"/>
        </w:rPr>
      </w:pPr>
      <w:r>
        <w:rPr>
          <w:sz w:val="28"/>
          <w:szCs w:val="28"/>
        </w:rPr>
        <w:t>This Court’s jurisdiction in respect of applications is spelt out under section 89</w:t>
      </w:r>
      <w:r w:rsidR="00C93A34">
        <w:rPr>
          <w:sz w:val="28"/>
          <w:szCs w:val="28"/>
        </w:rPr>
        <w:t>(i)</w:t>
      </w:r>
      <w:r>
        <w:rPr>
          <w:sz w:val="28"/>
          <w:szCs w:val="28"/>
        </w:rPr>
        <w:t>. The application must be in terms of a provision of the Act or some other enactment.  Section 89 (2) (d</w:t>
      </w:r>
      <w:r w:rsidR="00C93A34">
        <w:rPr>
          <w:sz w:val="28"/>
          <w:szCs w:val="28"/>
        </w:rPr>
        <w:t>)</w:t>
      </w:r>
      <w:r>
        <w:rPr>
          <w:sz w:val="28"/>
          <w:szCs w:val="28"/>
        </w:rPr>
        <w:t xml:space="preserve"> simply spells </w:t>
      </w:r>
      <w:r w:rsidR="00C93A34">
        <w:rPr>
          <w:sz w:val="28"/>
          <w:szCs w:val="28"/>
        </w:rPr>
        <w:t xml:space="preserve">out </w:t>
      </w:r>
      <w:r>
        <w:rPr>
          <w:sz w:val="28"/>
          <w:szCs w:val="28"/>
        </w:rPr>
        <w:t xml:space="preserve">the powers the Court has in determining a certain class of applications.  In other words it does not create </w:t>
      </w:r>
      <w:r w:rsidR="00C93A34">
        <w:rPr>
          <w:sz w:val="28"/>
          <w:szCs w:val="28"/>
        </w:rPr>
        <w:t>different</w:t>
      </w:r>
      <w:r>
        <w:rPr>
          <w:sz w:val="28"/>
          <w:szCs w:val="28"/>
        </w:rPr>
        <w:t xml:space="preserve"> </w:t>
      </w:r>
      <w:r w:rsidRPr="00C93A34">
        <w:rPr>
          <w:sz w:val="28"/>
          <w:szCs w:val="28"/>
          <w:u w:val="single"/>
        </w:rPr>
        <w:t>specie</w:t>
      </w:r>
      <w:r>
        <w:rPr>
          <w:sz w:val="28"/>
          <w:szCs w:val="28"/>
        </w:rPr>
        <w:t xml:space="preserve"> of application.  On that basis</w:t>
      </w:r>
      <w:r w:rsidR="00C93A34">
        <w:rPr>
          <w:sz w:val="28"/>
          <w:szCs w:val="28"/>
        </w:rPr>
        <w:t>,</w:t>
      </w:r>
      <w:r>
        <w:rPr>
          <w:sz w:val="28"/>
          <w:szCs w:val="28"/>
        </w:rPr>
        <w:t xml:space="preserve"> th</w:t>
      </w:r>
      <w:r w:rsidR="00C93A34">
        <w:rPr>
          <w:sz w:val="28"/>
          <w:szCs w:val="28"/>
        </w:rPr>
        <w:t>is</w:t>
      </w:r>
      <w:r>
        <w:rPr>
          <w:sz w:val="28"/>
          <w:szCs w:val="28"/>
        </w:rPr>
        <w:t xml:space="preserve"> application must fail for want of jurisdiction by th</w:t>
      </w:r>
      <w:r w:rsidR="00C93A34">
        <w:rPr>
          <w:sz w:val="28"/>
          <w:szCs w:val="28"/>
        </w:rPr>
        <w:t>e</w:t>
      </w:r>
      <w:r>
        <w:rPr>
          <w:sz w:val="28"/>
          <w:szCs w:val="28"/>
        </w:rPr>
        <w:t xml:space="preserve"> Court.  I am fortified in this opinion by the </w:t>
      </w:r>
      <w:r>
        <w:rPr>
          <w:sz w:val="28"/>
          <w:szCs w:val="28"/>
          <w:u w:val="single"/>
        </w:rPr>
        <w:t>dicta</w:t>
      </w:r>
      <w:r>
        <w:rPr>
          <w:sz w:val="28"/>
          <w:szCs w:val="28"/>
        </w:rPr>
        <w:t xml:space="preserve"> of the Honourable Justice Ziyambi JA in the matter of </w:t>
      </w:r>
      <w:r>
        <w:rPr>
          <w:b/>
          <w:sz w:val="28"/>
          <w:szCs w:val="28"/>
        </w:rPr>
        <w:t xml:space="preserve">NRZ </w:t>
      </w:r>
      <w:r w:rsidR="00C93A34">
        <w:rPr>
          <w:b/>
          <w:sz w:val="28"/>
          <w:szCs w:val="28"/>
        </w:rPr>
        <w:t>vs.</w:t>
      </w:r>
      <w:r>
        <w:rPr>
          <w:b/>
          <w:sz w:val="28"/>
          <w:szCs w:val="28"/>
        </w:rPr>
        <w:t xml:space="preserve"> ZARU </w:t>
      </w:r>
      <w:r>
        <w:rPr>
          <w:sz w:val="28"/>
          <w:szCs w:val="28"/>
        </w:rPr>
        <w:t>2005 (1) ZLR 341 (S) at p 347 A, which reads,</w:t>
      </w:r>
    </w:p>
    <w:p w:rsidR="00C93A34" w:rsidRDefault="00C93A34" w:rsidP="0010780F">
      <w:pPr>
        <w:spacing w:after="0" w:line="360" w:lineRule="auto"/>
        <w:ind w:left="720"/>
        <w:rPr>
          <w:sz w:val="28"/>
          <w:szCs w:val="28"/>
        </w:rPr>
      </w:pPr>
    </w:p>
    <w:p w:rsidR="003640BC" w:rsidRDefault="003640BC" w:rsidP="0010780F">
      <w:pPr>
        <w:spacing w:after="0" w:line="360" w:lineRule="auto"/>
        <w:ind w:left="720"/>
        <w:rPr>
          <w:i/>
          <w:sz w:val="28"/>
          <w:szCs w:val="28"/>
        </w:rPr>
      </w:pPr>
    </w:p>
    <w:p w:rsidR="003936FE" w:rsidRDefault="0010780F" w:rsidP="0010780F">
      <w:pPr>
        <w:spacing w:after="0" w:line="360" w:lineRule="auto"/>
        <w:ind w:left="720"/>
        <w:rPr>
          <w:i/>
          <w:sz w:val="28"/>
          <w:szCs w:val="28"/>
        </w:rPr>
      </w:pPr>
      <w:r>
        <w:rPr>
          <w:i/>
          <w:sz w:val="28"/>
          <w:szCs w:val="28"/>
        </w:rPr>
        <w:t>“Thus, before an application can be entertained by the Labour Court, it must be satisfied</w:t>
      </w:r>
      <w:r w:rsidR="003936FE">
        <w:rPr>
          <w:i/>
          <w:sz w:val="28"/>
          <w:szCs w:val="28"/>
        </w:rPr>
        <w:t xml:space="preserve"> that such an application is an application ‘in terms of </w:t>
      </w:r>
    </w:p>
    <w:p w:rsidR="0010780F" w:rsidRDefault="003936FE" w:rsidP="00C93A34">
      <w:pPr>
        <w:spacing w:after="0" w:line="360" w:lineRule="auto"/>
        <w:ind w:left="720"/>
        <w:rPr>
          <w:i/>
          <w:sz w:val="28"/>
          <w:szCs w:val="28"/>
        </w:rPr>
      </w:pPr>
      <w:r>
        <w:rPr>
          <w:i/>
          <w:sz w:val="28"/>
          <w:szCs w:val="28"/>
        </w:rPr>
        <w:t>this Act or any other enactment’.  This necessarily means that the Act or other enactment must specifically provide for applications to the Labour Court, of the type that the applicant seeks to bring:’’</w:t>
      </w:r>
    </w:p>
    <w:p w:rsidR="003936FE" w:rsidRDefault="003936FE" w:rsidP="003936FE">
      <w:pPr>
        <w:spacing w:after="0" w:line="360" w:lineRule="auto"/>
        <w:rPr>
          <w:sz w:val="28"/>
          <w:szCs w:val="28"/>
        </w:rPr>
      </w:pPr>
    </w:p>
    <w:p w:rsidR="00C93A34" w:rsidRDefault="00C93A34" w:rsidP="003936FE">
      <w:pPr>
        <w:spacing w:after="0" w:line="360" w:lineRule="auto"/>
        <w:rPr>
          <w:sz w:val="28"/>
          <w:szCs w:val="28"/>
        </w:rPr>
      </w:pPr>
      <w:r>
        <w:rPr>
          <w:sz w:val="28"/>
          <w:szCs w:val="28"/>
        </w:rPr>
        <w:t>Applicants were ill-advised to withdraw their appeal which was properly before this Court and substitute it with an application which the Court has no jurisdiction to hear.</w:t>
      </w:r>
    </w:p>
    <w:p w:rsidR="00C93A34" w:rsidRDefault="00C93A34" w:rsidP="003936FE">
      <w:pPr>
        <w:spacing w:after="0" w:line="360" w:lineRule="auto"/>
        <w:rPr>
          <w:sz w:val="28"/>
          <w:szCs w:val="28"/>
        </w:rPr>
      </w:pPr>
    </w:p>
    <w:p w:rsidR="003936FE" w:rsidRDefault="003936FE" w:rsidP="003936FE">
      <w:pPr>
        <w:spacing w:after="0" w:line="360" w:lineRule="auto"/>
        <w:rPr>
          <w:sz w:val="28"/>
          <w:szCs w:val="28"/>
        </w:rPr>
      </w:pPr>
      <w:r>
        <w:rPr>
          <w:sz w:val="28"/>
          <w:szCs w:val="28"/>
        </w:rPr>
        <w:t>Wherefore it is ordered that,</w:t>
      </w:r>
    </w:p>
    <w:p w:rsidR="003936FE" w:rsidRDefault="003936FE" w:rsidP="003936FE">
      <w:pPr>
        <w:spacing w:after="0" w:line="360" w:lineRule="auto"/>
        <w:rPr>
          <w:sz w:val="28"/>
          <w:szCs w:val="28"/>
        </w:rPr>
      </w:pPr>
    </w:p>
    <w:p w:rsidR="003936FE" w:rsidRDefault="003936FE" w:rsidP="003936FE">
      <w:pPr>
        <w:pStyle w:val="ListParagraph"/>
        <w:numPr>
          <w:ilvl w:val="0"/>
          <w:numId w:val="2"/>
        </w:numPr>
        <w:spacing w:after="0" w:line="360" w:lineRule="auto"/>
        <w:rPr>
          <w:sz w:val="28"/>
          <w:szCs w:val="28"/>
        </w:rPr>
      </w:pPr>
      <w:r>
        <w:rPr>
          <w:sz w:val="28"/>
          <w:szCs w:val="28"/>
        </w:rPr>
        <w:t>The application is hereby dismissed; and</w:t>
      </w:r>
    </w:p>
    <w:p w:rsidR="003936FE" w:rsidRDefault="003936FE" w:rsidP="003936FE">
      <w:pPr>
        <w:pStyle w:val="ListParagraph"/>
        <w:spacing w:after="0" w:line="360" w:lineRule="auto"/>
        <w:rPr>
          <w:sz w:val="28"/>
          <w:szCs w:val="28"/>
        </w:rPr>
      </w:pPr>
    </w:p>
    <w:p w:rsidR="003936FE" w:rsidRDefault="003936FE" w:rsidP="003936FE">
      <w:pPr>
        <w:pStyle w:val="ListParagraph"/>
        <w:numPr>
          <w:ilvl w:val="0"/>
          <w:numId w:val="2"/>
        </w:numPr>
        <w:spacing w:after="0" w:line="360" w:lineRule="auto"/>
        <w:rPr>
          <w:sz w:val="28"/>
          <w:szCs w:val="28"/>
        </w:rPr>
      </w:pPr>
      <w:r>
        <w:rPr>
          <w:sz w:val="28"/>
          <w:szCs w:val="28"/>
        </w:rPr>
        <w:t>Each party shall bear its own costs.</w:t>
      </w:r>
    </w:p>
    <w:p w:rsidR="003936FE" w:rsidRPr="003936FE" w:rsidRDefault="003936FE" w:rsidP="003936FE">
      <w:pPr>
        <w:pStyle w:val="ListParagraph"/>
        <w:rPr>
          <w:sz w:val="28"/>
          <w:szCs w:val="28"/>
        </w:rPr>
      </w:pPr>
    </w:p>
    <w:p w:rsidR="003936FE" w:rsidRDefault="003936FE" w:rsidP="003936FE">
      <w:pPr>
        <w:pStyle w:val="ListParagraph"/>
        <w:spacing w:after="0" w:line="360" w:lineRule="auto"/>
        <w:ind w:left="4320"/>
        <w:rPr>
          <w:sz w:val="28"/>
          <w:szCs w:val="28"/>
        </w:rPr>
      </w:pPr>
    </w:p>
    <w:p w:rsidR="003936FE" w:rsidRDefault="003936FE" w:rsidP="003936FE">
      <w:pPr>
        <w:pStyle w:val="ListParagraph"/>
        <w:spacing w:after="0" w:line="360" w:lineRule="auto"/>
        <w:ind w:left="4320"/>
        <w:rPr>
          <w:sz w:val="28"/>
          <w:szCs w:val="28"/>
        </w:rPr>
      </w:pPr>
    </w:p>
    <w:p w:rsidR="003936FE" w:rsidRDefault="003936FE" w:rsidP="003936FE">
      <w:pPr>
        <w:pStyle w:val="ListParagraph"/>
        <w:spacing w:after="0" w:line="360" w:lineRule="auto"/>
        <w:ind w:left="4320"/>
        <w:rPr>
          <w:sz w:val="28"/>
          <w:szCs w:val="28"/>
        </w:rPr>
      </w:pPr>
    </w:p>
    <w:p w:rsidR="003936FE" w:rsidRDefault="003936FE" w:rsidP="003936FE">
      <w:pPr>
        <w:pStyle w:val="ListParagraph"/>
        <w:spacing w:after="0" w:line="360" w:lineRule="auto"/>
        <w:ind w:left="4320"/>
        <w:rPr>
          <w:b/>
          <w:sz w:val="28"/>
          <w:szCs w:val="28"/>
        </w:rPr>
      </w:pPr>
      <w:r>
        <w:rPr>
          <w:b/>
          <w:sz w:val="28"/>
          <w:szCs w:val="28"/>
        </w:rPr>
        <w:t>G. MUSARIRI</w:t>
      </w:r>
    </w:p>
    <w:p w:rsidR="003936FE" w:rsidRDefault="003936FE" w:rsidP="003936FE">
      <w:pPr>
        <w:pStyle w:val="ListParagraph"/>
        <w:spacing w:after="0" w:line="360" w:lineRule="auto"/>
        <w:ind w:left="4320"/>
        <w:rPr>
          <w:b/>
          <w:sz w:val="28"/>
          <w:szCs w:val="28"/>
        </w:rPr>
      </w:pPr>
    </w:p>
    <w:p w:rsidR="003936FE" w:rsidRPr="003936FE" w:rsidRDefault="003936FE" w:rsidP="003936FE">
      <w:pPr>
        <w:pStyle w:val="ListParagraph"/>
        <w:spacing w:after="0" w:line="360" w:lineRule="auto"/>
        <w:ind w:left="4320"/>
        <w:rPr>
          <w:b/>
          <w:sz w:val="28"/>
          <w:szCs w:val="28"/>
          <w:u w:val="single"/>
        </w:rPr>
      </w:pPr>
      <w:r>
        <w:rPr>
          <w:b/>
          <w:sz w:val="28"/>
          <w:szCs w:val="28"/>
          <w:u w:val="single"/>
        </w:rPr>
        <w:t>PRESIDENT</w:t>
      </w:r>
    </w:p>
    <w:sectPr w:rsidR="003936FE" w:rsidRPr="003936FE" w:rsidSect="00A27D4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ACC" w:rsidRDefault="00C45ACC" w:rsidP="00A27D44">
      <w:pPr>
        <w:spacing w:after="0" w:line="240" w:lineRule="auto"/>
      </w:pPr>
      <w:r>
        <w:separator/>
      </w:r>
    </w:p>
  </w:endnote>
  <w:endnote w:type="continuationSeparator" w:id="1">
    <w:p w:rsidR="00C45ACC" w:rsidRDefault="00C45ACC" w:rsidP="00A27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2489"/>
      <w:docPartObj>
        <w:docPartGallery w:val="Page Numbers (Bottom of Page)"/>
        <w:docPartUnique/>
      </w:docPartObj>
    </w:sdtPr>
    <w:sdtContent>
      <w:p w:rsidR="0010780F" w:rsidRDefault="00772B74">
        <w:pPr>
          <w:pStyle w:val="Footer"/>
          <w:jc w:val="right"/>
        </w:pPr>
        <w:fldSimple w:instr=" PAGE   \* MERGEFORMAT ">
          <w:r w:rsidR="003640BC">
            <w:rPr>
              <w:noProof/>
            </w:rPr>
            <w:t>5</w:t>
          </w:r>
        </w:fldSimple>
      </w:p>
    </w:sdtContent>
  </w:sdt>
  <w:p w:rsidR="0010780F" w:rsidRDefault="001078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ACC" w:rsidRDefault="00C45ACC" w:rsidP="00A27D44">
      <w:pPr>
        <w:spacing w:after="0" w:line="240" w:lineRule="auto"/>
      </w:pPr>
      <w:r>
        <w:separator/>
      </w:r>
    </w:p>
  </w:footnote>
  <w:footnote w:type="continuationSeparator" w:id="1">
    <w:p w:rsidR="00C45ACC" w:rsidRDefault="00C45ACC" w:rsidP="00A27D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80F" w:rsidRDefault="0010780F" w:rsidP="00A27D44">
    <w:pPr>
      <w:ind w:left="5040" w:firstLine="720"/>
      <w:rPr>
        <w:b/>
        <w:sz w:val="28"/>
        <w:szCs w:val="28"/>
      </w:rPr>
    </w:pPr>
    <w:r>
      <w:rPr>
        <w:b/>
        <w:sz w:val="28"/>
        <w:szCs w:val="28"/>
      </w:rPr>
      <w:t>JUDGMENT NO LC/H/76/13</w:t>
    </w:r>
  </w:p>
  <w:p w:rsidR="0010780F" w:rsidRDefault="001078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D0D67"/>
    <w:multiLevelType w:val="hybridMultilevel"/>
    <w:tmpl w:val="68ECAB3A"/>
    <w:lvl w:ilvl="0" w:tplc="C5247F34">
      <w:start w:val="1"/>
      <w:numFmt w:val="lowerLetter"/>
      <w:lvlText w:val="(%1)"/>
      <w:lvlJc w:val="left"/>
      <w:pPr>
        <w:ind w:left="1125" w:hanging="360"/>
      </w:pPr>
      <w:rPr>
        <w:rFonts w:hint="default"/>
      </w:rPr>
    </w:lvl>
    <w:lvl w:ilvl="1" w:tplc="30090019" w:tentative="1">
      <w:start w:val="1"/>
      <w:numFmt w:val="lowerLetter"/>
      <w:lvlText w:val="%2."/>
      <w:lvlJc w:val="left"/>
      <w:pPr>
        <w:ind w:left="1845" w:hanging="360"/>
      </w:pPr>
    </w:lvl>
    <w:lvl w:ilvl="2" w:tplc="3009001B" w:tentative="1">
      <w:start w:val="1"/>
      <w:numFmt w:val="lowerRoman"/>
      <w:lvlText w:val="%3."/>
      <w:lvlJc w:val="right"/>
      <w:pPr>
        <w:ind w:left="2565" w:hanging="180"/>
      </w:pPr>
    </w:lvl>
    <w:lvl w:ilvl="3" w:tplc="3009000F" w:tentative="1">
      <w:start w:val="1"/>
      <w:numFmt w:val="decimal"/>
      <w:lvlText w:val="%4."/>
      <w:lvlJc w:val="left"/>
      <w:pPr>
        <w:ind w:left="3285" w:hanging="360"/>
      </w:pPr>
    </w:lvl>
    <w:lvl w:ilvl="4" w:tplc="30090019" w:tentative="1">
      <w:start w:val="1"/>
      <w:numFmt w:val="lowerLetter"/>
      <w:lvlText w:val="%5."/>
      <w:lvlJc w:val="left"/>
      <w:pPr>
        <w:ind w:left="4005" w:hanging="360"/>
      </w:pPr>
    </w:lvl>
    <w:lvl w:ilvl="5" w:tplc="3009001B" w:tentative="1">
      <w:start w:val="1"/>
      <w:numFmt w:val="lowerRoman"/>
      <w:lvlText w:val="%6."/>
      <w:lvlJc w:val="right"/>
      <w:pPr>
        <w:ind w:left="4725" w:hanging="180"/>
      </w:pPr>
    </w:lvl>
    <w:lvl w:ilvl="6" w:tplc="3009000F" w:tentative="1">
      <w:start w:val="1"/>
      <w:numFmt w:val="decimal"/>
      <w:lvlText w:val="%7."/>
      <w:lvlJc w:val="left"/>
      <w:pPr>
        <w:ind w:left="5445" w:hanging="360"/>
      </w:pPr>
    </w:lvl>
    <w:lvl w:ilvl="7" w:tplc="30090019" w:tentative="1">
      <w:start w:val="1"/>
      <w:numFmt w:val="lowerLetter"/>
      <w:lvlText w:val="%8."/>
      <w:lvlJc w:val="left"/>
      <w:pPr>
        <w:ind w:left="6165" w:hanging="360"/>
      </w:pPr>
    </w:lvl>
    <w:lvl w:ilvl="8" w:tplc="3009001B" w:tentative="1">
      <w:start w:val="1"/>
      <w:numFmt w:val="lowerRoman"/>
      <w:lvlText w:val="%9."/>
      <w:lvlJc w:val="right"/>
      <w:pPr>
        <w:ind w:left="6885" w:hanging="180"/>
      </w:pPr>
    </w:lvl>
  </w:abstractNum>
  <w:abstractNum w:abstractNumId="1">
    <w:nsid w:val="693D105E"/>
    <w:multiLevelType w:val="hybridMultilevel"/>
    <w:tmpl w:val="1A5801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B63ED"/>
    <w:rsid w:val="00035463"/>
    <w:rsid w:val="0010780F"/>
    <w:rsid w:val="00111DB4"/>
    <w:rsid w:val="00195A49"/>
    <w:rsid w:val="00283A71"/>
    <w:rsid w:val="00326CDD"/>
    <w:rsid w:val="003640BC"/>
    <w:rsid w:val="00383905"/>
    <w:rsid w:val="003936FE"/>
    <w:rsid w:val="004D3CEF"/>
    <w:rsid w:val="005258F8"/>
    <w:rsid w:val="005B6FB5"/>
    <w:rsid w:val="006F6C7C"/>
    <w:rsid w:val="00730402"/>
    <w:rsid w:val="00772B74"/>
    <w:rsid w:val="00802748"/>
    <w:rsid w:val="0088251E"/>
    <w:rsid w:val="008B635E"/>
    <w:rsid w:val="008B63ED"/>
    <w:rsid w:val="00A27D44"/>
    <w:rsid w:val="00C45ACC"/>
    <w:rsid w:val="00C93A34"/>
    <w:rsid w:val="00EF2917"/>
    <w:rsid w:val="00F66D9D"/>
    <w:rsid w:val="00FD776A"/>
    <w:rsid w:val="00FF0523"/>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7D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7D44"/>
  </w:style>
  <w:style w:type="paragraph" w:styleId="Footer">
    <w:name w:val="footer"/>
    <w:basedOn w:val="Normal"/>
    <w:link w:val="FooterChar"/>
    <w:uiPriority w:val="99"/>
    <w:unhideWhenUsed/>
    <w:rsid w:val="00A27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D44"/>
  </w:style>
  <w:style w:type="paragraph" w:styleId="ListParagraph">
    <w:name w:val="List Paragraph"/>
    <w:basedOn w:val="Normal"/>
    <w:uiPriority w:val="34"/>
    <w:qFormat/>
    <w:rsid w:val="005258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94D3-277E-46DF-846A-F95D6B8D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4</cp:revision>
  <dcterms:created xsi:type="dcterms:W3CDTF">2013-03-08T07:32:00Z</dcterms:created>
  <dcterms:modified xsi:type="dcterms:W3CDTF">2013-03-13T13:18:00Z</dcterms:modified>
</cp:coreProperties>
</file>