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Pr="009802E9">
        <w:rPr>
          <w:rFonts w:ascii="Tahoma" w:hAnsi="Tahoma" w:cs="Tahoma"/>
          <w:b/>
          <w:sz w:val="24"/>
          <w:szCs w:val="24"/>
        </w:rPr>
        <w:t>JUDGMENT NO. LC/</w:t>
      </w:r>
      <w:r w:rsidR="00C14882" w:rsidRPr="009802E9">
        <w:rPr>
          <w:rFonts w:ascii="Tahoma" w:hAnsi="Tahoma" w:cs="Tahoma"/>
          <w:b/>
          <w:sz w:val="24"/>
          <w:szCs w:val="24"/>
        </w:rPr>
        <w:t>H</w:t>
      </w:r>
      <w:r w:rsidRPr="009802E9">
        <w:rPr>
          <w:rFonts w:ascii="Tahoma" w:hAnsi="Tahoma" w:cs="Tahoma"/>
          <w:b/>
          <w:sz w:val="24"/>
          <w:szCs w:val="24"/>
        </w:rPr>
        <w:t>/</w:t>
      </w:r>
      <w:r w:rsidR="008D3C88">
        <w:rPr>
          <w:rFonts w:ascii="Tahoma" w:hAnsi="Tahoma" w:cs="Tahoma"/>
          <w:b/>
          <w:sz w:val="24"/>
          <w:szCs w:val="24"/>
        </w:rPr>
        <w:t>196</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8D3C88">
        <w:rPr>
          <w:rFonts w:ascii="Tahoma" w:hAnsi="Tahoma" w:cs="Tahoma"/>
          <w:b/>
          <w:sz w:val="24"/>
          <w:szCs w:val="24"/>
        </w:rPr>
        <w:t>17</w:t>
      </w:r>
      <w:r w:rsidR="008D3C88" w:rsidRPr="008D3C88">
        <w:rPr>
          <w:rFonts w:ascii="Tahoma" w:hAnsi="Tahoma" w:cs="Tahoma"/>
          <w:b/>
          <w:sz w:val="24"/>
          <w:szCs w:val="24"/>
          <w:vertAlign w:val="superscript"/>
        </w:rPr>
        <w:t>th</w:t>
      </w:r>
      <w:r w:rsidR="008D3C88">
        <w:rPr>
          <w:rFonts w:ascii="Tahoma" w:hAnsi="Tahoma" w:cs="Tahoma"/>
          <w:b/>
          <w:sz w:val="24"/>
          <w:szCs w:val="24"/>
        </w:rPr>
        <w:t xml:space="preserve"> JUNE</w:t>
      </w:r>
      <w:r w:rsidR="00EF062B">
        <w:rPr>
          <w:rFonts w:ascii="Tahoma" w:hAnsi="Tahoma" w:cs="Tahoma"/>
          <w:b/>
          <w:sz w:val="24"/>
          <w:szCs w:val="24"/>
        </w:rPr>
        <w:t>,</w:t>
      </w:r>
      <w:r w:rsidR="008D3C88">
        <w:rPr>
          <w:rFonts w:ascii="Tahoma" w:hAnsi="Tahoma" w:cs="Tahoma"/>
          <w:b/>
          <w:sz w:val="24"/>
          <w:szCs w:val="24"/>
        </w:rPr>
        <w:t xml:space="preserve"> </w:t>
      </w:r>
      <w:r w:rsidR="00EF062B">
        <w:rPr>
          <w:rFonts w:ascii="Tahoma" w:hAnsi="Tahoma" w:cs="Tahoma"/>
          <w:b/>
          <w:sz w:val="24"/>
          <w:szCs w:val="24"/>
        </w:rPr>
        <w:t>2020</w:t>
      </w:r>
      <w:r w:rsidR="00EF062B">
        <w:rPr>
          <w:rFonts w:ascii="Tahoma" w:hAnsi="Tahoma" w:cs="Tahoma"/>
          <w:b/>
          <w:sz w:val="24"/>
          <w:szCs w:val="24"/>
        </w:rPr>
        <w:tab/>
      </w:r>
      <w:r w:rsidR="002F7414">
        <w:rPr>
          <w:rFonts w:ascii="Tahoma" w:hAnsi="Tahoma" w:cs="Tahoma"/>
          <w:b/>
          <w:sz w:val="24"/>
          <w:szCs w:val="24"/>
        </w:rPr>
        <w:t xml:space="preserve">    </w:t>
      </w:r>
      <w:r w:rsidR="008D3C88">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8D3C88">
        <w:rPr>
          <w:rFonts w:ascii="Tahoma" w:hAnsi="Tahoma" w:cs="Tahoma"/>
          <w:b/>
          <w:color w:val="000000" w:themeColor="text1"/>
          <w:sz w:val="24"/>
          <w:szCs w:val="24"/>
        </w:rPr>
        <w:t>APP/33</w:t>
      </w:r>
      <w:r w:rsidR="007B5134">
        <w:rPr>
          <w:rFonts w:ascii="Tahoma" w:hAnsi="Tahoma" w:cs="Tahoma"/>
          <w:b/>
          <w:color w:val="000000" w:themeColor="text1"/>
          <w:sz w:val="24"/>
          <w:szCs w:val="24"/>
        </w:rPr>
        <w:t>7</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805E2D">
        <w:rPr>
          <w:rFonts w:ascii="Tahoma" w:hAnsi="Tahoma" w:cs="Tahoma"/>
          <w:b/>
          <w:sz w:val="24"/>
          <w:szCs w:val="24"/>
        </w:rPr>
        <w:t>28</w:t>
      </w:r>
      <w:r w:rsidR="007B5134" w:rsidRPr="007B5134">
        <w:rPr>
          <w:rFonts w:ascii="Tahoma" w:hAnsi="Tahoma" w:cs="Tahoma"/>
          <w:b/>
          <w:sz w:val="24"/>
          <w:szCs w:val="24"/>
          <w:vertAlign w:val="superscript"/>
        </w:rPr>
        <w:t>TH</w:t>
      </w:r>
      <w:r w:rsidR="007B5134">
        <w:rPr>
          <w:rFonts w:ascii="Tahoma" w:hAnsi="Tahoma" w:cs="Tahoma"/>
          <w:b/>
          <w:sz w:val="24"/>
          <w:szCs w:val="24"/>
        </w:rPr>
        <w:t xml:space="preserve"> </w:t>
      </w:r>
      <w:r w:rsidR="00805E2D">
        <w:rPr>
          <w:rFonts w:ascii="Tahoma" w:hAnsi="Tahoma" w:cs="Tahoma"/>
          <w:b/>
          <w:sz w:val="24"/>
          <w:szCs w:val="24"/>
        </w:rPr>
        <w:t>AUGUST</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67419">
        <w:rPr>
          <w:rFonts w:ascii="Tahoma" w:hAnsi="Tahoma" w:cs="Tahoma"/>
          <w:b/>
          <w:sz w:val="24"/>
          <w:szCs w:val="24"/>
        </w:rPr>
        <w:tab/>
      </w:r>
      <w:r w:rsidR="00867419">
        <w:rPr>
          <w:rFonts w:ascii="Tahoma" w:hAnsi="Tahoma" w:cs="Tahoma"/>
          <w:b/>
          <w:sz w:val="24"/>
          <w:szCs w:val="24"/>
        </w:rPr>
        <w:tab/>
      </w:r>
      <w:r w:rsidR="008D3C88">
        <w:rPr>
          <w:rFonts w:ascii="Tahoma" w:hAnsi="Tahoma" w:cs="Tahoma"/>
          <w:b/>
          <w:sz w:val="24"/>
          <w:szCs w:val="24"/>
        </w:rPr>
        <w:t xml:space="preserve">        X REF: LC/H/LRA/33/19</w:t>
      </w:r>
      <w:r w:rsidR="008918D7" w:rsidRPr="009802E9">
        <w:rPr>
          <w:rFonts w:ascii="Tahoma" w:hAnsi="Tahoma" w:cs="Tahoma"/>
          <w:b/>
          <w:sz w:val="24"/>
          <w:szCs w:val="24"/>
        </w:rPr>
        <w:tab/>
      </w:r>
    </w:p>
    <w:p w:rsidR="00A71E87" w:rsidRPr="008D3C88"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8D3C88">
        <w:rPr>
          <w:rFonts w:ascii="Tahoma" w:hAnsi="Tahoma" w:cs="Tahoma"/>
          <w:sz w:val="24"/>
          <w:szCs w:val="24"/>
        </w:rPr>
        <w:tab/>
        <w:t xml:space="preserve">      </w:t>
      </w:r>
      <w:r w:rsidR="008D3C88">
        <w:rPr>
          <w:rFonts w:ascii="Tahoma" w:hAnsi="Tahoma" w:cs="Tahoma"/>
          <w:b/>
          <w:sz w:val="24"/>
          <w:szCs w:val="24"/>
        </w:rPr>
        <w:t xml:space="preserve">  X REF: LC/H/APP/305/19</w:t>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8B5755" w:rsidP="007E6C56">
      <w:pPr>
        <w:spacing w:after="0" w:line="360" w:lineRule="auto"/>
        <w:rPr>
          <w:rFonts w:ascii="Tahoma" w:hAnsi="Tahoma" w:cs="Tahoma"/>
          <w:b/>
          <w:sz w:val="24"/>
          <w:szCs w:val="24"/>
        </w:rPr>
      </w:pPr>
      <w:r>
        <w:rPr>
          <w:rFonts w:ascii="Tahoma" w:hAnsi="Tahoma" w:cs="Tahoma"/>
          <w:b/>
          <w:sz w:val="24"/>
          <w:szCs w:val="24"/>
        </w:rPr>
        <w:t>DAVID WHITEHEAD TEXTILE</w:t>
      </w:r>
      <w:r w:rsidR="00805E2D">
        <w:rPr>
          <w:rFonts w:ascii="Tahoma" w:hAnsi="Tahoma" w:cs="Tahoma"/>
          <w:b/>
          <w:sz w:val="24"/>
          <w:szCs w:val="24"/>
        </w:rPr>
        <w:t>S</w:t>
      </w:r>
      <w:r>
        <w:rPr>
          <w:rFonts w:ascii="Tahoma" w:hAnsi="Tahoma" w:cs="Tahoma"/>
          <w:b/>
          <w:sz w:val="24"/>
          <w:szCs w:val="24"/>
        </w:rPr>
        <w:t xml:space="preserve"> LIMITED</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lic</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805E2D" w:rsidP="008B5755">
      <w:pPr>
        <w:spacing w:after="0" w:line="360" w:lineRule="auto"/>
        <w:rPr>
          <w:rFonts w:ascii="Tahoma" w:hAnsi="Tahoma" w:cs="Tahoma"/>
          <w:b/>
          <w:sz w:val="24"/>
          <w:szCs w:val="24"/>
        </w:rPr>
      </w:pPr>
      <w:proofErr w:type="gramStart"/>
      <w:r>
        <w:rPr>
          <w:rFonts w:ascii="Tahoma" w:hAnsi="Tahoma" w:cs="Tahoma"/>
          <w:b/>
          <w:sz w:val="24"/>
          <w:szCs w:val="24"/>
        </w:rPr>
        <w:t>NYASHA FAITH MAGONDO</w:t>
      </w:r>
      <w:r w:rsidR="008B5755">
        <w:rPr>
          <w:rFonts w:ascii="Tahoma" w:hAnsi="Tahoma" w:cs="Tahoma"/>
          <w:b/>
          <w:sz w:val="24"/>
          <w:szCs w:val="24"/>
        </w:rPr>
        <w:t xml:space="preserve"> N.O.</w:t>
      </w:r>
      <w:proofErr w:type="gramEnd"/>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8B5755">
        <w:rPr>
          <w:rFonts w:ascii="Tahoma" w:hAnsi="Tahoma" w:cs="Tahoma"/>
          <w:b/>
          <w:sz w:val="24"/>
          <w:szCs w:val="24"/>
        </w:rPr>
        <w:tab/>
      </w:r>
      <w:r w:rsidR="008B5755">
        <w:rPr>
          <w:rFonts w:ascii="Tahoma" w:hAnsi="Tahoma" w:cs="Tahoma"/>
          <w:b/>
          <w:sz w:val="24"/>
          <w:szCs w:val="24"/>
        </w:rPr>
        <w:tab/>
        <w:t>1</w:t>
      </w:r>
      <w:r w:rsidR="008B5755" w:rsidRPr="008B5755">
        <w:rPr>
          <w:rFonts w:ascii="Tahoma" w:hAnsi="Tahoma" w:cs="Tahoma"/>
          <w:b/>
          <w:sz w:val="24"/>
          <w:szCs w:val="24"/>
          <w:vertAlign w:val="superscript"/>
        </w:rPr>
        <w:t>st</w:t>
      </w:r>
      <w:r w:rsidR="008B5755">
        <w:rPr>
          <w:rFonts w:ascii="Tahoma" w:hAnsi="Tahoma" w:cs="Tahoma"/>
          <w:b/>
          <w:sz w:val="24"/>
          <w:szCs w:val="24"/>
        </w:rPr>
        <w:t xml:space="preserve"> </w:t>
      </w:r>
      <w:r w:rsidR="00D85594" w:rsidRPr="009802E9">
        <w:rPr>
          <w:rFonts w:ascii="Tahoma" w:hAnsi="Tahoma" w:cs="Tahoma"/>
          <w:b/>
          <w:sz w:val="24"/>
          <w:szCs w:val="24"/>
        </w:rPr>
        <w:t>Respondent</w:t>
      </w:r>
    </w:p>
    <w:p w:rsidR="008B5755" w:rsidRPr="009802E9" w:rsidRDefault="008B5755" w:rsidP="008B5755">
      <w:pPr>
        <w:spacing w:after="0" w:line="360" w:lineRule="auto"/>
        <w:rPr>
          <w:rFonts w:ascii="Tahoma" w:hAnsi="Tahoma" w:cs="Tahoma"/>
          <w:b/>
          <w:sz w:val="24"/>
          <w:szCs w:val="24"/>
        </w:rPr>
      </w:pPr>
      <w:r>
        <w:rPr>
          <w:rFonts w:ascii="Tahoma" w:hAnsi="Tahoma" w:cs="Tahoma"/>
          <w:b/>
          <w:sz w:val="24"/>
          <w:szCs w:val="24"/>
        </w:rPr>
        <w:t>JEREMIAH SABAMBA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8B5755">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p>
    <w:p w:rsidR="008B5755" w:rsidRPr="009802E9" w:rsidRDefault="00805E2D" w:rsidP="008B5755">
      <w:pPr>
        <w:spacing w:after="0" w:line="360" w:lineRule="auto"/>
        <w:rPr>
          <w:rFonts w:ascii="Tahoma" w:hAnsi="Tahoma" w:cs="Tahoma"/>
          <w:b/>
          <w:sz w:val="24"/>
          <w:szCs w:val="24"/>
        </w:rPr>
      </w:pPr>
      <w:r>
        <w:rPr>
          <w:rFonts w:ascii="Tahoma" w:hAnsi="Tahoma" w:cs="Tahoma"/>
          <w:b/>
          <w:sz w:val="24"/>
          <w:szCs w:val="24"/>
        </w:rPr>
        <w:t>LUCIA MURWIRA</w:t>
      </w:r>
      <w:r w:rsidR="008B5755">
        <w:rPr>
          <w:rFonts w:ascii="Tahoma" w:hAnsi="Tahoma" w:cs="Tahoma"/>
          <w:b/>
          <w:sz w:val="24"/>
          <w:szCs w:val="24"/>
        </w:rPr>
        <w:tab/>
      </w:r>
      <w:r w:rsidR="008B5755">
        <w:rPr>
          <w:rFonts w:ascii="Tahoma" w:hAnsi="Tahoma" w:cs="Tahoma"/>
          <w:b/>
          <w:sz w:val="24"/>
          <w:szCs w:val="24"/>
        </w:rPr>
        <w:tab/>
      </w:r>
      <w:r w:rsidR="008B5755">
        <w:rPr>
          <w:rFonts w:ascii="Tahoma" w:hAnsi="Tahoma" w:cs="Tahoma"/>
          <w:b/>
          <w:sz w:val="24"/>
          <w:szCs w:val="24"/>
        </w:rPr>
        <w:tab/>
      </w:r>
      <w:r w:rsidR="008B5755">
        <w:rPr>
          <w:rFonts w:ascii="Tahoma" w:hAnsi="Tahoma" w:cs="Tahoma"/>
          <w:b/>
          <w:sz w:val="24"/>
          <w:szCs w:val="24"/>
        </w:rPr>
        <w:tab/>
      </w:r>
      <w:r w:rsidR="008B5755">
        <w:rPr>
          <w:rFonts w:ascii="Tahoma" w:hAnsi="Tahoma" w:cs="Tahoma"/>
          <w:b/>
          <w:sz w:val="24"/>
          <w:szCs w:val="24"/>
        </w:rPr>
        <w:tab/>
      </w:r>
      <w:r w:rsidR="008B5755">
        <w:rPr>
          <w:rFonts w:ascii="Tahoma" w:hAnsi="Tahoma" w:cs="Tahoma"/>
          <w:b/>
          <w:sz w:val="24"/>
          <w:szCs w:val="24"/>
        </w:rPr>
        <w:tab/>
      </w:r>
      <w:r w:rsidR="008B5755">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r>
      <w:r w:rsidR="008B5755">
        <w:rPr>
          <w:rFonts w:ascii="Tahoma" w:hAnsi="Tahoma" w:cs="Tahoma"/>
          <w:b/>
          <w:sz w:val="24"/>
          <w:szCs w:val="24"/>
        </w:rPr>
        <w:t>3</w:t>
      </w:r>
      <w:r w:rsidR="008B5755" w:rsidRPr="008B5755">
        <w:rPr>
          <w:rFonts w:ascii="Tahoma" w:hAnsi="Tahoma" w:cs="Tahoma"/>
          <w:b/>
          <w:sz w:val="24"/>
          <w:szCs w:val="24"/>
          <w:vertAlign w:val="superscript"/>
        </w:rPr>
        <w:t>rd</w:t>
      </w:r>
      <w:r w:rsidR="008B5755">
        <w:rPr>
          <w:rFonts w:ascii="Tahoma" w:hAnsi="Tahoma" w:cs="Tahoma"/>
          <w:b/>
          <w:sz w:val="24"/>
          <w:szCs w:val="24"/>
        </w:rPr>
        <w:t xml:space="preserve"> </w:t>
      </w:r>
      <w:r w:rsidR="008B5755" w:rsidRPr="009802E9">
        <w:rPr>
          <w:rFonts w:ascii="Tahoma" w:hAnsi="Tahoma" w:cs="Tahoma"/>
          <w:b/>
          <w:sz w:val="24"/>
          <w:szCs w:val="24"/>
        </w:rPr>
        <w:t>Respondent</w:t>
      </w:r>
    </w:p>
    <w:p w:rsidR="008B5755" w:rsidRPr="009802E9" w:rsidRDefault="008B5755" w:rsidP="001B6513">
      <w:pPr>
        <w:spacing w:after="0" w:line="240" w:lineRule="auto"/>
        <w:rPr>
          <w:rFonts w:ascii="Tahoma" w:hAnsi="Tahoma" w:cs="Tahoma"/>
          <w:b/>
          <w:sz w:val="24"/>
          <w:szCs w:val="24"/>
        </w:rPr>
      </w:pPr>
      <w:r>
        <w:rPr>
          <w:rFonts w:ascii="Tahoma" w:hAnsi="Tahoma" w:cs="Tahoma"/>
          <w:b/>
          <w:sz w:val="24"/>
          <w:szCs w:val="24"/>
        </w:rPr>
        <w:t>ISAAC MUKURUDARE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4</w:t>
      </w:r>
      <w:r w:rsidRPr="008B5755">
        <w:rPr>
          <w:rFonts w:ascii="Tahoma" w:hAnsi="Tahoma" w:cs="Tahoma"/>
          <w:b/>
          <w:sz w:val="24"/>
          <w:szCs w:val="24"/>
          <w:vertAlign w:val="superscript"/>
        </w:rPr>
        <w:t>th</w:t>
      </w:r>
      <w:r>
        <w:rPr>
          <w:rFonts w:ascii="Tahoma" w:hAnsi="Tahoma" w:cs="Tahoma"/>
          <w:b/>
          <w:sz w:val="24"/>
          <w:szCs w:val="24"/>
        </w:rPr>
        <w:t xml:space="preserve"> </w:t>
      </w:r>
      <w:r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1B6513">
        <w:rPr>
          <w:rFonts w:ascii="Tahoma" w:hAnsi="Tahoma" w:cs="Tahoma"/>
          <w:b/>
          <w:sz w:val="24"/>
          <w:szCs w:val="24"/>
        </w:rPr>
        <w:t>licant</w:t>
      </w:r>
      <w:r w:rsidR="001B6513">
        <w:rPr>
          <w:rFonts w:ascii="Tahoma" w:hAnsi="Tahoma" w:cs="Tahoma"/>
          <w:b/>
          <w:sz w:val="24"/>
          <w:szCs w:val="24"/>
        </w:rPr>
        <w:tab/>
      </w:r>
      <w:r w:rsidR="001B6513">
        <w:rPr>
          <w:rFonts w:ascii="Tahoma" w:hAnsi="Tahoma" w:cs="Tahoma"/>
          <w:b/>
          <w:sz w:val="24"/>
          <w:szCs w:val="24"/>
        </w:rPr>
        <w:tab/>
      </w:r>
      <w:r w:rsidR="001B6513">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1B6513">
        <w:rPr>
          <w:rFonts w:ascii="Tahoma" w:hAnsi="Tahoma" w:cs="Tahoma"/>
          <w:b/>
          <w:sz w:val="24"/>
          <w:szCs w:val="24"/>
        </w:rPr>
        <w:t>L. Zinyengere</w:t>
      </w:r>
      <w:r w:rsidR="00EF062B">
        <w:rPr>
          <w:rFonts w:ascii="Tahoma" w:hAnsi="Tahoma" w:cs="Tahoma"/>
          <w:b/>
          <w:sz w:val="24"/>
          <w:szCs w:val="24"/>
        </w:rPr>
        <w:t xml:space="preserve"> (Legal Practitioner)</w:t>
      </w:r>
    </w:p>
    <w:p w:rsidR="00AD0C69" w:rsidRPr="009802E9" w:rsidRDefault="001B6513" w:rsidP="001B6513">
      <w:pPr>
        <w:spacing w:after="0" w:line="360" w:lineRule="auto"/>
        <w:rPr>
          <w:rFonts w:ascii="Tahoma" w:hAnsi="Tahoma" w:cs="Tahoma"/>
          <w:sz w:val="24"/>
          <w:szCs w:val="24"/>
        </w:rPr>
      </w:pPr>
      <w:r>
        <w:rPr>
          <w:rFonts w:ascii="Tahoma" w:hAnsi="Tahoma" w:cs="Tahoma"/>
          <w:b/>
          <w:sz w:val="24"/>
          <w:szCs w:val="24"/>
        </w:rPr>
        <w:t>1</w:t>
      </w:r>
      <w:r w:rsidRPr="001B6513">
        <w:rPr>
          <w:rFonts w:ascii="Tahoma" w:hAnsi="Tahoma" w:cs="Tahoma"/>
          <w:b/>
          <w:sz w:val="24"/>
          <w:szCs w:val="24"/>
          <w:vertAlign w:val="superscript"/>
        </w:rPr>
        <w:t>st</w:t>
      </w:r>
      <w:r>
        <w:rPr>
          <w:rFonts w:ascii="Tahoma" w:hAnsi="Tahoma" w:cs="Tahoma"/>
          <w:b/>
          <w:sz w:val="24"/>
          <w:szCs w:val="24"/>
        </w:rPr>
        <w:t xml:space="preserve"> </w:t>
      </w:r>
      <w:r w:rsidR="00AD0C69" w:rsidRPr="009802E9">
        <w:rPr>
          <w:rFonts w:ascii="Tahoma" w:hAnsi="Tahoma" w:cs="Tahoma"/>
          <w:b/>
          <w:sz w:val="24"/>
          <w:szCs w:val="24"/>
        </w:rPr>
        <w:t>Respondent</w:t>
      </w:r>
      <w:r w:rsidR="00AD0C69" w:rsidRPr="009802E9">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D0C69" w:rsidRPr="009802E9">
        <w:rPr>
          <w:rFonts w:ascii="Tahoma" w:hAnsi="Tahoma" w:cs="Tahoma"/>
          <w:b/>
          <w:sz w:val="24"/>
          <w:szCs w:val="24"/>
        </w:rPr>
        <w:t>:</w:t>
      </w:r>
      <w:r w:rsidR="00AD0C69" w:rsidRPr="009802E9">
        <w:rPr>
          <w:rFonts w:ascii="Tahoma" w:hAnsi="Tahoma" w:cs="Tahoma"/>
          <w:b/>
          <w:sz w:val="24"/>
          <w:szCs w:val="24"/>
        </w:rPr>
        <w:tab/>
      </w:r>
      <w:r>
        <w:rPr>
          <w:rFonts w:ascii="Tahoma" w:hAnsi="Tahoma" w:cs="Tahoma"/>
          <w:b/>
          <w:sz w:val="24"/>
          <w:szCs w:val="24"/>
        </w:rPr>
        <w:t>In Person</w:t>
      </w:r>
    </w:p>
    <w:p w:rsidR="001B6513" w:rsidRDefault="001B6513" w:rsidP="001B6513">
      <w:pPr>
        <w:spacing w:after="0" w:line="240" w:lineRule="auto"/>
        <w:ind w:left="720" w:hanging="720"/>
        <w:rPr>
          <w:rFonts w:ascii="Tahoma" w:hAnsi="Tahoma" w:cs="Tahoma"/>
          <w:b/>
          <w:sz w:val="24"/>
          <w:szCs w:val="24"/>
        </w:rPr>
      </w:pPr>
      <w:r w:rsidRPr="009802E9">
        <w:rPr>
          <w:rFonts w:ascii="Tahoma" w:hAnsi="Tahoma" w:cs="Tahoma"/>
          <w:b/>
          <w:sz w:val="24"/>
          <w:szCs w:val="24"/>
        </w:rPr>
        <w:t xml:space="preserve">For </w:t>
      </w:r>
      <w:r>
        <w:rPr>
          <w:rFonts w:ascii="Tahoma" w:hAnsi="Tahoma" w:cs="Tahoma"/>
          <w:b/>
          <w:sz w:val="24"/>
          <w:szCs w:val="24"/>
        </w:rPr>
        <w:t>2</w:t>
      </w:r>
      <w:r w:rsidRPr="001B6513">
        <w:rPr>
          <w:rFonts w:ascii="Tahoma" w:hAnsi="Tahoma" w:cs="Tahoma"/>
          <w:b/>
          <w:sz w:val="24"/>
          <w:szCs w:val="24"/>
          <w:vertAlign w:val="superscript"/>
        </w:rPr>
        <w:t>nd</w:t>
      </w:r>
      <w:r>
        <w:rPr>
          <w:rFonts w:ascii="Tahoma" w:hAnsi="Tahoma" w:cs="Tahoma"/>
          <w:b/>
          <w:sz w:val="24"/>
          <w:szCs w:val="24"/>
        </w:rPr>
        <w:t>, 3</w:t>
      </w:r>
      <w:r w:rsidRPr="001B6513">
        <w:rPr>
          <w:rFonts w:ascii="Tahoma" w:hAnsi="Tahoma" w:cs="Tahoma"/>
          <w:b/>
          <w:sz w:val="24"/>
          <w:szCs w:val="24"/>
          <w:vertAlign w:val="superscript"/>
        </w:rPr>
        <w:t>rd</w:t>
      </w:r>
      <w:r>
        <w:rPr>
          <w:rFonts w:ascii="Tahoma" w:hAnsi="Tahoma" w:cs="Tahoma"/>
          <w:b/>
          <w:sz w:val="24"/>
          <w:szCs w:val="24"/>
        </w:rPr>
        <w:t>, &amp; 4</w:t>
      </w:r>
      <w:r w:rsidRPr="001B6513">
        <w:rPr>
          <w:rFonts w:ascii="Tahoma" w:hAnsi="Tahoma" w:cs="Tahoma"/>
          <w:b/>
          <w:sz w:val="24"/>
          <w:szCs w:val="24"/>
          <w:vertAlign w:val="superscript"/>
        </w:rPr>
        <w:t>th</w:t>
      </w:r>
      <w:r>
        <w:rPr>
          <w:rFonts w:ascii="Tahoma" w:hAnsi="Tahoma" w:cs="Tahoma"/>
          <w:b/>
          <w:sz w:val="24"/>
          <w:szCs w:val="24"/>
        </w:rPr>
        <w:t xml:space="preserve"> Respondents</w:t>
      </w:r>
      <w:r w:rsidRPr="009802E9">
        <w:rPr>
          <w:rFonts w:ascii="Tahoma" w:hAnsi="Tahoma" w:cs="Tahoma"/>
          <w:b/>
          <w:sz w:val="24"/>
          <w:szCs w:val="24"/>
        </w:rPr>
        <w:t>:</w:t>
      </w:r>
      <w:r w:rsidRPr="009802E9">
        <w:rPr>
          <w:rFonts w:ascii="Tahoma" w:hAnsi="Tahoma" w:cs="Tahoma"/>
          <w:b/>
          <w:sz w:val="24"/>
          <w:szCs w:val="24"/>
        </w:rPr>
        <w:tab/>
        <w:t xml:space="preserve">Mr. </w:t>
      </w:r>
      <w:r>
        <w:rPr>
          <w:rFonts w:ascii="Tahoma" w:hAnsi="Tahoma" w:cs="Tahoma"/>
          <w:b/>
          <w:sz w:val="24"/>
          <w:szCs w:val="24"/>
        </w:rPr>
        <w:t>M.Tshuma</w:t>
      </w:r>
      <w:r>
        <w:rPr>
          <w:rFonts w:ascii="Tahoma" w:hAnsi="Tahoma" w:cs="Tahoma"/>
          <w:b/>
          <w:sz w:val="24"/>
          <w:szCs w:val="24"/>
        </w:rPr>
        <w:t xml:space="preserve"> (Legal Practitioner)</w:t>
      </w:r>
    </w:p>
    <w:p w:rsidR="00176651" w:rsidRPr="009802E9" w:rsidRDefault="00176651" w:rsidP="001B6513">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1B6513" w:rsidRPr="009802E9" w:rsidRDefault="001B6513"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57453B" w:rsidRDefault="00AE3B1E" w:rsidP="00867419">
      <w:pPr>
        <w:spacing w:after="0" w:line="360" w:lineRule="auto"/>
        <w:jc w:val="both"/>
        <w:rPr>
          <w:rFonts w:ascii="Tahoma" w:hAnsi="Tahoma" w:cs="Tahoma"/>
          <w:sz w:val="24"/>
          <w:szCs w:val="24"/>
        </w:rPr>
      </w:pPr>
      <w:r>
        <w:rPr>
          <w:rFonts w:ascii="Tahoma" w:hAnsi="Tahoma" w:cs="Tahoma"/>
          <w:sz w:val="24"/>
          <w:szCs w:val="24"/>
        </w:rPr>
        <w:tab/>
      </w:r>
      <w:r w:rsidR="007C20CD">
        <w:rPr>
          <w:rFonts w:ascii="Tahoma" w:hAnsi="Tahoma" w:cs="Tahoma"/>
          <w:sz w:val="24"/>
          <w:szCs w:val="24"/>
        </w:rPr>
        <w:t>This is an application for condonation of late filing of a notice of response by David Whitehead Textiles Limited (Applicant) in respect of an application between 1</w:t>
      </w:r>
      <w:r w:rsidR="007C20CD" w:rsidRPr="007C20CD">
        <w:rPr>
          <w:rFonts w:ascii="Tahoma" w:hAnsi="Tahoma" w:cs="Tahoma"/>
          <w:sz w:val="24"/>
          <w:szCs w:val="24"/>
          <w:vertAlign w:val="superscript"/>
        </w:rPr>
        <w:t>st</w:t>
      </w:r>
      <w:r w:rsidR="007C20CD">
        <w:rPr>
          <w:rFonts w:ascii="Tahoma" w:hAnsi="Tahoma" w:cs="Tahoma"/>
          <w:sz w:val="24"/>
          <w:szCs w:val="24"/>
        </w:rPr>
        <w:t xml:space="preserve"> Respondent, applicant and 2</w:t>
      </w:r>
      <w:r w:rsidR="007C20CD" w:rsidRPr="007C20CD">
        <w:rPr>
          <w:rFonts w:ascii="Tahoma" w:hAnsi="Tahoma" w:cs="Tahoma"/>
          <w:sz w:val="24"/>
          <w:szCs w:val="24"/>
          <w:vertAlign w:val="superscript"/>
        </w:rPr>
        <w:t>nd</w:t>
      </w:r>
      <w:r w:rsidR="007C20CD">
        <w:rPr>
          <w:rFonts w:ascii="Tahoma" w:hAnsi="Tahoma" w:cs="Tahoma"/>
          <w:sz w:val="24"/>
          <w:szCs w:val="24"/>
        </w:rPr>
        <w:t>, 3</w:t>
      </w:r>
      <w:r w:rsidR="007C20CD" w:rsidRPr="007C20CD">
        <w:rPr>
          <w:rFonts w:ascii="Tahoma" w:hAnsi="Tahoma" w:cs="Tahoma"/>
          <w:sz w:val="24"/>
          <w:szCs w:val="24"/>
          <w:vertAlign w:val="superscript"/>
        </w:rPr>
        <w:t>rd</w:t>
      </w:r>
      <w:r w:rsidR="007C20CD">
        <w:rPr>
          <w:rFonts w:ascii="Tahoma" w:hAnsi="Tahoma" w:cs="Tahoma"/>
          <w:sz w:val="24"/>
          <w:szCs w:val="24"/>
        </w:rPr>
        <w:t>, 4</w:t>
      </w:r>
      <w:r w:rsidR="007C20CD" w:rsidRPr="007C20CD">
        <w:rPr>
          <w:rFonts w:ascii="Tahoma" w:hAnsi="Tahoma" w:cs="Tahoma"/>
          <w:sz w:val="24"/>
          <w:szCs w:val="24"/>
          <w:vertAlign w:val="superscript"/>
        </w:rPr>
        <w:t>th</w:t>
      </w:r>
      <w:r w:rsidR="007C20CD">
        <w:rPr>
          <w:rFonts w:ascii="Tahoma" w:hAnsi="Tahoma" w:cs="Tahoma"/>
          <w:sz w:val="24"/>
          <w:szCs w:val="24"/>
        </w:rPr>
        <w:t xml:space="preserve"> respondents case LC/H/LRA/33/19. </w:t>
      </w:r>
    </w:p>
    <w:p w:rsidR="007C20CD" w:rsidRDefault="007C20CD" w:rsidP="00867419">
      <w:pPr>
        <w:spacing w:after="0" w:line="360" w:lineRule="auto"/>
        <w:jc w:val="both"/>
        <w:rPr>
          <w:rFonts w:ascii="Tahoma" w:hAnsi="Tahoma" w:cs="Tahoma"/>
          <w:sz w:val="24"/>
          <w:szCs w:val="24"/>
        </w:rPr>
      </w:pPr>
    </w:p>
    <w:p w:rsidR="007C20CD" w:rsidRDefault="007C20CD" w:rsidP="00867419">
      <w:pPr>
        <w:spacing w:after="0" w:line="360" w:lineRule="auto"/>
        <w:jc w:val="both"/>
        <w:rPr>
          <w:rFonts w:ascii="Tahoma" w:hAnsi="Tahoma" w:cs="Tahoma"/>
          <w:sz w:val="24"/>
          <w:szCs w:val="24"/>
        </w:rPr>
      </w:pPr>
      <w:r>
        <w:rPr>
          <w:rFonts w:ascii="Tahoma" w:hAnsi="Tahoma" w:cs="Tahoma"/>
          <w:sz w:val="24"/>
          <w:szCs w:val="24"/>
        </w:rPr>
        <w:tab/>
        <w:t>Rule 15 sub rule (6) of this Court’s Rules</w:t>
      </w:r>
      <w:r w:rsidR="00805E2D">
        <w:rPr>
          <w:rFonts w:ascii="Tahoma" w:hAnsi="Tahoma" w:cs="Tahoma"/>
          <w:sz w:val="24"/>
          <w:szCs w:val="24"/>
        </w:rPr>
        <w:t>,</w:t>
      </w:r>
      <w:r>
        <w:rPr>
          <w:rFonts w:ascii="Tahoma" w:hAnsi="Tahoma" w:cs="Tahoma"/>
          <w:sz w:val="24"/>
          <w:szCs w:val="24"/>
        </w:rPr>
        <w:t xml:space="preserve"> Statutory Inst</w:t>
      </w:r>
      <w:r w:rsidR="00805E2D">
        <w:rPr>
          <w:rFonts w:ascii="Tahoma" w:hAnsi="Tahoma" w:cs="Tahoma"/>
          <w:sz w:val="24"/>
          <w:szCs w:val="24"/>
        </w:rPr>
        <w:t>rument 150 of</w:t>
      </w:r>
      <w:r>
        <w:rPr>
          <w:rFonts w:ascii="Tahoma" w:hAnsi="Tahoma" w:cs="Tahoma"/>
          <w:sz w:val="24"/>
          <w:szCs w:val="24"/>
        </w:rPr>
        <w:t xml:space="preserve"> 2017 obliges a respondent to file</w:t>
      </w:r>
      <w:r w:rsidR="00805E2D">
        <w:rPr>
          <w:rFonts w:ascii="Tahoma" w:hAnsi="Tahoma" w:cs="Tahoma"/>
          <w:sz w:val="24"/>
          <w:szCs w:val="24"/>
        </w:rPr>
        <w:t xml:space="preserve"> a</w:t>
      </w:r>
      <w:r>
        <w:rPr>
          <w:rFonts w:ascii="Tahoma" w:hAnsi="Tahoma" w:cs="Tahoma"/>
          <w:sz w:val="24"/>
          <w:szCs w:val="24"/>
        </w:rPr>
        <w:t xml:space="preserve"> response to an application within 10 (ten) days of receiving the application.</w:t>
      </w:r>
    </w:p>
    <w:p w:rsidR="00140F14" w:rsidRDefault="00140F14" w:rsidP="00867419">
      <w:pPr>
        <w:spacing w:after="0" w:line="360" w:lineRule="auto"/>
        <w:jc w:val="both"/>
        <w:rPr>
          <w:rFonts w:ascii="Tahoma" w:hAnsi="Tahoma" w:cs="Tahoma"/>
          <w:sz w:val="24"/>
          <w:szCs w:val="24"/>
        </w:rPr>
      </w:pPr>
    </w:p>
    <w:p w:rsidR="00246DEC" w:rsidRDefault="00246DEC" w:rsidP="00867419">
      <w:pPr>
        <w:spacing w:after="0" w:line="360" w:lineRule="auto"/>
        <w:jc w:val="both"/>
        <w:rPr>
          <w:rFonts w:ascii="Tahoma" w:hAnsi="Tahoma" w:cs="Tahoma"/>
          <w:sz w:val="24"/>
          <w:szCs w:val="24"/>
        </w:rPr>
      </w:pPr>
      <w:r>
        <w:rPr>
          <w:rFonts w:ascii="Tahoma" w:hAnsi="Tahoma" w:cs="Tahoma"/>
          <w:sz w:val="24"/>
          <w:szCs w:val="24"/>
        </w:rPr>
        <w:tab/>
        <w:t>In casu, the applicant failed to comply with this sub-rule hence this application.  1</w:t>
      </w:r>
      <w:r w:rsidRPr="00246DEC">
        <w:rPr>
          <w:rFonts w:ascii="Tahoma" w:hAnsi="Tahoma" w:cs="Tahoma"/>
          <w:sz w:val="24"/>
          <w:szCs w:val="24"/>
          <w:vertAlign w:val="superscript"/>
        </w:rPr>
        <w:t>st</w:t>
      </w:r>
      <w:r>
        <w:rPr>
          <w:rFonts w:ascii="Tahoma" w:hAnsi="Tahoma" w:cs="Tahoma"/>
          <w:sz w:val="24"/>
          <w:szCs w:val="24"/>
        </w:rPr>
        <w:t xml:space="preserve"> respondent is not opposed to the granting of the application whereas the 2</w:t>
      </w:r>
      <w:r w:rsidRPr="00246DEC">
        <w:rPr>
          <w:rFonts w:ascii="Tahoma" w:hAnsi="Tahoma" w:cs="Tahoma"/>
          <w:sz w:val="24"/>
          <w:szCs w:val="24"/>
          <w:vertAlign w:val="superscript"/>
        </w:rPr>
        <w:t>nd</w:t>
      </w:r>
      <w:r>
        <w:rPr>
          <w:rFonts w:ascii="Tahoma" w:hAnsi="Tahoma" w:cs="Tahoma"/>
          <w:sz w:val="24"/>
          <w:szCs w:val="24"/>
        </w:rPr>
        <w:t>, 3</w:t>
      </w:r>
      <w:r w:rsidRPr="00246DEC">
        <w:rPr>
          <w:rFonts w:ascii="Tahoma" w:hAnsi="Tahoma" w:cs="Tahoma"/>
          <w:sz w:val="24"/>
          <w:szCs w:val="24"/>
          <w:vertAlign w:val="superscript"/>
        </w:rPr>
        <w:t>rd</w:t>
      </w:r>
      <w:r>
        <w:rPr>
          <w:rFonts w:ascii="Tahoma" w:hAnsi="Tahoma" w:cs="Tahoma"/>
          <w:sz w:val="24"/>
          <w:szCs w:val="24"/>
        </w:rPr>
        <w:t>.4</w:t>
      </w:r>
      <w:r w:rsidRPr="00246DEC">
        <w:rPr>
          <w:rFonts w:ascii="Tahoma" w:hAnsi="Tahoma" w:cs="Tahoma"/>
          <w:sz w:val="24"/>
          <w:szCs w:val="24"/>
          <w:vertAlign w:val="superscript"/>
        </w:rPr>
        <w:t>th</w:t>
      </w:r>
      <w:r>
        <w:rPr>
          <w:rFonts w:ascii="Tahoma" w:hAnsi="Tahoma" w:cs="Tahoma"/>
          <w:sz w:val="24"/>
          <w:szCs w:val="24"/>
        </w:rPr>
        <w:t xml:space="preserve"> respondents are.</w:t>
      </w:r>
    </w:p>
    <w:p w:rsidR="002D70EE" w:rsidRDefault="00246DEC" w:rsidP="00867419">
      <w:pPr>
        <w:spacing w:after="0" w:line="360" w:lineRule="auto"/>
        <w:jc w:val="both"/>
        <w:rPr>
          <w:rFonts w:ascii="Tahoma" w:hAnsi="Tahoma" w:cs="Tahoma"/>
          <w:sz w:val="24"/>
          <w:szCs w:val="24"/>
        </w:rPr>
      </w:pPr>
      <w:r>
        <w:rPr>
          <w:rFonts w:ascii="Tahoma" w:hAnsi="Tahoma" w:cs="Tahoma"/>
          <w:sz w:val="24"/>
          <w:szCs w:val="24"/>
        </w:rPr>
        <w:lastRenderedPageBreak/>
        <w:tab/>
        <w:t xml:space="preserve">The major requirements which applicant has to address to the satisfaction of </w:t>
      </w:r>
      <w:r w:rsidR="002D70EE">
        <w:rPr>
          <w:rFonts w:ascii="Tahoma" w:hAnsi="Tahoma" w:cs="Tahoma"/>
          <w:sz w:val="24"/>
          <w:szCs w:val="24"/>
        </w:rPr>
        <w:t>the Court f</w:t>
      </w:r>
      <w:r>
        <w:rPr>
          <w:rFonts w:ascii="Tahoma" w:hAnsi="Tahoma" w:cs="Tahoma"/>
          <w:sz w:val="24"/>
          <w:szCs w:val="24"/>
        </w:rPr>
        <w:t>or it to be granted the indulgence it is seeking are; the length of the delay, the explanation for the delay, the prospects of success in the main matter, prejudice to the other party and inter</w:t>
      </w:r>
      <w:r w:rsidR="002D70EE">
        <w:rPr>
          <w:rFonts w:ascii="Tahoma" w:hAnsi="Tahoma" w:cs="Tahoma"/>
          <w:sz w:val="24"/>
          <w:szCs w:val="24"/>
        </w:rPr>
        <w:t>est in the finality of the case-</w:t>
      </w:r>
    </w:p>
    <w:p w:rsidR="002D70EE" w:rsidRDefault="002D70EE" w:rsidP="00867419">
      <w:pPr>
        <w:spacing w:after="0" w:line="240" w:lineRule="auto"/>
        <w:jc w:val="both"/>
        <w:rPr>
          <w:rFonts w:ascii="Tahoma" w:hAnsi="Tahoma" w:cs="Tahoma"/>
          <w:sz w:val="24"/>
          <w:szCs w:val="24"/>
        </w:rPr>
      </w:pPr>
    </w:p>
    <w:p w:rsidR="002D70EE" w:rsidRDefault="002D70EE" w:rsidP="00867419">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PAUL GARY FRIENDSHIP</w:t>
      </w:r>
    </w:p>
    <w:p w:rsidR="002D70EE" w:rsidRDefault="002D70EE" w:rsidP="00867419">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t>VS</w:t>
      </w:r>
    </w:p>
    <w:p w:rsidR="00246DEC" w:rsidRDefault="002D70EE" w:rsidP="00867419">
      <w:pPr>
        <w:spacing w:after="0" w:line="360" w:lineRule="auto"/>
        <w:jc w:val="both"/>
        <w:rPr>
          <w:rFonts w:ascii="Tahoma" w:hAnsi="Tahoma" w:cs="Tahoma"/>
          <w:i/>
          <w:sz w:val="24"/>
          <w:szCs w:val="24"/>
        </w:rPr>
      </w:pPr>
      <w:r>
        <w:rPr>
          <w:rFonts w:ascii="Tahoma" w:hAnsi="Tahoma" w:cs="Tahoma"/>
          <w:b/>
          <w:i/>
          <w:sz w:val="24"/>
          <w:szCs w:val="24"/>
        </w:rPr>
        <w:tab/>
        <w:t>CARGO CARRIERS LIMITED AND ANOTHER   SC 1/13</w:t>
      </w:r>
      <w:r w:rsidR="00246DEC" w:rsidRPr="002D70EE">
        <w:rPr>
          <w:rFonts w:ascii="Tahoma" w:hAnsi="Tahoma" w:cs="Tahoma"/>
          <w:i/>
          <w:sz w:val="24"/>
          <w:szCs w:val="24"/>
        </w:rPr>
        <w:t xml:space="preserve"> </w:t>
      </w:r>
    </w:p>
    <w:p w:rsidR="002D70EE" w:rsidRDefault="002D70EE" w:rsidP="00867419">
      <w:pPr>
        <w:spacing w:after="0" w:line="360" w:lineRule="auto"/>
        <w:jc w:val="both"/>
        <w:rPr>
          <w:rFonts w:ascii="Tahoma" w:hAnsi="Tahoma" w:cs="Tahoma"/>
          <w:i/>
          <w:sz w:val="24"/>
          <w:szCs w:val="24"/>
        </w:rPr>
      </w:pPr>
    </w:p>
    <w:p w:rsidR="002D70EE" w:rsidRPr="002D70EE" w:rsidRDefault="002D70EE" w:rsidP="00867419">
      <w:pPr>
        <w:spacing w:after="0" w:line="360" w:lineRule="auto"/>
        <w:jc w:val="both"/>
        <w:rPr>
          <w:rFonts w:ascii="Tahoma" w:hAnsi="Tahoma" w:cs="Tahoma"/>
          <w:b/>
          <w:i/>
          <w:sz w:val="24"/>
          <w:szCs w:val="24"/>
        </w:rPr>
      </w:pPr>
      <w:r>
        <w:rPr>
          <w:rFonts w:ascii="Tahoma" w:hAnsi="Tahoma" w:cs="Tahoma"/>
          <w:i/>
          <w:sz w:val="24"/>
          <w:szCs w:val="24"/>
        </w:rPr>
        <w:tab/>
      </w:r>
      <w:r>
        <w:rPr>
          <w:rFonts w:ascii="Tahoma" w:hAnsi="Tahoma" w:cs="Tahoma"/>
          <w:b/>
          <w:i/>
          <w:sz w:val="24"/>
          <w:szCs w:val="24"/>
        </w:rPr>
        <w:t>FOREST</w:t>
      </w:r>
      <w:r w:rsidRPr="002D70EE">
        <w:rPr>
          <w:rFonts w:ascii="Tahoma" w:hAnsi="Tahoma" w:cs="Tahoma"/>
          <w:b/>
          <w:i/>
          <w:sz w:val="24"/>
          <w:szCs w:val="24"/>
        </w:rPr>
        <w:t xml:space="preserve">RY </w:t>
      </w:r>
      <w:r>
        <w:rPr>
          <w:rFonts w:ascii="Tahoma" w:hAnsi="Tahoma" w:cs="Tahoma"/>
          <w:b/>
          <w:i/>
          <w:sz w:val="24"/>
          <w:szCs w:val="24"/>
        </w:rPr>
        <w:t xml:space="preserve">COMMISSION </w:t>
      </w:r>
      <w:r>
        <w:rPr>
          <w:rFonts w:ascii="Tahoma" w:hAnsi="Tahoma" w:cs="Tahoma"/>
          <w:b/>
          <w:i/>
          <w:sz w:val="24"/>
          <w:szCs w:val="24"/>
        </w:rPr>
        <w:tab/>
      </w:r>
      <w:r>
        <w:rPr>
          <w:rFonts w:ascii="Tahoma" w:hAnsi="Tahoma" w:cs="Tahoma"/>
          <w:b/>
          <w:i/>
          <w:sz w:val="24"/>
          <w:szCs w:val="24"/>
        </w:rPr>
        <w:tab/>
      </w:r>
    </w:p>
    <w:p w:rsidR="00246DEC" w:rsidRPr="002D70EE" w:rsidRDefault="002D70EE" w:rsidP="00867419">
      <w:pPr>
        <w:spacing w:after="0" w:line="360" w:lineRule="auto"/>
        <w:jc w:val="both"/>
        <w:rPr>
          <w:rFonts w:ascii="Tahoma" w:hAnsi="Tahoma" w:cs="Tahoma"/>
          <w:b/>
          <w:i/>
          <w:sz w:val="24"/>
          <w:szCs w:val="24"/>
        </w:rPr>
      </w:pP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sidRPr="002D70EE">
        <w:rPr>
          <w:rFonts w:ascii="Tahoma" w:hAnsi="Tahoma" w:cs="Tahoma"/>
          <w:b/>
          <w:i/>
          <w:sz w:val="24"/>
          <w:szCs w:val="24"/>
        </w:rPr>
        <w:t>VS</w:t>
      </w:r>
    </w:p>
    <w:p w:rsidR="002D70EE" w:rsidRPr="002D70EE" w:rsidRDefault="002D70EE" w:rsidP="00867419">
      <w:pPr>
        <w:spacing w:after="0" w:line="360" w:lineRule="auto"/>
        <w:jc w:val="both"/>
        <w:rPr>
          <w:rFonts w:ascii="Tahoma" w:hAnsi="Tahoma" w:cs="Tahoma"/>
          <w:b/>
          <w:i/>
          <w:sz w:val="24"/>
          <w:szCs w:val="24"/>
        </w:rPr>
      </w:pPr>
      <w:r>
        <w:rPr>
          <w:rFonts w:ascii="Tahoma" w:hAnsi="Tahoma" w:cs="Tahoma"/>
          <w:b/>
          <w:sz w:val="24"/>
          <w:szCs w:val="24"/>
        </w:rPr>
        <w:tab/>
      </w:r>
      <w:r>
        <w:rPr>
          <w:rFonts w:ascii="Tahoma" w:hAnsi="Tahoma" w:cs="Tahoma"/>
          <w:b/>
          <w:i/>
          <w:sz w:val="24"/>
          <w:szCs w:val="24"/>
        </w:rPr>
        <w:t>MOYO 1997 (1) ZLR 254 (S)</w:t>
      </w:r>
    </w:p>
    <w:p w:rsidR="002D70EE" w:rsidRDefault="002D70EE" w:rsidP="00867419">
      <w:pPr>
        <w:spacing w:after="0" w:line="240" w:lineRule="auto"/>
        <w:jc w:val="both"/>
        <w:rPr>
          <w:rFonts w:ascii="Tahoma" w:hAnsi="Tahoma" w:cs="Tahoma"/>
          <w:b/>
          <w:i/>
          <w:sz w:val="24"/>
          <w:szCs w:val="24"/>
        </w:rPr>
      </w:pPr>
    </w:p>
    <w:p w:rsidR="008777BC" w:rsidRDefault="002D70EE" w:rsidP="00867419">
      <w:pPr>
        <w:spacing w:after="0" w:line="360" w:lineRule="auto"/>
        <w:jc w:val="both"/>
        <w:rPr>
          <w:rFonts w:ascii="Tahoma" w:hAnsi="Tahoma" w:cs="Tahoma"/>
          <w:sz w:val="24"/>
          <w:szCs w:val="24"/>
        </w:rPr>
      </w:pPr>
      <w:r>
        <w:rPr>
          <w:rFonts w:ascii="Tahoma" w:hAnsi="Tahoma" w:cs="Tahoma"/>
          <w:b/>
          <w:i/>
          <w:sz w:val="24"/>
          <w:szCs w:val="24"/>
        </w:rPr>
        <w:tab/>
      </w:r>
      <w:r>
        <w:rPr>
          <w:rFonts w:ascii="Tahoma" w:hAnsi="Tahoma" w:cs="Tahoma"/>
          <w:sz w:val="24"/>
          <w:szCs w:val="24"/>
        </w:rPr>
        <w:t>Applicant is based in Kadoma where its business operations were</w:t>
      </w:r>
      <w:r w:rsidR="00805E2D">
        <w:rPr>
          <w:rFonts w:ascii="Tahoma" w:hAnsi="Tahoma" w:cs="Tahoma"/>
          <w:sz w:val="24"/>
          <w:szCs w:val="24"/>
        </w:rPr>
        <w:t xml:space="preserve"> being conducted.  After the 1st</w:t>
      </w:r>
      <w:r>
        <w:rPr>
          <w:rFonts w:ascii="Tahoma" w:hAnsi="Tahoma" w:cs="Tahoma"/>
          <w:sz w:val="24"/>
          <w:szCs w:val="24"/>
        </w:rPr>
        <w:t xml:space="preserve"> respondent has issued a ruling in a matter pitting 2</w:t>
      </w:r>
      <w:r w:rsidRPr="002D70EE">
        <w:rPr>
          <w:rFonts w:ascii="Tahoma" w:hAnsi="Tahoma" w:cs="Tahoma"/>
          <w:sz w:val="24"/>
          <w:szCs w:val="24"/>
          <w:vertAlign w:val="superscript"/>
        </w:rPr>
        <w:t>nd</w:t>
      </w:r>
      <w:r>
        <w:rPr>
          <w:rFonts w:ascii="Tahoma" w:hAnsi="Tahoma" w:cs="Tahoma"/>
          <w:sz w:val="24"/>
          <w:szCs w:val="24"/>
        </w:rPr>
        <w:t xml:space="preserve"> – 4</w:t>
      </w:r>
      <w:r w:rsidRPr="002D70EE">
        <w:rPr>
          <w:rFonts w:ascii="Tahoma" w:hAnsi="Tahoma" w:cs="Tahoma"/>
          <w:sz w:val="24"/>
          <w:szCs w:val="24"/>
          <w:vertAlign w:val="superscript"/>
        </w:rPr>
        <w:t>th</w:t>
      </w:r>
      <w:r>
        <w:rPr>
          <w:rFonts w:ascii="Tahoma" w:hAnsi="Tahoma" w:cs="Tahoma"/>
          <w:sz w:val="24"/>
          <w:szCs w:val="24"/>
        </w:rPr>
        <w:t xml:space="preserve"> respond</w:t>
      </w:r>
      <w:r w:rsidR="00805E2D">
        <w:rPr>
          <w:rFonts w:ascii="Tahoma" w:hAnsi="Tahoma" w:cs="Tahoma"/>
          <w:sz w:val="24"/>
          <w:szCs w:val="24"/>
        </w:rPr>
        <w:t>ent</w:t>
      </w:r>
      <w:r>
        <w:rPr>
          <w:rFonts w:ascii="Tahoma" w:hAnsi="Tahoma" w:cs="Tahoma"/>
          <w:sz w:val="24"/>
          <w:szCs w:val="24"/>
        </w:rPr>
        <w:t>s and applicant, she s</w:t>
      </w:r>
      <w:r w:rsidR="008777BC">
        <w:rPr>
          <w:rFonts w:ascii="Tahoma" w:hAnsi="Tahoma" w:cs="Tahoma"/>
          <w:sz w:val="24"/>
          <w:szCs w:val="24"/>
        </w:rPr>
        <w:t>e</w:t>
      </w:r>
      <w:r>
        <w:rPr>
          <w:rFonts w:ascii="Tahoma" w:hAnsi="Tahoma" w:cs="Tahoma"/>
          <w:sz w:val="24"/>
          <w:szCs w:val="24"/>
        </w:rPr>
        <w:t>rved the appli</w:t>
      </w:r>
      <w:r w:rsidR="008777BC">
        <w:rPr>
          <w:rFonts w:ascii="Tahoma" w:hAnsi="Tahoma" w:cs="Tahoma"/>
          <w:sz w:val="24"/>
          <w:szCs w:val="24"/>
        </w:rPr>
        <w:t>c</w:t>
      </w:r>
      <w:r>
        <w:rPr>
          <w:rFonts w:ascii="Tahoma" w:hAnsi="Tahoma" w:cs="Tahoma"/>
          <w:sz w:val="24"/>
          <w:szCs w:val="24"/>
        </w:rPr>
        <w:t>a</w:t>
      </w:r>
      <w:r w:rsidR="008777BC">
        <w:rPr>
          <w:rFonts w:ascii="Tahoma" w:hAnsi="Tahoma" w:cs="Tahoma"/>
          <w:sz w:val="24"/>
          <w:szCs w:val="24"/>
        </w:rPr>
        <w:t>tion for confirmation of the ruling on the applicant’s Human Resources Department at its Kadoma Offices.  The application was served on the 14</w:t>
      </w:r>
      <w:r w:rsidR="008777BC" w:rsidRPr="008777BC">
        <w:rPr>
          <w:rFonts w:ascii="Tahoma" w:hAnsi="Tahoma" w:cs="Tahoma"/>
          <w:sz w:val="24"/>
          <w:szCs w:val="24"/>
          <w:vertAlign w:val="superscript"/>
        </w:rPr>
        <w:t>th</w:t>
      </w:r>
      <w:r w:rsidR="008777BC">
        <w:rPr>
          <w:rFonts w:ascii="Tahoma" w:hAnsi="Tahoma" w:cs="Tahoma"/>
          <w:sz w:val="24"/>
          <w:szCs w:val="24"/>
        </w:rPr>
        <w:t xml:space="preserve"> February, 2019.</w:t>
      </w:r>
    </w:p>
    <w:p w:rsidR="008777BC" w:rsidRDefault="008777BC" w:rsidP="00867419">
      <w:pPr>
        <w:spacing w:after="0" w:line="360" w:lineRule="auto"/>
        <w:jc w:val="both"/>
        <w:rPr>
          <w:rFonts w:ascii="Tahoma" w:hAnsi="Tahoma" w:cs="Tahoma"/>
          <w:sz w:val="24"/>
          <w:szCs w:val="24"/>
        </w:rPr>
      </w:pPr>
    </w:p>
    <w:p w:rsidR="002D70EE" w:rsidRDefault="008777BC" w:rsidP="00867419">
      <w:pPr>
        <w:spacing w:after="0" w:line="360" w:lineRule="auto"/>
        <w:jc w:val="both"/>
        <w:rPr>
          <w:rFonts w:ascii="Tahoma" w:hAnsi="Tahoma" w:cs="Tahoma"/>
          <w:sz w:val="24"/>
          <w:szCs w:val="24"/>
        </w:rPr>
      </w:pPr>
      <w:r>
        <w:rPr>
          <w:rFonts w:ascii="Tahoma" w:hAnsi="Tahoma" w:cs="Tahoma"/>
          <w:sz w:val="24"/>
          <w:szCs w:val="24"/>
        </w:rPr>
        <w:tab/>
      </w:r>
      <w:r w:rsidR="00693CB2">
        <w:rPr>
          <w:rFonts w:ascii="Tahoma" w:hAnsi="Tahoma" w:cs="Tahoma"/>
          <w:sz w:val="24"/>
          <w:szCs w:val="24"/>
        </w:rPr>
        <w:t>The 2</w:t>
      </w:r>
      <w:r w:rsidR="00693CB2" w:rsidRPr="008777BC">
        <w:rPr>
          <w:rFonts w:ascii="Tahoma" w:hAnsi="Tahoma" w:cs="Tahoma"/>
          <w:sz w:val="24"/>
          <w:szCs w:val="24"/>
          <w:vertAlign w:val="superscript"/>
        </w:rPr>
        <w:t>nd</w:t>
      </w:r>
      <w:r w:rsidR="00693CB2">
        <w:rPr>
          <w:rFonts w:ascii="Tahoma" w:hAnsi="Tahoma" w:cs="Tahoma"/>
          <w:sz w:val="24"/>
          <w:szCs w:val="24"/>
        </w:rPr>
        <w:t xml:space="preserve"> </w:t>
      </w:r>
      <w:r w:rsidR="00805E2D">
        <w:rPr>
          <w:rFonts w:ascii="Tahoma" w:hAnsi="Tahoma" w:cs="Tahoma"/>
          <w:sz w:val="24"/>
          <w:szCs w:val="24"/>
        </w:rPr>
        <w:t xml:space="preserve">– </w:t>
      </w:r>
      <w:r w:rsidR="00693CB2">
        <w:rPr>
          <w:rFonts w:ascii="Tahoma" w:hAnsi="Tahoma" w:cs="Tahoma"/>
          <w:sz w:val="24"/>
          <w:szCs w:val="24"/>
        </w:rPr>
        <w:t>4</w:t>
      </w:r>
      <w:r w:rsidR="00693CB2" w:rsidRPr="008777BC">
        <w:rPr>
          <w:rFonts w:ascii="Tahoma" w:hAnsi="Tahoma" w:cs="Tahoma"/>
          <w:sz w:val="24"/>
          <w:szCs w:val="24"/>
          <w:vertAlign w:val="superscript"/>
        </w:rPr>
        <w:t>th</w:t>
      </w:r>
      <w:r w:rsidR="00693CB2">
        <w:rPr>
          <w:rFonts w:ascii="Tahoma" w:hAnsi="Tahoma" w:cs="Tahoma"/>
          <w:sz w:val="24"/>
          <w:szCs w:val="24"/>
        </w:rPr>
        <w:t xml:space="preserve"> </w:t>
      </w:r>
      <w:proofErr w:type="gramStart"/>
      <w:r w:rsidR="00693CB2">
        <w:rPr>
          <w:rFonts w:ascii="Tahoma" w:hAnsi="Tahoma" w:cs="Tahoma"/>
          <w:sz w:val="24"/>
          <w:szCs w:val="24"/>
        </w:rPr>
        <w:t>respondents‘ submission</w:t>
      </w:r>
      <w:proofErr w:type="gramEnd"/>
      <w:r w:rsidR="00693CB2">
        <w:rPr>
          <w:rFonts w:ascii="Tahoma" w:hAnsi="Tahoma" w:cs="Tahoma"/>
          <w:sz w:val="24"/>
          <w:szCs w:val="24"/>
        </w:rPr>
        <w:t xml:space="preserve"> that in all previous dealings with the judicial manager and applicant, service of process and correspondence was effected at the Kadoma office was not denied by applicant.</w:t>
      </w:r>
    </w:p>
    <w:p w:rsidR="00D04C45" w:rsidRDefault="00D04C45" w:rsidP="00867419">
      <w:pPr>
        <w:spacing w:after="0" w:line="240" w:lineRule="auto"/>
        <w:jc w:val="both"/>
        <w:rPr>
          <w:rFonts w:ascii="Tahoma" w:hAnsi="Tahoma" w:cs="Tahoma"/>
          <w:sz w:val="24"/>
          <w:szCs w:val="24"/>
        </w:rPr>
      </w:pPr>
    </w:p>
    <w:p w:rsidR="00D04C45" w:rsidRDefault="00D04C45" w:rsidP="00867419">
      <w:pPr>
        <w:spacing w:after="0" w:line="360" w:lineRule="auto"/>
        <w:jc w:val="both"/>
        <w:rPr>
          <w:rFonts w:ascii="Tahoma" w:hAnsi="Tahoma" w:cs="Tahoma"/>
          <w:sz w:val="24"/>
          <w:szCs w:val="24"/>
          <w:u w:val="single"/>
        </w:rPr>
      </w:pPr>
      <w:r>
        <w:rPr>
          <w:rFonts w:ascii="Tahoma" w:hAnsi="Tahoma" w:cs="Tahoma"/>
          <w:sz w:val="24"/>
          <w:szCs w:val="24"/>
          <w:u w:val="single"/>
        </w:rPr>
        <w:t>THE DELAY</w:t>
      </w:r>
    </w:p>
    <w:p w:rsidR="00D04C45" w:rsidRDefault="00D04C45" w:rsidP="00867419">
      <w:pPr>
        <w:spacing w:after="0" w:line="240" w:lineRule="auto"/>
        <w:jc w:val="both"/>
        <w:rPr>
          <w:rFonts w:ascii="Tahoma" w:hAnsi="Tahoma" w:cs="Tahoma"/>
          <w:sz w:val="24"/>
          <w:szCs w:val="24"/>
          <w:u w:val="single"/>
        </w:rPr>
      </w:pPr>
    </w:p>
    <w:p w:rsidR="002D70EE" w:rsidRDefault="00D04C45" w:rsidP="00867419">
      <w:pPr>
        <w:spacing w:after="0" w:line="360" w:lineRule="auto"/>
        <w:jc w:val="both"/>
        <w:rPr>
          <w:rFonts w:ascii="Tahoma" w:hAnsi="Tahoma" w:cs="Tahoma"/>
          <w:sz w:val="24"/>
          <w:szCs w:val="24"/>
        </w:rPr>
      </w:pPr>
      <w:r>
        <w:rPr>
          <w:rFonts w:ascii="Tahoma" w:hAnsi="Tahoma" w:cs="Tahoma"/>
          <w:sz w:val="24"/>
          <w:szCs w:val="24"/>
        </w:rPr>
        <w:t>Having received the application on the 14</w:t>
      </w:r>
      <w:r w:rsidRPr="00D04C45">
        <w:rPr>
          <w:rFonts w:ascii="Tahoma" w:hAnsi="Tahoma" w:cs="Tahoma"/>
          <w:sz w:val="24"/>
          <w:szCs w:val="24"/>
          <w:vertAlign w:val="superscript"/>
        </w:rPr>
        <w:t>th</w:t>
      </w:r>
      <w:r>
        <w:rPr>
          <w:rFonts w:ascii="Tahoma" w:hAnsi="Tahoma" w:cs="Tahoma"/>
          <w:sz w:val="24"/>
          <w:szCs w:val="24"/>
        </w:rPr>
        <w:t xml:space="preserve"> February, 2019,applicant had 10 (ten) days within which to </w:t>
      </w:r>
      <w:r w:rsidR="00805E2D">
        <w:rPr>
          <w:rFonts w:ascii="Tahoma" w:hAnsi="Tahoma" w:cs="Tahoma"/>
          <w:sz w:val="24"/>
          <w:szCs w:val="24"/>
        </w:rPr>
        <w:t>file its response.  However, it</w:t>
      </w:r>
      <w:r>
        <w:rPr>
          <w:rFonts w:ascii="Tahoma" w:hAnsi="Tahoma" w:cs="Tahoma"/>
          <w:sz w:val="24"/>
          <w:szCs w:val="24"/>
        </w:rPr>
        <w:t xml:space="preserve"> only filed its response on the 11</w:t>
      </w:r>
      <w:r w:rsidRPr="00D04C45">
        <w:rPr>
          <w:rFonts w:ascii="Tahoma" w:hAnsi="Tahoma" w:cs="Tahoma"/>
          <w:sz w:val="24"/>
          <w:szCs w:val="24"/>
          <w:vertAlign w:val="superscript"/>
        </w:rPr>
        <w:t>th</w:t>
      </w:r>
      <w:r>
        <w:rPr>
          <w:rFonts w:ascii="Tahoma" w:hAnsi="Tahoma" w:cs="Tahoma"/>
          <w:sz w:val="24"/>
          <w:szCs w:val="24"/>
        </w:rPr>
        <w:t xml:space="preserve"> March, 2019.  The length of the delay is therefore seven (7) days and not 5 days as stated by applicant.  Be that as it may, seven days delay is not an inordinate delay in my view.</w:t>
      </w:r>
    </w:p>
    <w:p w:rsidR="00D04C45" w:rsidRDefault="00D04C45" w:rsidP="00867419">
      <w:pPr>
        <w:spacing w:after="0" w:line="240" w:lineRule="auto"/>
        <w:jc w:val="both"/>
        <w:rPr>
          <w:rFonts w:ascii="Tahoma" w:hAnsi="Tahoma" w:cs="Tahoma"/>
          <w:sz w:val="24"/>
          <w:szCs w:val="24"/>
        </w:rPr>
      </w:pPr>
    </w:p>
    <w:p w:rsidR="00D04C45" w:rsidRDefault="00D04C45" w:rsidP="00867419">
      <w:pPr>
        <w:spacing w:after="0" w:line="480" w:lineRule="auto"/>
        <w:jc w:val="both"/>
        <w:rPr>
          <w:rFonts w:ascii="Tahoma" w:hAnsi="Tahoma" w:cs="Tahoma"/>
          <w:sz w:val="24"/>
          <w:szCs w:val="24"/>
          <w:u w:val="single"/>
        </w:rPr>
      </w:pPr>
      <w:r>
        <w:rPr>
          <w:rFonts w:ascii="Tahoma" w:hAnsi="Tahoma" w:cs="Tahoma"/>
          <w:sz w:val="24"/>
          <w:szCs w:val="24"/>
          <w:u w:val="single"/>
        </w:rPr>
        <w:t>THE EXPLANATION</w:t>
      </w:r>
    </w:p>
    <w:p w:rsidR="00D04C45" w:rsidRDefault="00D04C45" w:rsidP="00867419">
      <w:pPr>
        <w:spacing w:after="0" w:line="360" w:lineRule="auto"/>
        <w:jc w:val="both"/>
        <w:rPr>
          <w:rFonts w:ascii="Tahoma" w:hAnsi="Tahoma" w:cs="Tahoma"/>
          <w:sz w:val="24"/>
          <w:szCs w:val="24"/>
        </w:rPr>
      </w:pPr>
      <w:r>
        <w:rPr>
          <w:rFonts w:ascii="Tahoma" w:hAnsi="Tahoma" w:cs="Tahoma"/>
          <w:sz w:val="24"/>
          <w:szCs w:val="24"/>
        </w:rPr>
        <w:t xml:space="preserve">It is common cause that applicant is under final </w:t>
      </w:r>
      <w:r w:rsidR="00572E71">
        <w:rPr>
          <w:rFonts w:ascii="Tahoma" w:hAnsi="Tahoma" w:cs="Tahoma"/>
          <w:sz w:val="24"/>
          <w:szCs w:val="24"/>
        </w:rPr>
        <w:t>judicial management and the final judicial manager being KNOWLEDGE HOFISI (Mr. Hofosi).</w:t>
      </w:r>
    </w:p>
    <w:p w:rsidR="008E71C1" w:rsidRDefault="00572E71" w:rsidP="00867419">
      <w:pPr>
        <w:spacing w:after="0" w:line="360" w:lineRule="auto"/>
        <w:jc w:val="both"/>
        <w:rPr>
          <w:rFonts w:ascii="Tahoma" w:hAnsi="Tahoma" w:cs="Tahoma"/>
          <w:sz w:val="24"/>
          <w:szCs w:val="24"/>
        </w:rPr>
      </w:pPr>
      <w:r>
        <w:rPr>
          <w:rFonts w:ascii="Tahoma" w:hAnsi="Tahoma" w:cs="Tahoma"/>
          <w:sz w:val="24"/>
          <w:szCs w:val="24"/>
        </w:rPr>
        <w:t>In support of this application, Mr. Hofisi deposed to a founding affidavit in which he explained the delay as being a result of the failure by 1</w:t>
      </w:r>
      <w:r w:rsidRPr="00572E71">
        <w:rPr>
          <w:rFonts w:ascii="Tahoma" w:hAnsi="Tahoma" w:cs="Tahoma"/>
          <w:sz w:val="24"/>
          <w:szCs w:val="24"/>
          <w:vertAlign w:val="superscript"/>
        </w:rPr>
        <w:t>st</w:t>
      </w:r>
      <w:r>
        <w:rPr>
          <w:rFonts w:ascii="Tahoma" w:hAnsi="Tahoma" w:cs="Tahoma"/>
          <w:sz w:val="24"/>
          <w:szCs w:val="24"/>
        </w:rPr>
        <w:t xml:space="preserve"> respondent of cite him (judicial manager) in this litigation, the result of this being that he was not served with the application.</w:t>
      </w:r>
      <w:r w:rsidR="009C593B">
        <w:rPr>
          <w:rFonts w:ascii="Tahoma" w:hAnsi="Tahoma" w:cs="Tahoma"/>
          <w:sz w:val="24"/>
          <w:szCs w:val="24"/>
        </w:rPr>
        <w:t xml:space="preserve">  The application was not brought to his attention timeously by the Human Resou</w:t>
      </w:r>
      <w:r w:rsidR="008E71C1">
        <w:rPr>
          <w:rFonts w:ascii="Tahoma" w:hAnsi="Tahoma" w:cs="Tahoma"/>
          <w:sz w:val="24"/>
          <w:szCs w:val="24"/>
        </w:rPr>
        <w:t>r</w:t>
      </w:r>
      <w:r w:rsidR="009C593B">
        <w:rPr>
          <w:rFonts w:ascii="Tahoma" w:hAnsi="Tahoma" w:cs="Tahoma"/>
          <w:sz w:val="24"/>
          <w:szCs w:val="24"/>
        </w:rPr>
        <w:t>ces</w:t>
      </w:r>
      <w:r w:rsidR="008E71C1">
        <w:rPr>
          <w:rFonts w:ascii="Tahoma" w:hAnsi="Tahoma" w:cs="Tahoma"/>
          <w:sz w:val="24"/>
          <w:szCs w:val="24"/>
        </w:rPr>
        <w:t xml:space="preserve"> </w:t>
      </w:r>
      <w:r w:rsidR="009C593B">
        <w:rPr>
          <w:rFonts w:ascii="Tahoma" w:hAnsi="Tahoma" w:cs="Tahoma"/>
          <w:sz w:val="24"/>
          <w:szCs w:val="24"/>
        </w:rPr>
        <w:t xml:space="preserve">Department that had received it in </w:t>
      </w:r>
      <w:proofErr w:type="spellStart"/>
      <w:r w:rsidR="009C593B">
        <w:rPr>
          <w:rFonts w:ascii="Tahoma" w:hAnsi="Tahoma" w:cs="Tahoma"/>
          <w:sz w:val="24"/>
          <w:szCs w:val="24"/>
        </w:rPr>
        <w:t>Kadoma</w:t>
      </w:r>
      <w:proofErr w:type="spellEnd"/>
      <w:r w:rsidR="00805E2D">
        <w:rPr>
          <w:rFonts w:ascii="Tahoma" w:hAnsi="Tahoma" w:cs="Tahoma"/>
          <w:sz w:val="24"/>
          <w:szCs w:val="24"/>
        </w:rPr>
        <w:t>.</w:t>
      </w:r>
      <w:r>
        <w:rPr>
          <w:rFonts w:ascii="Tahoma" w:hAnsi="Tahoma" w:cs="Tahoma"/>
          <w:sz w:val="24"/>
          <w:szCs w:val="24"/>
        </w:rPr>
        <w:t xml:space="preserve"> </w:t>
      </w:r>
    </w:p>
    <w:p w:rsidR="008E71C1" w:rsidRDefault="008E71C1" w:rsidP="00867419">
      <w:pPr>
        <w:spacing w:after="0" w:line="360" w:lineRule="auto"/>
        <w:jc w:val="both"/>
        <w:rPr>
          <w:rFonts w:ascii="Tahoma" w:hAnsi="Tahoma" w:cs="Tahoma"/>
          <w:sz w:val="24"/>
          <w:szCs w:val="24"/>
        </w:rPr>
      </w:pPr>
    </w:p>
    <w:p w:rsidR="008E71C1" w:rsidRDefault="008E71C1" w:rsidP="00867419">
      <w:pPr>
        <w:spacing w:after="0" w:line="360" w:lineRule="auto"/>
        <w:jc w:val="both"/>
        <w:rPr>
          <w:rFonts w:ascii="Tahoma" w:hAnsi="Tahoma" w:cs="Tahoma"/>
          <w:sz w:val="24"/>
          <w:szCs w:val="24"/>
        </w:rPr>
      </w:pPr>
      <w:r>
        <w:rPr>
          <w:rFonts w:ascii="Tahoma" w:hAnsi="Tahoma" w:cs="Tahoma"/>
          <w:sz w:val="24"/>
          <w:szCs w:val="24"/>
        </w:rPr>
        <w:tab/>
        <w:t>I find the explanation to be reasonable in the circumstances.  It is not disputed that where a company is under judicial management, the judicial manager must be cited as such and any litigation against that company is to be served on him/her.</w:t>
      </w:r>
    </w:p>
    <w:p w:rsidR="00572E71" w:rsidRDefault="00572E71" w:rsidP="00867419">
      <w:pPr>
        <w:spacing w:after="0" w:line="360" w:lineRule="auto"/>
        <w:jc w:val="both"/>
        <w:rPr>
          <w:rFonts w:ascii="Tahoma" w:hAnsi="Tahoma" w:cs="Tahoma"/>
          <w:sz w:val="24"/>
          <w:szCs w:val="24"/>
        </w:rPr>
      </w:pPr>
    </w:p>
    <w:p w:rsidR="00572E71" w:rsidRDefault="008E71C1" w:rsidP="00867419">
      <w:pPr>
        <w:spacing w:after="0" w:line="360" w:lineRule="auto"/>
        <w:jc w:val="both"/>
        <w:rPr>
          <w:rFonts w:ascii="Tahoma" w:hAnsi="Tahoma" w:cs="Tahoma"/>
          <w:sz w:val="24"/>
          <w:szCs w:val="24"/>
        </w:rPr>
      </w:pPr>
      <w:r>
        <w:rPr>
          <w:rFonts w:ascii="Tahoma" w:hAnsi="Tahoma" w:cs="Tahoma"/>
          <w:sz w:val="24"/>
          <w:szCs w:val="24"/>
        </w:rPr>
        <w:tab/>
        <w:t xml:space="preserve">In this case, the judicial manager was not cited and service of process was not effected at his official address in Harare.  I however do not consider the service of the application at applicant’s address in Kadoma as defective as this was the usual address that the parties used all along </w:t>
      </w:r>
      <w:r w:rsidR="00805E2D">
        <w:rPr>
          <w:rFonts w:ascii="Tahoma" w:hAnsi="Tahoma" w:cs="Tahoma"/>
          <w:sz w:val="24"/>
          <w:szCs w:val="24"/>
        </w:rPr>
        <w:t xml:space="preserve">in </w:t>
      </w:r>
      <w:r>
        <w:rPr>
          <w:rFonts w:ascii="Tahoma" w:hAnsi="Tahoma" w:cs="Tahoma"/>
          <w:sz w:val="24"/>
          <w:szCs w:val="24"/>
        </w:rPr>
        <w:t xml:space="preserve">their previous dealings.  This was not denied by applicant.  I accept as reasonable the explanation that because of this service at Kadoma the application got to the judicial manager late resulting in him filing </w:t>
      </w:r>
      <w:r w:rsidR="00805E2D">
        <w:rPr>
          <w:rFonts w:ascii="Tahoma" w:hAnsi="Tahoma" w:cs="Tahoma"/>
          <w:sz w:val="24"/>
          <w:szCs w:val="24"/>
        </w:rPr>
        <w:t>t</w:t>
      </w:r>
      <w:r>
        <w:rPr>
          <w:rFonts w:ascii="Tahoma" w:hAnsi="Tahoma" w:cs="Tahoma"/>
          <w:sz w:val="24"/>
          <w:szCs w:val="24"/>
        </w:rPr>
        <w:t xml:space="preserve">he response </w:t>
      </w:r>
      <w:r w:rsidR="00805E2D">
        <w:rPr>
          <w:rFonts w:ascii="Tahoma" w:hAnsi="Tahoma" w:cs="Tahoma"/>
          <w:sz w:val="24"/>
          <w:szCs w:val="24"/>
        </w:rPr>
        <w:t>“</w:t>
      </w:r>
      <w:r>
        <w:rPr>
          <w:rFonts w:ascii="Tahoma" w:hAnsi="Tahoma" w:cs="Tahoma"/>
          <w:sz w:val="24"/>
          <w:szCs w:val="24"/>
        </w:rPr>
        <w:t>5</w:t>
      </w:r>
      <w:r w:rsidR="00805E2D">
        <w:rPr>
          <w:rFonts w:ascii="Tahoma" w:hAnsi="Tahoma" w:cs="Tahoma"/>
          <w:sz w:val="24"/>
          <w:szCs w:val="24"/>
        </w:rPr>
        <w:t>”</w:t>
      </w:r>
      <w:r>
        <w:rPr>
          <w:rFonts w:ascii="Tahoma" w:hAnsi="Tahoma" w:cs="Tahoma"/>
          <w:sz w:val="24"/>
          <w:szCs w:val="24"/>
        </w:rPr>
        <w:t xml:space="preserve"> days out of time.</w:t>
      </w:r>
    </w:p>
    <w:p w:rsidR="002D215E" w:rsidRDefault="002D215E" w:rsidP="00867419">
      <w:pPr>
        <w:spacing w:after="0" w:line="360" w:lineRule="auto"/>
        <w:jc w:val="both"/>
        <w:rPr>
          <w:rFonts w:ascii="Tahoma" w:hAnsi="Tahoma" w:cs="Tahoma"/>
          <w:sz w:val="24"/>
          <w:szCs w:val="24"/>
        </w:rPr>
      </w:pPr>
    </w:p>
    <w:p w:rsidR="002D215E" w:rsidRDefault="002D215E" w:rsidP="00867419">
      <w:pPr>
        <w:spacing w:after="0" w:line="360" w:lineRule="auto"/>
        <w:jc w:val="both"/>
        <w:rPr>
          <w:rFonts w:ascii="Tahoma" w:hAnsi="Tahoma" w:cs="Tahoma"/>
          <w:sz w:val="24"/>
          <w:szCs w:val="24"/>
          <w:u w:val="single"/>
        </w:rPr>
      </w:pPr>
      <w:r w:rsidRPr="002D215E">
        <w:rPr>
          <w:rFonts w:ascii="Tahoma" w:hAnsi="Tahoma" w:cs="Tahoma"/>
          <w:sz w:val="24"/>
          <w:szCs w:val="24"/>
          <w:u w:val="single"/>
        </w:rPr>
        <w:t>PROSPECTS OF SUCCESS</w:t>
      </w:r>
    </w:p>
    <w:p w:rsidR="002D215E" w:rsidRDefault="002D215E" w:rsidP="00867419">
      <w:pPr>
        <w:spacing w:after="0" w:line="360" w:lineRule="auto"/>
        <w:jc w:val="both"/>
        <w:rPr>
          <w:rFonts w:ascii="Tahoma" w:hAnsi="Tahoma" w:cs="Tahoma"/>
          <w:sz w:val="24"/>
          <w:szCs w:val="24"/>
          <w:u w:val="single"/>
        </w:rPr>
      </w:pPr>
    </w:p>
    <w:p w:rsidR="002D215E" w:rsidRDefault="002D215E" w:rsidP="00867419">
      <w:pPr>
        <w:spacing w:after="0" w:line="360" w:lineRule="auto"/>
        <w:jc w:val="both"/>
        <w:rPr>
          <w:rFonts w:ascii="Tahoma" w:hAnsi="Tahoma" w:cs="Tahoma"/>
          <w:sz w:val="24"/>
          <w:szCs w:val="24"/>
        </w:rPr>
      </w:pPr>
      <w:r w:rsidRPr="002D215E">
        <w:rPr>
          <w:rFonts w:ascii="Tahoma" w:hAnsi="Tahoma" w:cs="Tahoma"/>
          <w:sz w:val="24"/>
          <w:szCs w:val="24"/>
        </w:rPr>
        <w:t>In respect of its prospects of success in the main application,</w:t>
      </w:r>
      <w:r>
        <w:rPr>
          <w:rFonts w:ascii="Tahoma" w:hAnsi="Tahoma" w:cs="Tahoma"/>
          <w:sz w:val="24"/>
          <w:szCs w:val="24"/>
        </w:rPr>
        <w:t xml:space="preserve"> Mr. Hofisi raises two main issues namely:</w:t>
      </w:r>
    </w:p>
    <w:p w:rsidR="002D215E" w:rsidRDefault="002D215E" w:rsidP="00867419">
      <w:pPr>
        <w:spacing w:after="0" w:line="360" w:lineRule="auto"/>
        <w:jc w:val="both"/>
        <w:rPr>
          <w:rFonts w:ascii="Tahoma" w:hAnsi="Tahoma" w:cs="Tahoma"/>
          <w:sz w:val="24"/>
          <w:szCs w:val="24"/>
        </w:rPr>
      </w:pPr>
    </w:p>
    <w:p w:rsidR="002D215E" w:rsidRDefault="002D215E" w:rsidP="00867419">
      <w:pPr>
        <w:pStyle w:val="ListParagraph"/>
        <w:numPr>
          <w:ilvl w:val="0"/>
          <w:numId w:val="13"/>
        </w:numPr>
        <w:spacing w:after="0" w:line="360" w:lineRule="auto"/>
        <w:ind w:left="720" w:hanging="720"/>
        <w:jc w:val="both"/>
        <w:rPr>
          <w:rFonts w:ascii="Tahoma" w:hAnsi="Tahoma" w:cs="Tahoma"/>
          <w:sz w:val="24"/>
          <w:szCs w:val="24"/>
        </w:rPr>
      </w:pPr>
      <w:r>
        <w:rPr>
          <w:rFonts w:ascii="Tahoma" w:hAnsi="Tahoma" w:cs="Tahoma"/>
          <w:sz w:val="24"/>
          <w:szCs w:val="24"/>
        </w:rPr>
        <w:t>that of Labour Officer’s jurisdiction, and</w:t>
      </w:r>
    </w:p>
    <w:p w:rsidR="002D215E" w:rsidRPr="002D215E" w:rsidRDefault="002D215E" w:rsidP="00867419">
      <w:pPr>
        <w:pStyle w:val="ListParagraph"/>
        <w:numPr>
          <w:ilvl w:val="0"/>
          <w:numId w:val="13"/>
        </w:numPr>
        <w:spacing w:after="0" w:line="360" w:lineRule="auto"/>
        <w:ind w:left="720" w:hanging="720"/>
        <w:jc w:val="both"/>
        <w:rPr>
          <w:rFonts w:ascii="Tahoma" w:hAnsi="Tahoma" w:cs="Tahoma"/>
          <w:sz w:val="24"/>
          <w:szCs w:val="24"/>
        </w:rPr>
      </w:pPr>
      <w:r>
        <w:rPr>
          <w:rFonts w:ascii="Tahoma" w:hAnsi="Tahoma" w:cs="Tahoma"/>
          <w:sz w:val="24"/>
          <w:szCs w:val="24"/>
        </w:rPr>
        <w:t xml:space="preserve">absence of Court’s leave to institute </w:t>
      </w:r>
      <w:r w:rsidRPr="002D215E">
        <w:rPr>
          <w:rFonts w:ascii="Tahoma" w:hAnsi="Tahoma" w:cs="Tahoma"/>
          <w:sz w:val="24"/>
          <w:szCs w:val="24"/>
        </w:rPr>
        <w:t>these proceedings</w:t>
      </w:r>
    </w:p>
    <w:p w:rsidR="00D04C45" w:rsidRDefault="00D04C45" w:rsidP="00867419">
      <w:pPr>
        <w:spacing w:after="0" w:line="360" w:lineRule="auto"/>
        <w:jc w:val="both"/>
        <w:rPr>
          <w:rFonts w:ascii="Tahoma" w:hAnsi="Tahoma" w:cs="Tahoma"/>
          <w:sz w:val="24"/>
          <w:szCs w:val="24"/>
          <w:u w:val="single"/>
        </w:rPr>
      </w:pPr>
    </w:p>
    <w:p w:rsidR="002D215E" w:rsidRDefault="002D215E" w:rsidP="00867419">
      <w:pPr>
        <w:spacing w:after="0" w:line="360" w:lineRule="auto"/>
        <w:ind w:left="720"/>
        <w:jc w:val="both"/>
        <w:rPr>
          <w:rFonts w:ascii="Tahoma" w:hAnsi="Tahoma" w:cs="Tahoma"/>
          <w:sz w:val="24"/>
          <w:szCs w:val="24"/>
        </w:rPr>
      </w:pPr>
      <w:r w:rsidRPr="002D215E">
        <w:rPr>
          <w:rFonts w:ascii="Tahoma" w:hAnsi="Tahoma" w:cs="Tahoma"/>
          <w:sz w:val="24"/>
          <w:szCs w:val="24"/>
        </w:rPr>
        <w:t xml:space="preserve">The jurisdiction issue was abandoned by applicant during the hearing. </w:t>
      </w:r>
    </w:p>
    <w:p w:rsidR="002D215E" w:rsidRDefault="002D215E" w:rsidP="00867419">
      <w:pPr>
        <w:spacing w:after="0" w:line="360" w:lineRule="auto"/>
        <w:ind w:left="720"/>
        <w:jc w:val="both"/>
        <w:rPr>
          <w:rFonts w:ascii="Tahoma" w:hAnsi="Tahoma" w:cs="Tahoma"/>
          <w:sz w:val="24"/>
          <w:szCs w:val="24"/>
        </w:rPr>
      </w:pPr>
    </w:p>
    <w:p w:rsidR="001709DB" w:rsidRDefault="002D215E" w:rsidP="00867419">
      <w:pPr>
        <w:spacing w:after="0" w:line="360" w:lineRule="auto"/>
        <w:ind w:left="720"/>
        <w:jc w:val="both"/>
        <w:rPr>
          <w:rFonts w:ascii="Tahoma" w:hAnsi="Tahoma" w:cs="Tahoma"/>
          <w:sz w:val="24"/>
          <w:szCs w:val="24"/>
        </w:rPr>
      </w:pPr>
      <w:r>
        <w:rPr>
          <w:rFonts w:ascii="Tahoma" w:hAnsi="Tahoma" w:cs="Tahoma"/>
          <w:sz w:val="24"/>
          <w:szCs w:val="24"/>
        </w:rPr>
        <w:t>Filed of record and not in contention is a High Court Order issued on the 19</w:t>
      </w:r>
      <w:r w:rsidRPr="002D215E">
        <w:rPr>
          <w:rFonts w:ascii="Tahoma" w:hAnsi="Tahoma" w:cs="Tahoma"/>
          <w:sz w:val="24"/>
          <w:szCs w:val="24"/>
          <w:vertAlign w:val="superscript"/>
        </w:rPr>
        <w:t>th</w:t>
      </w:r>
      <w:r>
        <w:rPr>
          <w:rFonts w:ascii="Tahoma" w:hAnsi="Tahoma" w:cs="Tahoma"/>
          <w:sz w:val="24"/>
          <w:szCs w:val="24"/>
        </w:rPr>
        <w:t xml:space="preserve"> March, 2014 in which ap</w:t>
      </w:r>
      <w:r w:rsidR="001709DB">
        <w:rPr>
          <w:rFonts w:ascii="Tahoma" w:hAnsi="Tahoma" w:cs="Tahoma"/>
          <w:sz w:val="24"/>
          <w:szCs w:val="24"/>
        </w:rPr>
        <w:t xml:space="preserve">plicant was placed under Final </w:t>
      </w:r>
      <w:r>
        <w:rPr>
          <w:rFonts w:ascii="Tahoma" w:hAnsi="Tahoma" w:cs="Tahoma"/>
          <w:sz w:val="24"/>
          <w:szCs w:val="24"/>
        </w:rPr>
        <w:t xml:space="preserve">Judicial Management </w:t>
      </w:r>
      <w:r w:rsidR="001709DB">
        <w:rPr>
          <w:rFonts w:ascii="Tahoma" w:hAnsi="Tahoma" w:cs="Tahoma"/>
          <w:sz w:val="24"/>
          <w:szCs w:val="24"/>
        </w:rPr>
        <w:t xml:space="preserve">.  Paragraph 5 of the Order states, </w:t>
      </w:r>
    </w:p>
    <w:p w:rsidR="002D215E" w:rsidRPr="001709DB" w:rsidRDefault="001709DB" w:rsidP="00867419">
      <w:pPr>
        <w:spacing w:after="0" w:line="360" w:lineRule="auto"/>
        <w:ind w:left="720" w:firstLine="720"/>
        <w:jc w:val="both"/>
        <w:rPr>
          <w:rFonts w:ascii="Times New Roman" w:hAnsi="Times New Roman" w:cs="Times New Roman"/>
          <w:i/>
          <w:sz w:val="24"/>
          <w:szCs w:val="24"/>
        </w:rPr>
      </w:pPr>
      <w:r w:rsidRPr="001709DB">
        <w:rPr>
          <w:rFonts w:ascii="Times New Roman" w:hAnsi="Times New Roman" w:cs="Times New Roman"/>
          <w:i/>
          <w:sz w:val="24"/>
          <w:szCs w:val="24"/>
        </w:rPr>
        <w:t>“all actions and applicati</w:t>
      </w:r>
      <w:r w:rsidR="00805E2D">
        <w:rPr>
          <w:rFonts w:ascii="Times New Roman" w:hAnsi="Times New Roman" w:cs="Times New Roman"/>
          <w:i/>
          <w:sz w:val="24"/>
          <w:szCs w:val="24"/>
        </w:rPr>
        <w:t>ons and the execution of all w</w:t>
      </w:r>
      <w:r w:rsidRPr="001709DB">
        <w:rPr>
          <w:rFonts w:ascii="Times New Roman" w:hAnsi="Times New Roman" w:cs="Times New Roman"/>
          <w:i/>
          <w:sz w:val="24"/>
          <w:szCs w:val="24"/>
        </w:rPr>
        <w:t>rits, summons and other process against 1</w:t>
      </w:r>
      <w:r w:rsidRPr="001709DB">
        <w:rPr>
          <w:rFonts w:ascii="Times New Roman" w:hAnsi="Times New Roman" w:cs="Times New Roman"/>
          <w:i/>
          <w:sz w:val="24"/>
          <w:szCs w:val="24"/>
          <w:vertAlign w:val="superscript"/>
        </w:rPr>
        <w:t>st</w:t>
      </w:r>
      <w:r w:rsidRPr="001709DB">
        <w:rPr>
          <w:rFonts w:ascii="Times New Roman" w:hAnsi="Times New Roman" w:cs="Times New Roman"/>
          <w:i/>
          <w:sz w:val="24"/>
          <w:szCs w:val="24"/>
        </w:rPr>
        <w:t>, 2</w:t>
      </w:r>
      <w:r w:rsidRPr="001709DB">
        <w:rPr>
          <w:rFonts w:ascii="Times New Roman" w:hAnsi="Times New Roman" w:cs="Times New Roman"/>
          <w:i/>
          <w:sz w:val="24"/>
          <w:szCs w:val="24"/>
          <w:vertAlign w:val="superscript"/>
        </w:rPr>
        <w:t>nd</w:t>
      </w:r>
      <w:r w:rsidRPr="001709DB">
        <w:rPr>
          <w:rFonts w:ascii="Times New Roman" w:hAnsi="Times New Roman" w:cs="Times New Roman"/>
          <w:i/>
          <w:sz w:val="24"/>
          <w:szCs w:val="24"/>
        </w:rPr>
        <w:t>, 3</w:t>
      </w:r>
      <w:r w:rsidRPr="001709DB">
        <w:rPr>
          <w:rFonts w:ascii="Times New Roman" w:hAnsi="Times New Roman" w:cs="Times New Roman"/>
          <w:i/>
          <w:sz w:val="24"/>
          <w:szCs w:val="24"/>
          <w:vertAlign w:val="superscript"/>
        </w:rPr>
        <w:t>rd</w:t>
      </w:r>
      <w:r w:rsidRPr="001709DB">
        <w:rPr>
          <w:rFonts w:ascii="Times New Roman" w:hAnsi="Times New Roman" w:cs="Times New Roman"/>
          <w:i/>
          <w:sz w:val="24"/>
          <w:szCs w:val="24"/>
        </w:rPr>
        <w:t>, 4</w:t>
      </w:r>
      <w:r w:rsidRPr="001709DB">
        <w:rPr>
          <w:rFonts w:ascii="Times New Roman" w:hAnsi="Times New Roman" w:cs="Times New Roman"/>
          <w:i/>
          <w:sz w:val="24"/>
          <w:szCs w:val="24"/>
          <w:vertAlign w:val="superscript"/>
        </w:rPr>
        <w:t>th</w:t>
      </w:r>
      <w:r w:rsidRPr="001709DB">
        <w:rPr>
          <w:rFonts w:ascii="Times New Roman" w:hAnsi="Times New Roman" w:cs="Times New Roman"/>
          <w:i/>
          <w:sz w:val="24"/>
          <w:szCs w:val="24"/>
        </w:rPr>
        <w:t>, 5</w:t>
      </w:r>
      <w:r w:rsidRPr="001709DB">
        <w:rPr>
          <w:rFonts w:ascii="Times New Roman" w:hAnsi="Times New Roman" w:cs="Times New Roman"/>
          <w:i/>
          <w:sz w:val="24"/>
          <w:szCs w:val="24"/>
          <w:vertAlign w:val="superscript"/>
        </w:rPr>
        <w:t>th</w:t>
      </w:r>
      <w:r w:rsidRPr="001709DB">
        <w:rPr>
          <w:rFonts w:ascii="Times New Roman" w:hAnsi="Times New Roman" w:cs="Times New Roman"/>
          <w:i/>
          <w:sz w:val="24"/>
          <w:szCs w:val="24"/>
        </w:rPr>
        <w:t xml:space="preserve"> and 6</w:t>
      </w:r>
      <w:r w:rsidRPr="001709DB">
        <w:rPr>
          <w:rFonts w:ascii="Times New Roman" w:hAnsi="Times New Roman" w:cs="Times New Roman"/>
          <w:i/>
          <w:sz w:val="24"/>
          <w:szCs w:val="24"/>
          <w:vertAlign w:val="superscript"/>
        </w:rPr>
        <w:t>th</w:t>
      </w:r>
      <w:r w:rsidRPr="001709DB">
        <w:rPr>
          <w:rFonts w:ascii="Times New Roman" w:hAnsi="Times New Roman" w:cs="Times New Roman"/>
          <w:i/>
          <w:sz w:val="24"/>
          <w:szCs w:val="24"/>
        </w:rPr>
        <w:t xml:space="preserve"> respondent companies shall be stayed and not proceed without leave of this court.”</w:t>
      </w:r>
    </w:p>
    <w:p w:rsidR="002D215E" w:rsidRDefault="002D215E" w:rsidP="00867419">
      <w:pPr>
        <w:spacing w:after="0" w:line="240" w:lineRule="auto"/>
        <w:ind w:left="720"/>
        <w:jc w:val="both"/>
        <w:rPr>
          <w:rFonts w:ascii="Tahoma" w:hAnsi="Tahoma" w:cs="Tahoma"/>
          <w:sz w:val="24"/>
          <w:szCs w:val="24"/>
          <w:u w:val="single"/>
        </w:rPr>
      </w:pPr>
    </w:p>
    <w:p w:rsidR="002D215E" w:rsidRDefault="001709DB" w:rsidP="00867419">
      <w:pPr>
        <w:spacing w:after="0" w:line="360" w:lineRule="auto"/>
        <w:ind w:firstLine="720"/>
        <w:jc w:val="both"/>
        <w:rPr>
          <w:rFonts w:ascii="Tahoma" w:hAnsi="Tahoma" w:cs="Tahoma"/>
          <w:sz w:val="24"/>
          <w:szCs w:val="24"/>
        </w:rPr>
      </w:pPr>
      <w:r>
        <w:rPr>
          <w:rFonts w:ascii="Tahoma" w:hAnsi="Tahoma" w:cs="Tahoma"/>
          <w:sz w:val="24"/>
          <w:szCs w:val="24"/>
        </w:rPr>
        <w:t>It is applicant’s contention that the Respondents did not seek leave of the High Court before instituting these proceedings thereby contravening the above paragraph.  The 2</w:t>
      </w:r>
      <w:r w:rsidRPr="001709DB">
        <w:rPr>
          <w:rFonts w:ascii="Tahoma" w:hAnsi="Tahoma" w:cs="Tahoma"/>
          <w:sz w:val="24"/>
          <w:szCs w:val="24"/>
          <w:vertAlign w:val="superscript"/>
        </w:rPr>
        <w:t>nd</w:t>
      </w:r>
      <w:r>
        <w:rPr>
          <w:rFonts w:ascii="Tahoma" w:hAnsi="Tahoma" w:cs="Tahoma"/>
          <w:sz w:val="24"/>
          <w:szCs w:val="24"/>
        </w:rPr>
        <w:t xml:space="preserve"> – 4</w:t>
      </w:r>
      <w:r w:rsidRPr="001709DB">
        <w:rPr>
          <w:rFonts w:ascii="Tahoma" w:hAnsi="Tahoma" w:cs="Tahoma"/>
          <w:sz w:val="24"/>
          <w:szCs w:val="24"/>
          <w:vertAlign w:val="superscript"/>
        </w:rPr>
        <w:t>th</w:t>
      </w:r>
      <w:r>
        <w:rPr>
          <w:rFonts w:ascii="Tahoma" w:hAnsi="Tahoma" w:cs="Tahoma"/>
          <w:sz w:val="24"/>
          <w:szCs w:val="24"/>
        </w:rPr>
        <w:t xml:space="preserve"> respondents are however of the contrary view, their position being that leave of the High Court was not </w:t>
      </w:r>
      <w:r w:rsidR="00693CB2">
        <w:rPr>
          <w:rFonts w:ascii="Tahoma" w:hAnsi="Tahoma" w:cs="Tahoma"/>
          <w:sz w:val="24"/>
          <w:szCs w:val="24"/>
        </w:rPr>
        <w:t>required.</w:t>
      </w:r>
      <w:r>
        <w:rPr>
          <w:rFonts w:ascii="Tahoma" w:hAnsi="Tahoma" w:cs="Tahoma"/>
          <w:sz w:val="24"/>
          <w:szCs w:val="24"/>
        </w:rPr>
        <w:t xml:space="preserve">  The applicant and the 2</w:t>
      </w:r>
      <w:r w:rsidRPr="001709DB">
        <w:rPr>
          <w:rFonts w:ascii="Tahoma" w:hAnsi="Tahoma" w:cs="Tahoma"/>
          <w:sz w:val="24"/>
          <w:szCs w:val="24"/>
          <w:vertAlign w:val="superscript"/>
        </w:rPr>
        <w:t>nd</w:t>
      </w:r>
      <w:r>
        <w:rPr>
          <w:rFonts w:ascii="Tahoma" w:hAnsi="Tahoma" w:cs="Tahoma"/>
          <w:sz w:val="24"/>
          <w:szCs w:val="24"/>
        </w:rPr>
        <w:t xml:space="preserve"> – 4</w:t>
      </w:r>
      <w:r w:rsidRPr="001709DB">
        <w:rPr>
          <w:rFonts w:ascii="Tahoma" w:hAnsi="Tahoma" w:cs="Tahoma"/>
          <w:sz w:val="24"/>
          <w:szCs w:val="24"/>
          <w:vertAlign w:val="superscript"/>
        </w:rPr>
        <w:t>th</w:t>
      </w:r>
      <w:r>
        <w:rPr>
          <w:rFonts w:ascii="Tahoma" w:hAnsi="Tahoma" w:cs="Tahoma"/>
          <w:sz w:val="24"/>
          <w:szCs w:val="24"/>
        </w:rPr>
        <w:t xml:space="preserve"> respondents each relied on two different High Court decisions to support their respective positions.</w:t>
      </w:r>
    </w:p>
    <w:p w:rsidR="00307939" w:rsidRDefault="00307939" w:rsidP="00867419">
      <w:pPr>
        <w:spacing w:after="0" w:line="360" w:lineRule="auto"/>
        <w:ind w:left="720"/>
        <w:jc w:val="both"/>
        <w:rPr>
          <w:rFonts w:ascii="Tahoma" w:hAnsi="Tahoma" w:cs="Tahoma"/>
          <w:sz w:val="24"/>
          <w:szCs w:val="24"/>
        </w:rPr>
      </w:pPr>
    </w:p>
    <w:p w:rsidR="00307939" w:rsidRDefault="00307939" w:rsidP="00867419">
      <w:pPr>
        <w:spacing w:after="0" w:line="360" w:lineRule="auto"/>
        <w:ind w:firstLine="720"/>
        <w:jc w:val="both"/>
        <w:rPr>
          <w:rFonts w:ascii="Tahoma" w:hAnsi="Tahoma" w:cs="Tahoma"/>
          <w:sz w:val="24"/>
          <w:szCs w:val="24"/>
        </w:rPr>
      </w:pPr>
      <w:r>
        <w:rPr>
          <w:rFonts w:ascii="Tahoma" w:hAnsi="Tahoma" w:cs="Tahoma"/>
          <w:sz w:val="24"/>
          <w:szCs w:val="24"/>
        </w:rPr>
        <w:t>Further and on the other hand, the 2</w:t>
      </w:r>
      <w:r w:rsidRPr="00307939">
        <w:rPr>
          <w:rFonts w:ascii="Tahoma" w:hAnsi="Tahoma" w:cs="Tahoma"/>
          <w:sz w:val="24"/>
          <w:szCs w:val="24"/>
          <w:vertAlign w:val="superscript"/>
        </w:rPr>
        <w:t>nd</w:t>
      </w:r>
      <w:r>
        <w:rPr>
          <w:rFonts w:ascii="Tahoma" w:hAnsi="Tahoma" w:cs="Tahoma"/>
          <w:sz w:val="24"/>
          <w:szCs w:val="24"/>
        </w:rPr>
        <w:t xml:space="preserve"> – 4</w:t>
      </w:r>
      <w:r w:rsidRPr="00307939">
        <w:rPr>
          <w:rFonts w:ascii="Tahoma" w:hAnsi="Tahoma" w:cs="Tahoma"/>
          <w:sz w:val="24"/>
          <w:szCs w:val="24"/>
          <w:vertAlign w:val="superscript"/>
        </w:rPr>
        <w:t>th</w:t>
      </w:r>
      <w:r>
        <w:rPr>
          <w:rFonts w:ascii="Tahoma" w:hAnsi="Tahoma" w:cs="Tahoma"/>
          <w:sz w:val="24"/>
          <w:szCs w:val="24"/>
        </w:rPr>
        <w:t xml:space="preserve"> respondents raise the point that the parties entered into an agreement and a certificate of settlement was issued, as such applicant should not oppose the 1</w:t>
      </w:r>
      <w:r w:rsidRPr="00307939">
        <w:rPr>
          <w:rFonts w:ascii="Tahoma" w:hAnsi="Tahoma" w:cs="Tahoma"/>
          <w:sz w:val="24"/>
          <w:szCs w:val="24"/>
          <w:vertAlign w:val="superscript"/>
        </w:rPr>
        <w:t>st</w:t>
      </w:r>
      <w:r>
        <w:rPr>
          <w:rFonts w:ascii="Tahoma" w:hAnsi="Tahoma" w:cs="Tahoma"/>
          <w:sz w:val="24"/>
          <w:szCs w:val="24"/>
        </w:rPr>
        <w:t xml:space="preserve"> respondent’s application.</w:t>
      </w:r>
    </w:p>
    <w:p w:rsidR="00307939" w:rsidRDefault="00307939" w:rsidP="00867419">
      <w:pPr>
        <w:spacing w:after="0" w:line="360" w:lineRule="auto"/>
        <w:ind w:firstLine="720"/>
        <w:jc w:val="both"/>
        <w:rPr>
          <w:rFonts w:ascii="Tahoma" w:hAnsi="Tahoma" w:cs="Tahoma"/>
          <w:sz w:val="24"/>
          <w:szCs w:val="24"/>
        </w:rPr>
      </w:pPr>
    </w:p>
    <w:p w:rsidR="00307939" w:rsidRDefault="00307939" w:rsidP="00867419">
      <w:pPr>
        <w:spacing w:after="0" w:line="360" w:lineRule="auto"/>
        <w:ind w:firstLine="720"/>
        <w:jc w:val="both"/>
        <w:rPr>
          <w:rFonts w:ascii="Tahoma" w:hAnsi="Tahoma" w:cs="Tahoma"/>
          <w:sz w:val="24"/>
          <w:szCs w:val="24"/>
        </w:rPr>
      </w:pPr>
      <w:r>
        <w:rPr>
          <w:rFonts w:ascii="Tahoma" w:hAnsi="Tahoma" w:cs="Tahoma"/>
          <w:sz w:val="24"/>
          <w:szCs w:val="24"/>
        </w:rPr>
        <w:t>In view of the above it is my considered view that in order to properly determine the application for confirmation the court needs to hear and benefit from both parties’ submissions.  This is irrespective of whether I proceed in terms of either paragraph (i) or (ii) of sub-rule (b) of Rule 29.</w:t>
      </w:r>
    </w:p>
    <w:p w:rsidR="00307939" w:rsidRDefault="00307939" w:rsidP="00867419">
      <w:pPr>
        <w:spacing w:after="0" w:line="240" w:lineRule="auto"/>
        <w:ind w:firstLine="720"/>
        <w:jc w:val="both"/>
        <w:rPr>
          <w:rFonts w:ascii="Tahoma" w:hAnsi="Tahoma" w:cs="Tahoma"/>
          <w:sz w:val="24"/>
          <w:szCs w:val="24"/>
        </w:rPr>
      </w:pPr>
    </w:p>
    <w:p w:rsidR="00307939" w:rsidRDefault="00307939" w:rsidP="00867419">
      <w:pPr>
        <w:spacing w:after="0" w:line="360" w:lineRule="auto"/>
        <w:ind w:firstLine="720"/>
        <w:jc w:val="both"/>
        <w:rPr>
          <w:rFonts w:ascii="Tahoma" w:hAnsi="Tahoma" w:cs="Tahoma"/>
          <w:sz w:val="24"/>
          <w:szCs w:val="24"/>
        </w:rPr>
      </w:pPr>
      <w:r>
        <w:rPr>
          <w:rFonts w:ascii="Tahoma" w:hAnsi="Tahoma" w:cs="Tahoma"/>
          <w:sz w:val="24"/>
          <w:szCs w:val="24"/>
        </w:rPr>
        <w:t>That being the case, I will not pronounce on whether applicant has good prospects of success or not but state that th</w:t>
      </w:r>
      <w:r w:rsidR="00152D08">
        <w:rPr>
          <w:rFonts w:ascii="Tahoma" w:hAnsi="Tahoma" w:cs="Tahoma"/>
          <w:sz w:val="24"/>
          <w:szCs w:val="24"/>
        </w:rPr>
        <w:t>ere are arguable issues that need proper ventilation by the parties so as to assist the Court.</w:t>
      </w:r>
    </w:p>
    <w:p w:rsidR="00152D08" w:rsidRDefault="00152D08" w:rsidP="00867419">
      <w:pPr>
        <w:spacing w:after="0" w:line="360" w:lineRule="auto"/>
        <w:ind w:firstLine="720"/>
        <w:jc w:val="both"/>
        <w:rPr>
          <w:rFonts w:ascii="Tahoma" w:hAnsi="Tahoma" w:cs="Tahoma"/>
          <w:sz w:val="24"/>
          <w:szCs w:val="24"/>
        </w:rPr>
      </w:pPr>
    </w:p>
    <w:p w:rsidR="00152D08" w:rsidRDefault="00152D08" w:rsidP="00867419">
      <w:pPr>
        <w:spacing w:after="0" w:line="360" w:lineRule="auto"/>
        <w:ind w:firstLine="720"/>
        <w:jc w:val="both"/>
        <w:rPr>
          <w:rFonts w:ascii="Tahoma" w:hAnsi="Tahoma" w:cs="Tahoma"/>
          <w:sz w:val="24"/>
          <w:szCs w:val="24"/>
        </w:rPr>
      </w:pPr>
      <w:r>
        <w:rPr>
          <w:rFonts w:ascii="Tahoma" w:hAnsi="Tahoma" w:cs="Tahoma"/>
          <w:sz w:val="24"/>
          <w:szCs w:val="24"/>
        </w:rPr>
        <w:t>Consequently I will grant applicant the indulgence it seeks.  It is therefore ordered that:</w:t>
      </w:r>
    </w:p>
    <w:p w:rsidR="00152D08" w:rsidRDefault="00152D08" w:rsidP="00867419">
      <w:pPr>
        <w:spacing w:after="0" w:line="240" w:lineRule="auto"/>
        <w:ind w:firstLine="720"/>
        <w:jc w:val="both"/>
        <w:rPr>
          <w:rFonts w:ascii="Tahoma" w:hAnsi="Tahoma" w:cs="Tahoma"/>
          <w:sz w:val="24"/>
          <w:szCs w:val="24"/>
        </w:rPr>
      </w:pPr>
    </w:p>
    <w:p w:rsidR="00152D08" w:rsidRDefault="00152D08" w:rsidP="00867419">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the application for condonation and extension of time within which to file notice of response and heads of argument in the matter LC/H/LRA/33/19 be and is hereby granted.</w:t>
      </w:r>
    </w:p>
    <w:p w:rsidR="00693CB2" w:rsidRDefault="00693CB2" w:rsidP="00867419">
      <w:pPr>
        <w:pStyle w:val="ListParagraph"/>
        <w:spacing w:after="0" w:line="360" w:lineRule="auto"/>
        <w:ind w:left="1440"/>
        <w:jc w:val="both"/>
        <w:rPr>
          <w:rFonts w:ascii="Tahoma" w:hAnsi="Tahoma" w:cs="Tahoma"/>
          <w:sz w:val="24"/>
          <w:szCs w:val="24"/>
        </w:rPr>
      </w:pPr>
    </w:p>
    <w:p w:rsidR="00152D08" w:rsidRDefault="00152D08" w:rsidP="00867419">
      <w:pPr>
        <w:pStyle w:val="ListParagraph"/>
        <w:numPr>
          <w:ilvl w:val="0"/>
          <w:numId w:val="15"/>
        </w:num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notice of response and heads of argument both filed on the 11</w:t>
      </w:r>
      <w:r w:rsidRPr="00152D08">
        <w:rPr>
          <w:rFonts w:ascii="Tahoma" w:hAnsi="Tahoma" w:cs="Tahoma"/>
          <w:sz w:val="24"/>
          <w:szCs w:val="24"/>
          <w:vertAlign w:val="superscript"/>
        </w:rPr>
        <w:t>th</w:t>
      </w:r>
      <w:r>
        <w:rPr>
          <w:rFonts w:ascii="Tahoma" w:hAnsi="Tahoma" w:cs="Tahoma"/>
          <w:sz w:val="24"/>
          <w:szCs w:val="24"/>
        </w:rPr>
        <w:t xml:space="preserve"> M</w:t>
      </w:r>
      <w:r w:rsidR="00805E2D">
        <w:rPr>
          <w:rFonts w:ascii="Tahoma" w:hAnsi="Tahoma" w:cs="Tahoma"/>
          <w:sz w:val="24"/>
          <w:szCs w:val="24"/>
        </w:rPr>
        <w:t>arch 2019</w:t>
      </w:r>
      <w:r>
        <w:rPr>
          <w:rFonts w:ascii="Tahoma" w:hAnsi="Tahoma" w:cs="Tahoma"/>
          <w:sz w:val="24"/>
          <w:szCs w:val="24"/>
        </w:rPr>
        <w:t xml:space="preserve"> b</w:t>
      </w:r>
      <w:r w:rsidR="00805E2D">
        <w:rPr>
          <w:rFonts w:ascii="Tahoma" w:hAnsi="Tahoma" w:cs="Tahoma"/>
          <w:sz w:val="24"/>
          <w:szCs w:val="24"/>
        </w:rPr>
        <w:t>e and are hereby accepted as par</w:t>
      </w:r>
      <w:r>
        <w:rPr>
          <w:rFonts w:ascii="Tahoma" w:hAnsi="Tahoma" w:cs="Tahoma"/>
          <w:sz w:val="24"/>
          <w:szCs w:val="24"/>
        </w:rPr>
        <w:t>t of the record and properly before the Court.</w:t>
      </w:r>
    </w:p>
    <w:p w:rsidR="00152D08" w:rsidRDefault="00693CB2" w:rsidP="00867419">
      <w:pPr>
        <w:spacing w:after="0" w:line="360" w:lineRule="auto"/>
        <w:ind w:left="720"/>
        <w:jc w:val="both"/>
        <w:rPr>
          <w:rFonts w:ascii="Tahoma" w:hAnsi="Tahoma" w:cs="Tahoma"/>
          <w:sz w:val="24"/>
          <w:szCs w:val="24"/>
        </w:rPr>
      </w:pPr>
      <w:r>
        <w:rPr>
          <w:rFonts w:ascii="Tahoma" w:hAnsi="Tahoma" w:cs="Tahoma"/>
          <w:sz w:val="24"/>
          <w:szCs w:val="24"/>
        </w:rPr>
        <w:t>The Registrar is directed to set down the application LC/H/LRA/33/19 on a mutually convenient date.</w:t>
      </w:r>
    </w:p>
    <w:p w:rsidR="00693CB2" w:rsidRDefault="00693CB2" w:rsidP="00867419">
      <w:pPr>
        <w:spacing w:after="0" w:line="360" w:lineRule="auto"/>
        <w:ind w:left="720"/>
        <w:jc w:val="both"/>
        <w:rPr>
          <w:rFonts w:ascii="Tahoma" w:hAnsi="Tahoma" w:cs="Tahoma"/>
          <w:sz w:val="24"/>
          <w:szCs w:val="24"/>
        </w:rPr>
      </w:pPr>
    </w:p>
    <w:p w:rsidR="00693CB2" w:rsidRPr="00152D08" w:rsidRDefault="00693CB2" w:rsidP="00867419">
      <w:pPr>
        <w:spacing w:after="0" w:line="360" w:lineRule="auto"/>
        <w:ind w:left="720"/>
        <w:jc w:val="both"/>
        <w:rPr>
          <w:rFonts w:ascii="Tahoma" w:hAnsi="Tahoma" w:cs="Tahoma"/>
          <w:sz w:val="24"/>
          <w:szCs w:val="24"/>
        </w:rPr>
      </w:pPr>
      <w:r>
        <w:rPr>
          <w:rFonts w:ascii="Tahoma" w:hAnsi="Tahoma" w:cs="Tahoma"/>
          <w:sz w:val="24"/>
          <w:szCs w:val="24"/>
        </w:rPr>
        <w:t>Costs shall be in the cause.</w:t>
      </w:r>
    </w:p>
    <w:p w:rsidR="00152D08" w:rsidRDefault="00152D08" w:rsidP="00867419">
      <w:pPr>
        <w:spacing w:after="0" w:line="360" w:lineRule="auto"/>
        <w:jc w:val="both"/>
        <w:rPr>
          <w:rFonts w:ascii="Tahoma" w:hAnsi="Tahoma" w:cs="Tahoma"/>
          <w:sz w:val="24"/>
          <w:szCs w:val="24"/>
        </w:rPr>
      </w:pPr>
    </w:p>
    <w:p w:rsidR="00152D08" w:rsidRPr="00152D08" w:rsidRDefault="00152D08" w:rsidP="00867419">
      <w:pPr>
        <w:tabs>
          <w:tab w:val="left" w:pos="0"/>
        </w:tabs>
        <w:spacing w:after="0" w:line="360" w:lineRule="auto"/>
        <w:jc w:val="both"/>
        <w:rPr>
          <w:rFonts w:ascii="Tahoma" w:hAnsi="Tahoma" w:cs="Tahoma"/>
          <w:sz w:val="24"/>
          <w:szCs w:val="24"/>
        </w:rPr>
      </w:pPr>
      <w:bookmarkStart w:id="0" w:name="_GoBack"/>
      <w:bookmarkEnd w:id="0"/>
    </w:p>
    <w:p w:rsidR="002D70EE" w:rsidRPr="00805E2D" w:rsidRDefault="002D70EE" w:rsidP="00867419">
      <w:pPr>
        <w:spacing w:after="0" w:line="360" w:lineRule="auto"/>
        <w:jc w:val="both"/>
        <w:rPr>
          <w:rFonts w:ascii="Tahoma" w:hAnsi="Tahoma" w:cs="Tahoma"/>
          <w:b/>
          <w:sz w:val="24"/>
          <w:szCs w:val="24"/>
        </w:rPr>
      </w:pPr>
    </w:p>
    <w:p w:rsidR="00140F14" w:rsidRPr="00540494" w:rsidRDefault="00E052DC" w:rsidP="00867419">
      <w:pPr>
        <w:spacing w:after="0" w:line="360" w:lineRule="auto"/>
        <w:jc w:val="both"/>
        <w:rPr>
          <w:rFonts w:ascii="Tahoma" w:hAnsi="Tahoma" w:cs="Tahoma"/>
          <w:b/>
          <w:i/>
          <w:sz w:val="24"/>
          <w:szCs w:val="24"/>
        </w:rPr>
      </w:pPr>
      <w:r w:rsidRPr="002D70EE">
        <w:rPr>
          <w:rFonts w:ascii="Tahoma" w:hAnsi="Tahoma" w:cs="Tahoma"/>
          <w:b/>
          <w:i/>
          <w:sz w:val="24"/>
          <w:szCs w:val="24"/>
        </w:rPr>
        <w:t xml:space="preserve">ZINYENGERE RUPAPA – </w:t>
      </w:r>
      <w:r w:rsidR="00540494" w:rsidRPr="002D70EE">
        <w:rPr>
          <w:rFonts w:ascii="Tahoma" w:hAnsi="Tahoma" w:cs="Tahoma"/>
          <w:b/>
          <w:i/>
          <w:sz w:val="24"/>
          <w:szCs w:val="24"/>
        </w:rPr>
        <w:t>App</w:t>
      </w:r>
      <w:r w:rsidRPr="002D70EE">
        <w:rPr>
          <w:rFonts w:ascii="Tahoma" w:hAnsi="Tahoma" w:cs="Tahoma"/>
          <w:b/>
          <w:i/>
          <w:sz w:val="24"/>
          <w:szCs w:val="24"/>
        </w:rPr>
        <w:t>lic</w:t>
      </w:r>
      <w:r w:rsidR="00540494" w:rsidRPr="002D70EE">
        <w:rPr>
          <w:rFonts w:ascii="Tahoma" w:hAnsi="Tahoma" w:cs="Tahoma"/>
          <w:b/>
          <w:i/>
          <w:sz w:val="24"/>
          <w:szCs w:val="24"/>
        </w:rPr>
        <w:t>ant</w:t>
      </w:r>
      <w:r w:rsidR="00EF062B" w:rsidRPr="002D70EE">
        <w:rPr>
          <w:rFonts w:ascii="Tahoma" w:hAnsi="Tahoma" w:cs="Tahoma"/>
          <w:b/>
          <w:i/>
          <w:sz w:val="24"/>
          <w:szCs w:val="24"/>
        </w:rPr>
        <w:t>’s legal practitioners</w:t>
      </w:r>
    </w:p>
    <w:p w:rsidR="00093A54" w:rsidRPr="009802E9" w:rsidRDefault="001B6513" w:rsidP="00867419">
      <w:pPr>
        <w:spacing w:after="0" w:line="360" w:lineRule="auto"/>
        <w:jc w:val="both"/>
        <w:rPr>
          <w:rFonts w:ascii="Tahoma" w:hAnsi="Tahoma" w:cs="Tahoma"/>
          <w:b/>
          <w:i/>
          <w:sz w:val="24"/>
          <w:szCs w:val="24"/>
        </w:rPr>
      </w:pPr>
      <w:r>
        <w:rPr>
          <w:rFonts w:ascii="Tahoma" w:hAnsi="Tahoma" w:cs="Tahoma"/>
          <w:b/>
          <w:i/>
          <w:sz w:val="24"/>
          <w:szCs w:val="24"/>
        </w:rPr>
        <w:t>CHINAMASA, MUDIMU &amp; MAGURANYANGA</w:t>
      </w:r>
      <w:r w:rsidR="00C14882" w:rsidRPr="009802E9">
        <w:rPr>
          <w:rFonts w:ascii="Tahoma" w:hAnsi="Tahoma" w:cs="Tahoma"/>
          <w:b/>
          <w:i/>
          <w:sz w:val="24"/>
          <w:szCs w:val="24"/>
        </w:rPr>
        <w:t xml:space="preserve"> </w:t>
      </w:r>
      <w:r w:rsidR="00093A54" w:rsidRPr="009802E9">
        <w:rPr>
          <w:rFonts w:ascii="Tahoma" w:hAnsi="Tahoma" w:cs="Tahoma"/>
          <w:b/>
          <w:i/>
          <w:sz w:val="24"/>
          <w:szCs w:val="24"/>
        </w:rPr>
        <w:t xml:space="preserve">– </w:t>
      </w:r>
      <w:r w:rsidR="00805E2D">
        <w:rPr>
          <w:rFonts w:ascii="Tahoma" w:hAnsi="Tahoma" w:cs="Tahoma"/>
          <w:b/>
          <w:i/>
          <w:sz w:val="24"/>
          <w:szCs w:val="24"/>
        </w:rPr>
        <w:t>2</w:t>
      </w:r>
      <w:r w:rsidR="00805E2D" w:rsidRPr="00805E2D">
        <w:rPr>
          <w:rFonts w:ascii="Tahoma" w:hAnsi="Tahoma" w:cs="Tahoma"/>
          <w:b/>
          <w:i/>
          <w:sz w:val="24"/>
          <w:szCs w:val="24"/>
          <w:vertAlign w:val="superscript"/>
        </w:rPr>
        <w:t>nd</w:t>
      </w:r>
      <w:r w:rsidR="00805E2D">
        <w:rPr>
          <w:rFonts w:ascii="Tahoma" w:hAnsi="Tahoma" w:cs="Tahoma"/>
          <w:b/>
          <w:i/>
          <w:sz w:val="24"/>
          <w:szCs w:val="24"/>
        </w:rPr>
        <w:t xml:space="preserve"> – 4</w:t>
      </w:r>
      <w:r w:rsidR="00805E2D" w:rsidRPr="00805E2D">
        <w:rPr>
          <w:rFonts w:ascii="Tahoma" w:hAnsi="Tahoma" w:cs="Tahoma"/>
          <w:b/>
          <w:i/>
          <w:sz w:val="24"/>
          <w:szCs w:val="24"/>
          <w:vertAlign w:val="superscript"/>
        </w:rPr>
        <w:t>th</w:t>
      </w:r>
      <w:r w:rsidR="00805E2D">
        <w:rPr>
          <w:rFonts w:ascii="Tahoma" w:hAnsi="Tahoma" w:cs="Tahoma"/>
          <w:b/>
          <w:i/>
          <w:sz w:val="24"/>
          <w:szCs w:val="24"/>
        </w:rPr>
        <w:t xml:space="preserve"> </w:t>
      </w:r>
      <w:r w:rsidR="00867419">
        <w:rPr>
          <w:rFonts w:ascii="Tahoma" w:hAnsi="Tahoma" w:cs="Tahoma"/>
          <w:b/>
          <w:i/>
          <w:sz w:val="24"/>
          <w:szCs w:val="24"/>
        </w:rPr>
        <w:t>Respondent</w:t>
      </w:r>
      <w:r w:rsidR="00093A54" w:rsidRPr="009802E9">
        <w:rPr>
          <w:rFonts w:ascii="Tahoma" w:hAnsi="Tahoma" w:cs="Tahoma"/>
          <w:b/>
          <w:i/>
          <w:sz w:val="24"/>
          <w:szCs w:val="24"/>
        </w:rPr>
        <w:t>s</w:t>
      </w:r>
      <w:r w:rsidR="00867419">
        <w:rPr>
          <w:rFonts w:ascii="Tahoma" w:hAnsi="Tahoma" w:cs="Tahoma"/>
          <w:b/>
          <w:i/>
          <w:sz w:val="24"/>
          <w:szCs w:val="24"/>
        </w:rPr>
        <w:t>’</w:t>
      </w:r>
      <w:r w:rsidR="00093A54" w:rsidRPr="009802E9">
        <w:rPr>
          <w:rFonts w:ascii="Tahoma" w:hAnsi="Tahoma" w:cs="Tahoma"/>
          <w:b/>
          <w:i/>
          <w:sz w:val="24"/>
          <w:szCs w:val="24"/>
        </w:rPr>
        <w:t xml:space="preserve"> legal practitioners</w:t>
      </w:r>
    </w:p>
    <w:sectPr w:rsidR="00093A54" w:rsidRPr="009802E9" w:rsidSect="007C20CD">
      <w:headerReference w:type="default" r:id="rId8"/>
      <w:footerReference w:type="default" r:id="rId9"/>
      <w:pgSz w:w="11906" w:h="16838"/>
      <w:pgMar w:top="1440" w:right="110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98" w:rsidRDefault="00096998" w:rsidP="007C5CA3">
      <w:pPr>
        <w:spacing w:after="0" w:line="240" w:lineRule="auto"/>
      </w:pPr>
      <w:r>
        <w:separator/>
      </w:r>
    </w:p>
  </w:endnote>
  <w:endnote w:type="continuationSeparator" w:id="0">
    <w:p w:rsidR="00096998" w:rsidRDefault="0009699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67419">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98" w:rsidRDefault="00096998" w:rsidP="007C5CA3">
      <w:pPr>
        <w:spacing w:after="0" w:line="240" w:lineRule="auto"/>
      </w:pPr>
      <w:r>
        <w:separator/>
      </w:r>
    </w:p>
  </w:footnote>
  <w:footnote w:type="continuationSeparator" w:id="0">
    <w:p w:rsidR="00096998" w:rsidRDefault="0009699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246DEC">
      <w:rPr>
        <w:rFonts w:ascii="Tahoma" w:hAnsi="Tahoma" w:cs="Tahoma"/>
        <w:b/>
        <w:sz w:val="24"/>
        <w:szCs w:val="24"/>
      </w:rPr>
      <w:t>196</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4AA5098"/>
    <w:multiLevelType w:val="hybridMultilevel"/>
    <w:tmpl w:val="D4381BC2"/>
    <w:lvl w:ilvl="0" w:tplc="30209D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2E33732"/>
    <w:multiLevelType w:val="hybridMultilevel"/>
    <w:tmpl w:val="631821BA"/>
    <w:lvl w:ilvl="0" w:tplc="7A70A2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54D61B3"/>
    <w:multiLevelType w:val="hybridMultilevel"/>
    <w:tmpl w:val="4D866532"/>
    <w:lvl w:ilvl="0" w:tplc="3C98DED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9"/>
  </w:num>
  <w:num w:numId="3">
    <w:abstractNumId w:val="5"/>
  </w:num>
  <w:num w:numId="4">
    <w:abstractNumId w:val="0"/>
  </w:num>
  <w:num w:numId="5">
    <w:abstractNumId w:val="13"/>
  </w:num>
  <w:num w:numId="6">
    <w:abstractNumId w:val="7"/>
  </w:num>
  <w:num w:numId="7">
    <w:abstractNumId w:val="1"/>
  </w:num>
  <w:num w:numId="8">
    <w:abstractNumId w:val="8"/>
  </w:num>
  <w:num w:numId="9">
    <w:abstractNumId w:val="10"/>
  </w:num>
  <w:num w:numId="10">
    <w:abstractNumId w:val="6"/>
  </w:num>
  <w:num w:numId="11">
    <w:abstractNumId w:val="2"/>
  </w:num>
  <w:num w:numId="12">
    <w:abstractNumId w:val="14"/>
  </w:num>
  <w:num w:numId="13">
    <w:abstractNumId w:val="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90C20"/>
    <w:rsid w:val="0009112F"/>
    <w:rsid w:val="00093A54"/>
    <w:rsid w:val="00095E28"/>
    <w:rsid w:val="00096998"/>
    <w:rsid w:val="000A0351"/>
    <w:rsid w:val="000A07BC"/>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4FCC"/>
    <w:rsid w:val="00150174"/>
    <w:rsid w:val="00152D08"/>
    <w:rsid w:val="001709DB"/>
    <w:rsid w:val="00176651"/>
    <w:rsid w:val="0018688E"/>
    <w:rsid w:val="00192EC2"/>
    <w:rsid w:val="001A037B"/>
    <w:rsid w:val="001A3916"/>
    <w:rsid w:val="001B520A"/>
    <w:rsid w:val="001B5CA8"/>
    <w:rsid w:val="001B6513"/>
    <w:rsid w:val="001B7DFE"/>
    <w:rsid w:val="001E59E3"/>
    <w:rsid w:val="001F245A"/>
    <w:rsid w:val="001F2A28"/>
    <w:rsid w:val="001F6C80"/>
    <w:rsid w:val="002059A1"/>
    <w:rsid w:val="002101CD"/>
    <w:rsid w:val="00210280"/>
    <w:rsid w:val="002131B9"/>
    <w:rsid w:val="00244B99"/>
    <w:rsid w:val="00246DEC"/>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D215E"/>
    <w:rsid w:val="002D70EE"/>
    <w:rsid w:val="002E1FE1"/>
    <w:rsid w:val="002E229C"/>
    <w:rsid w:val="002E7C20"/>
    <w:rsid w:val="002F5298"/>
    <w:rsid w:val="002F5836"/>
    <w:rsid w:val="002F7414"/>
    <w:rsid w:val="00307939"/>
    <w:rsid w:val="003102CF"/>
    <w:rsid w:val="00320D70"/>
    <w:rsid w:val="00325625"/>
    <w:rsid w:val="00333A04"/>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21D94"/>
    <w:rsid w:val="00435CF9"/>
    <w:rsid w:val="004403C4"/>
    <w:rsid w:val="00443D09"/>
    <w:rsid w:val="00450F2A"/>
    <w:rsid w:val="00452BD6"/>
    <w:rsid w:val="0045597D"/>
    <w:rsid w:val="0046134D"/>
    <w:rsid w:val="0046724B"/>
    <w:rsid w:val="00471F6B"/>
    <w:rsid w:val="004737A1"/>
    <w:rsid w:val="004770D4"/>
    <w:rsid w:val="00481C4E"/>
    <w:rsid w:val="00483B95"/>
    <w:rsid w:val="00485EFC"/>
    <w:rsid w:val="004905CF"/>
    <w:rsid w:val="00490FE1"/>
    <w:rsid w:val="004927A7"/>
    <w:rsid w:val="004A67E0"/>
    <w:rsid w:val="004B7711"/>
    <w:rsid w:val="004C0E8D"/>
    <w:rsid w:val="004C3334"/>
    <w:rsid w:val="004D303B"/>
    <w:rsid w:val="004E2B68"/>
    <w:rsid w:val="004E6DBC"/>
    <w:rsid w:val="00506C51"/>
    <w:rsid w:val="005105BE"/>
    <w:rsid w:val="00521048"/>
    <w:rsid w:val="005219C0"/>
    <w:rsid w:val="00524234"/>
    <w:rsid w:val="00527FB7"/>
    <w:rsid w:val="005355C3"/>
    <w:rsid w:val="00535E77"/>
    <w:rsid w:val="00540494"/>
    <w:rsid w:val="00540C28"/>
    <w:rsid w:val="005414C3"/>
    <w:rsid w:val="00542814"/>
    <w:rsid w:val="005669E8"/>
    <w:rsid w:val="00572E71"/>
    <w:rsid w:val="0057453B"/>
    <w:rsid w:val="00594B04"/>
    <w:rsid w:val="00594E66"/>
    <w:rsid w:val="00596D64"/>
    <w:rsid w:val="005A3B8C"/>
    <w:rsid w:val="005B403F"/>
    <w:rsid w:val="005B6B07"/>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93CB2"/>
    <w:rsid w:val="00694322"/>
    <w:rsid w:val="00695E6F"/>
    <w:rsid w:val="006A098A"/>
    <w:rsid w:val="006C1C1D"/>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5134"/>
    <w:rsid w:val="007B655A"/>
    <w:rsid w:val="007C20CD"/>
    <w:rsid w:val="007C3A03"/>
    <w:rsid w:val="007C3B6F"/>
    <w:rsid w:val="007C5A03"/>
    <w:rsid w:val="007C5CA3"/>
    <w:rsid w:val="007D717D"/>
    <w:rsid w:val="007E14CC"/>
    <w:rsid w:val="007E274A"/>
    <w:rsid w:val="007E544C"/>
    <w:rsid w:val="007E6C56"/>
    <w:rsid w:val="007F16D4"/>
    <w:rsid w:val="007F7ECE"/>
    <w:rsid w:val="00805E2D"/>
    <w:rsid w:val="00811B52"/>
    <w:rsid w:val="008160DC"/>
    <w:rsid w:val="00831AA2"/>
    <w:rsid w:val="0083632A"/>
    <w:rsid w:val="008371A4"/>
    <w:rsid w:val="00853204"/>
    <w:rsid w:val="00856238"/>
    <w:rsid w:val="00856A33"/>
    <w:rsid w:val="00856DF5"/>
    <w:rsid w:val="00857174"/>
    <w:rsid w:val="00867419"/>
    <w:rsid w:val="00867C88"/>
    <w:rsid w:val="008710BD"/>
    <w:rsid w:val="008759B5"/>
    <w:rsid w:val="00876084"/>
    <w:rsid w:val="008777BC"/>
    <w:rsid w:val="0088004C"/>
    <w:rsid w:val="008826C4"/>
    <w:rsid w:val="008918D7"/>
    <w:rsid w:val="008B5755"/>
    <w:rsid w:val="008C3DA9"/>
    <w:rsid w:val="008C57F8"/>
    <w:rsid w:val="008C7097"/>
    <w:rsid w:val="008D3C88"/>
    <w:rsid w:val="008D7019"/>
    <w:rsid w:val="008E71C1"/>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32B6"/>
    <w:rsid w:val="00995170"/>
    <w:rsid w:val="009951A3"/>
    <w:rsid w:val="009A1F2F"/>
    <w:rsid w:val="009C30EA"/>
    <w:rsid w:val="009C593B"/>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10417"/>
    <w:rsid w:val="00B1158D"/>
    <w:rsid w:val="00B13D4D"/>
    <w:rsid w:val="00B22F59"/>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7699"/>
    <w:rsid w:val="00CA5589"/>
    <w:rsid w:val="00CA5F87"/>
    <w:rsid w:val="00CB21D3"/>
    <w:rsid w:val="00CB2223"/>
    <w:rsid w:val="00CB4AE8"/>
    <w:rsid w:val="00CE26DD"/>
    <w:rsid w:val="00CE61E0"/>
    <w:rsid w:val="00CF7FB6"/>
    <w:rsid w:val="00D04C45"/>
    <w:rsid w:val="00D13C45"/>
    <w:rsid w:val="00D34EA0"/>
    <w:rsid w:val="00D35D61"/>
    <w:rsid w:val="00D66B99"/>
    <w:rsid w:val="00D6717B"/>
    <w:rsid w:val="00D80B9D"/>
    <w:rsid w:val="00D84EB3"/>
    <w:rsid w:val="00D85594"/>
    <w:rsid w:val="00D91E41"/>
    <w:rsid w:val="00D95B8F"/>
    <w:rsid w:val="00DA5F18"/>
    <w:rsid w:val="00DD4676"/>
    <w:rsid w:val="00DD7258"/>
    <w:rsid w:val="00E04088"/>
    <w:rsid w:val="00E052DC"/>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2020-08-26T13:44:00Z</cp:lastPrinted>
  <dcterms:created xsi:type="dcterms:W3CDTF">2020-08-26T10:26:00Z</dcterms:created>
  <dcterms:modified xsi:type="dcterms:W3CDTF">2020-08-26T14:00:00Z</dcterms:modified>
</cp:coreProperties>
</file>