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5A810B3" w14:textId="77777777" w:rsidR="00743640" w:rsidRPr="002153A9" w:rsidRDefault="00743640" w:rsidP="002153A9">
      <w:pPr>
        <w:spacing w:line="360" w:lineRule="auto"/>
        <w:jc w:val="both"/>
        <w:rPr>
          <w:rFonts w:ascii="Times New Roman" w:hAnsi="Times New Roman" w:cs="Times New Roman"/>
          <w:sz w:val="24"/>
          <w:szCs w:val="24"/>
        </w:rPr>
      </w:pPr>
      <w:bookmarkStart w:id="0" w:name="_GoBack"/>
      <w:bookmarkEnd w:id="0"/>
    </w:p>
    <w:p w14:paraId="41C3EB90" w14:textId="03DFA1C6" w:rsidR="00F93A04" w:rsidRPr="002153A9" w:rsidRDefault="00F93A04" w:rsidP="002153A9">
      <w:pPr>
        <w:spacing w:line="360" w:lineRule="auto"/>
        <w:jc w:val="both"/>
        <w:rPr>
          <w:rFonts w:ascii="Times New Roman" w:hAnsi="Times New Roman" w:cs="Times New Roman"/>
          <w:sz w:val="24"/>
          <w:szCs w:val="24"/>
        </w:rPr>
      </w:pPr>
      <w:r w:rsidRPr="002153A9">
        <w:rPr>
          <w:rFonts w:ascii="Times New Roman" w:hAnsi="Times New Roman" w:cs="Times New Roman"/>
          <w:sz w:val="24"/>
          <w:szCs w:val="24"/>
        </w:rPr>
        <w:t xml:space="preserve">DAILY DOSE </w:t>
      </w:r>
      <w:r w:rsidR="00403626" w:rsidRPr="002153A9">
        <w:rPr>
          <w:rFonts w:ascii="Times New Roman" w:hAnsi="Times New Roman" w:cs="Times New Roman"/>
          <w:sz w:val="24"/>
          <w:szCs w:val="24"/>
        </w:rPr>
        <w:t>INVESTMENTS (PVT) LTD</w:t>
      </w:r>
    </w:p>
    <w:p w14:paraId="51662F39" w14:textId="582E8A94" w:rsidR="00403626" w:rsidRPr="002153A9" w:rsidRDefault="00403626" w:rsidP="002153A9">
      <w:pPr>
        <w:spacing w:line="360" w:lineRule="auto"/>
        <w:jc w:val="both"/>
        <w:rPr>
          <w:rFonts w:ascii="Times New Roman" w:hAnsi="Times New Roman" w:cs="Times New Roman"/>
          <w:sz w:val="24"/>
          <w:szCs w:val="24"/>
        </w:rPr>
      </w:pPr>
      <w:r w:rsidRPr="002153A9">
        <w:rPr>
          <w:rFonts w:ascii="Times New Roman" w:hAnsi="Times New Roman" w:cs="Times New Roman"/>
          <w:sz w:val="24"/>
          <w:szCs w:val="24"/>
        </w:rPr>
        <w:t>Versus</w:t>
      </w:r>
    </w:p>
    <w:p w14:paraId="37E3D606" w14:textId="5B1B23E6" w:rsidR="00403626" w:rsidRPr="002153A9" w:rsidRDefault="00403626" w:rsidP="002153A9">
      <w:pPr>
        <w:spacing w:line="360" w:lineRule="auto"/>
        <w:jc w:val="both"/>
        <w:rPr>
          <w:rFonts w:ascii="Times New Roman" w:hAnsi="Times New Roman" w:cs="Times New Roman"/>
          <w:sz w:val="24"/>
          <w:szCs w:val="24"/>
        </w:rPr>
      </w:pPr>
      <w:r w:rsidRPr="002153A9">
        <w:rPr>
          <w:rFonts w:ascii="Times New Roman" w:hAnsi="Times New Roman" w:cs="Times New Roman"/>
          <w:sz w:val="24"/>
          <w:szCs w:val="24"/>
        </w:rPr>
        <w:t>PRITCHARDS TRADING (PVT) LTD</w:t>
      </w:r>
    </w:p>
    <w:p w14:paraId="1337FDA9" w14:textId="77777777" w:rsidR="00403626" w:rsidRPr="002153A9" w:rsidRDefault="00403626" w:rsidP="002153A9">
      <w:pPr>
        <w:spacing w:line="360" w:lineRule="auto"/>
        <w:jc w:val="both"/>
        <w:rPr>
          <w:rFonts w:ascii="Times New Roman" w:hAnsi="Times New Roman" w:cs="Times New Roman"/>
          <w:sz w:val="24"/>
          <w:szCs w:val="24"/>
        </w:rPr>
      </w:pPr>
    </w:p>
    <w:p w14:paraId="303E1E09" w14:textId="77777777" w:rsidR="002153A9" w:rsidRPr="002153A9" w:rsidRDefault="00403626" w:rsidP="002153A9">
      <w:pPr>
        <w:pStyle w:val="NoSpacing"/>
        <w:rPr>
          <w:rFonts w:ascii="Times New Roman" w:hAnsi="Times New Roman" w:cs="Times New Roman"/>
          <w:sz w:val="24"/>
          <w:szCs w:val="24"/>
        </w:rPr>
      </w:pPr>
      <w:r w:rsidRPr="002153A9">
        <w:rPr>
          <w:rFonts w:ascii="Times New Roman" w:hAnsi="Times New Roman" w:cs="Times New Roman"/>
          <w:sz w:val="24"/>
          <w:szCs w:val="24"/>
        </w:rPr>
        <w:t>HIGH COURT OF ZIMBABWE</w:t>
      </w:r>
    </w:p>
    <w:p w14:paraId="4B1F6F89" w14:textId="74CB2457" w:rsidR="00403626" w:rsidRPr="002153A9" w:rsidRDefault="00403626" w:rsidP="002153A9">
      <w:pPr>
        <w:pStyle w:val="NoSpacing"/>
        <w:rPr>
          <w:rFonts w:ascii="Times New Roman" w:hAnsi="Times New Roman" w:cs="Times New Roman"/>
          <w:sz w:val="24"/>
          <w:szCs w:val="24"/>
        </w:rPr>
      </w:pPr>
      <w:r w:rsidRPr="002153A9">
        <w:rPr>
          <w:rFonts w:ascii="Times New Roman" w:hAnsi="Times New Roman" w:cs="Times New Roman"/>
          <w:sz w:val="24"/>
          <w:szCs w:val="24"/>
        </w:rPr>
        <w:t>COMMERCIAL DIVISION</w:t>
      </w:r>
    </w:p>
    <w:p w14:paraId="6E4FD251" w14:textId="77777777" w:rsidR="00403626" w:rsidRPr="002153A9" w:rsidRDefault="00403626" w:rsidP="002153A9">
      <w:pPr>
        <w:pStyle w:val="NoSpacing"/>
        <w:rPr>
          <w:rFonts w:ascii="Times New Roman" w:hAnsi="Times New Roman" w:cs="Times New Roman"/>
          <w:sz w:val="24"/>
          <w:szCs w:val="24"/>
        </w:rPr>
      </w:pPr>
      <w:r w:rsidRPr="002153A9">
        <w:rPr>
          <w:rFonts w:ascii="Times New Roman" w:hAnsi="Times New Roman" w:cs="Times New Roman"/>
          <w:sz w:val="24"/>
          <w:szCs w:val="24"/>
        </w:rPr>
        <w:t>CHILIMBE J</w:t>
      </w:r>
    </w:p>
    <w:p w14:paraId="1F9CC484" w14:textId="7D4A7883" w:rsidR="00403626" w:rsidRPr="002153A9" w:rsidRDefault="00403626" w:rsidP="002153A9">
      <w:pPr>
        <w:pStyle w:val="NoSpacing"/>
        <w:rPr>
          <w:rFonts w:ascii="Times New Roman" w:hAnsi="Times New Roman" w:cs="Times New Roman"/>
          <w:sz w:val="24"/>
          <w:szCs w:val="24"/>
        </w:rPr>
      </w:pPr>
      <w:r w:rsidRPr="002153A9">
        <w:rPr>
          <w:rFonts w:ascii="Times New Roman" w:hAnsi="Times New Roman" w:cs="Times New Roman"/>
          <w:sz w:val="24"/>
          <w:szCs w:val="24"/>
        </w:rPr>
        <w:t xml:space="preserve">HARARE 19 May and </w:t>
      </w:r>
      <w:r w:rsidR="00D871ED">
        <w:rPr>
          <w:rFonts w:ascii="Times New Roman" w:hAnsi="Times New Roman" w:cs="Times New Roman"/>
          <w:sz w:val="24"/>
          <w:szCs w:val="24"/>
        </w:rPr>
        <w:t>17</w:t>
      </w:r>
      <w:r w:rsidRPr="002153A9">
        <w:rPr>
          <w:rFonts w:ascii="Times New Roman" w:hAnsi="Times New Roman" w:cs="Times New Roman"/>
          <w:sz w:val="24"/>
          <w:szCs w:val="24"/>
        </w:rPr>
        <w:t xml:space="preserve"> June 2025</w:t>
      </w:r>
    </w:p>
    <w:p w14:paraId="4F27B443" w14:textId="77777777" w:rsidR="002153A9" w:rsidRPr="002153A9" w:rsidRDefault="002153A9" w:rsidP="002153A9">
      <w:pPr>
        <w:pStyle w:val="NoSpacing"/>
        <w:rPr>
          <w:rFonts w:ascii="Times New Roman" w:hAnsi="Times New Roman" w:cs="Times New Roman"/>
          <w:sz w:val="24"/>
          <w:szCs w:val="24"/>
        </w:rPr>
      </w:pPr>
    </w:p>
    <w:p w14:paraId="139F9CD8" w14:textId="7224531E" w:rsidR="00403626" w:rsidRPr="002153A9" w:rsidRDefault="00403626" w:rsidP="002153A9">
      <w:pPr>
        <w:spacing w:line="360" w:lineRule="auto"/>
        <w:jc w:val="both"/>
        <w:rPr>
          <w:rFonts w:ascii="Times New Roman" w:hAnsi="Times New Roman" w:cs="Times New Roman"/>
          <w:b/>
          <w:bCs/>
          <w:sz w:val="24"/>
          <w:szCs w:val="24"/>
        </w:rPr>
      </w:pPr>
      <w:r w:rsidRPr="002153A9">
        <w:rPr>
          <w:rFonts w:ascii="Times New Roman" w:hAnsi="Times New Roman" w:cs="Times New Roman"/>
          <w:b/>
          <w:bCs/>
          <w:sz w:val="24"/>
          <w:szCs w:val="24"/>
        </w:rPr>
        <w:t>Opposed application</w:t>
      </w:r>
    </w:p>
    <w:p w14:paraId="61D37613" w14:textId="2E465009" w:rsidR="00403626" w:rsidRPr="00D871ED" w:rsidRDefault="00AE1129" w:rsidP="002153A9">
      <w:pPr>
        <w:pStyle w:val="NoSpacing"/>
        <w:rPr>
          <w:rFonts w:ascii="Times New Roman" w:hAnsi="Times New Roman" w:cs="Times New Roman"/>
          <w:sz w:val="24"/>
          <w:szCs w:val="24"/>
        </w:rPr>
      </w:pPr>
      <w:r w:rsidRPr="00D871ED">
        <w:rPr>
          <w:rFonts w:ascii="Times New Roman" w:hAnsi="Times New Roman" w:cs="Times New Roman"/>
          <w:i/>
          <w:iCs/>
          <w:sz w:val="24"/>
          <w:szCs w:val="24"/>
        </w:rPr>
        <w:t>U.</w:t>
      </w:r>
      <w:r w:rsidR="00403626" w:rsidRPr="00D871ED">
        <w:rPr>
          <w:rFonts w:ascii="Times New Roman" w:hAnsi="Times New Roman" w:cs="Times New Roman"/>
          <w:i/>
          <w:iCs/>
          <w:sz w:val="24"/>
          <w:szCs w:val="24"/>
        </w:rPr>
        <w:t xml:space="preserve"> Nare</w:t>
      </w:r>
      <w:r w:rsidR="00403626" w:rsidRPr="00D871ED">
        <w:rPr>
          <w:rFonts w:ascii="Times New Roman" w:hAnsi="Times New Roman" w:cs="Times New Roman"/>
          <w:sz w:val="24"/>
          <w:szCs w:val="24"/>
        </w:rPr>
        <w:t xml:space="preserve"> for applicant</w:t>
      </w:r>
    </w:p>
    <w:p w14:paraId="4B4F312C" w14:textId="1F353F4E" w:rsidR="00403626" w:rsidRPr="002153A9" w:rsidRDefault="00403626" w:rsidP="002153A9">
      <w:pPr>
        <w:pStyle w:val="NoSpacing"/>
        <w:rPr>
          <w:rFonts w:ascii="Times New Roman" w:hAnsi="Times New Roman" w:cs="Times New Roman"/>
          <w:sz w:val="24"/>
          <w:szCs w:val="24"/>
        </w:rPr>
      </w:pPr>
      <w:r w:rsidRPr="00D871ED">
        <w:rPr>
          <w:rFonts w:ascii="Times New Roman" w:hAnsi="Times New Roman" w:cs="Times New Roman"/>
          <w:i/>
          <w:iCs/>
          <w:sz w:val="24"/>
          <w:szCs w:val="24"/>
        </w:rPr>
        <w:t>T. Chimusar</w:t>
      </w:r>
      <w:r w:rsidR="00D871ED">
        <w:rPr>
          <w:rFonts w:ascii="Times New Roman" w:hAnsi="Times New Roman" w:cs="Times New Roman"/>
          <w:i/>
          <w:iCs/>
          <w:sz w:val="24"/>
          <w:szCs w:val="24"/>
        </w:rPr>
        <w:t>u</w:t>
      </w:r>
      <w:r w:rsidRPr="00D871ED">
        <w:rPr>
          <w:rFonts w:ascii="Times New Roman" w:hAnsi="Times New Roman" w:cs="Times New Roman"/>
          <w:sz w:val="24"/>
          <w:szCs w:val="24"/>
        </w:rPr>
        <w:t xml:space="preserve"> for respondent</w:t>
      </w:r>
    </w:p>
    <w:p w14:paraId="07340411" w14:textId="77777777" w:rsidR="00403626" w:rsidRPr="002153A9" w:rsidRDefault="00403626" w:rsidP="002153A9">
      <w:pPr>
        <w:spacing w:line="360" w:lineRule="auto"/>
        <w:jc w:val="both"/>
        <w:rPr>
          <w:rFonts w:ascii="Times New Roman" w:hAnsi="Times New Roman" w:cs="Times New Roman"/>
          <w:sz w:val="24"/>
          <w:szCs w:val="24"/>
        </w:rPr>
      </w:pPr>
    </w:p>
    <w:p w14:paraId="3DC95FDC" w14:textId="6D6A6D03" w:rsidR="00403626" w:rsidRPr="002153A9" w:rsidRDefault="00403626" w:rsidP="002153A9">
      <w:pPr>
        <w:spacing w:line="360" w:lineRule="auto"/>
        <w:jc w:val="both"/>
        <w:rPr>
          <w:rFonts w:ascii="Times New Roman" w:hAnsi="Times New Roman" w:cs="Times New Roman"/>
          <w:sz w:val="24"/>
          <w:szCs w:val="24"/>
        </w:rPr>
      </w:pPr>
      <w:r w:rsidRPr="002153A9">
        <w:rPr>
          <w:rFonts w:ascii="Times New Roman" w:hAnsi="Times New Roman" w:cs="Times New Roman"/>
          <w:sz w:val="24"/>
          <w:szCs w:val="24"/>
        </w:rPr>
        <w:t>CHILIMBE J</w:t>
      </w:r>
    </w:p>
    <w:p w14:paraId="0885E922" w14:textId="30D0E4F5" w:rsidR="00403626" w:rsidRPr="002153A9" w:rsidRDefault="00403626" w:rsidP="002153A9">
      <w:pPr>
        <w:spacing w:line="360" w:lineRule="auto"/>
        <w:jc w:val="both"/>
        <w:rPr>
          <w:rFonts w:ascii="Times New Roman" w:hAnsi="Times New Roman" w:cs="Times New Roman"/>
          <w:sz w:val="24"/>
          <w:szCs w:val="24"/>
        </w:rPr>
      </w:pPr>
      <w:r w:rsidRPr="002153A9">
        <w:rPr>
          <w:rFonts w:ascii="Times New Roman" w:hAnsi="Times New Roman" w:cs="Times New Roman"/>
          <w:sz w:val="24"/>
          <w:szCs w:val="24"/>
        </w:rPr>
        <w:t>BACKGROUND</w:t>
      </w:r>
    </w:p>
    <w:p w14:paraId="70C34105" w14:textId="3E919B2A" w:rsidR="00AD042A" w:rsidRDefault="00403626" w:rsidP="002153A9">
      <w:pPr>
        <w:spacing w:line="360" w:lineRule="auto"/>
        <w:jc w:val="both"/>
        <w:rPr>
          <w:rFonts w:ascii="Times New Roman" w:hAnsi="Times New Roman" w:cs="Times New Roman"/>
          <w:sz w:val="24"/>
          <w:szCs w:val="24"/>
        </w:rPr>
      </w:pPr>
      <w:r w:rsidRPr="002153A9">
        <w:rPr>
          <w:rFonts w:ascii="Times New Roman" w:hAnsi="Times New Roman" w:cs="Times New Roman"/>
          <w:sz w:val="24"/>
          <w:szCs w:val="24"/>
        </w:rPr>
        <w:t xml:space="preserve">[1] </w:t>
      </w:r>
      <w:r w:rsidR="00F379EE" w:rsidRPr="002153A9">
        <w:rPr>
          <w:rFonts w:ascii="Times New Roman" w:hAnsi="Times New Roman" w:cs="Times New Roman"/>
          <w:sz w:val="24"/>
          <w:szCs w:val="24"/>
        </w:rPr>
        <w:t xml:space="preserve">The applicant seeks the setting aside of an order granted </w:t>
      </w:r>
      <w:r w:rsidR="00AD042A">
        <w:rPr>
          <w:rFonts w:ascii="Times New Roman" w:hAnsi="Times New Roman" w:cs="Times New Roman"/>
          <w:sz w:val="24"/>
          <w:szCs w:val="24"/>
        </w:rPr>
        <w:t xml:space="preserve">under case number HCHC 499/22 </w:t>
      </w:r>
      <w:r w:rsidR="00F379EE" w:rsidRPr="002153A9">
        <w:rPr>
          <w:rFonts w:ascii="Times New Roman" w:hAnsi="Times New Roman" w:cs="Times New Roman"/>
          <w:sz w:val="24"/>
          <w:szCs w:val="24"/>
        </w:rPr>
        <w:t xml:space="preserve">in default of </w:t>
      </w:r>
      <w:r w:rsidR="002153A9" w:rsidRPr="002153A9">
        <w:rPr>
          <w:rFonts w:ascii="Times New Roman" w:hAnsi="Times New Roman" w:cs="Times New Roman"/>
          <w:sz w:val="24"/>
          <w:szCs w:val="24"/>
        </w:rPr>
        <w:t xml:space="preserve">its </w:t>
      </w:r>
      <w:r w:rsidR="00F379EE" w:rsidRPr="002153A9">
        <w:rPr>
          <w:rFonts w:ascii="Times New Roman" w:hAnsi="Times New Roman" w:cs="Times New Roman"/>
          <w:sz w:val="24"/>
          <w:szCs w:val="24"/>
        </w:rPr>
        <w:t xml:space="preserve">appearance at a case management conference on </w:t>
      </w:r>
      <w:r w:rsidR="00AD042A">
        <w:rPr>
          <w:rFonts w:ascii="Times New Roman" w:hAnsi="Times New Roman" w:cs="Times New Roman"/>
          <w:sz w:val="24"/>
          <w:szCs w:val="24"/>
        </w:rPr>
        <w:t>18</w:t>
      </w:r>
      <w:r w:rsidR="00F379EE" w:rsidRPr="002153A9">
        <w:rPr>
          <w:rFonts w:ascii="Times New Roman" w:hAnsi="Times New Roman" w:cs="Times New Roman"/>
          <w:sz w:val="24"/>
          <w:szCs w:val="24"/>
        </w:rPr>
        <w:t xml:space="preserve"> May 2023</w:t>
      </w:r>
      <w:r w:rsidR="002153A9" w:rsidRPr="002153A9">
        <w:rPr>
          <w:rFonts w:ascii="Times New Roman" w:hAnsi="Times New Roman" w:cs="Times New Roman"/>
          <w:sz w:val="24"/>
          <w:szCs w:val="24"/>
        </w:rPr>
        <w:t xml:space="preserve">. </w:t>
      </w:r>
      <w:r w:rsidR="00AD042A">
        <w:rPr>
          <w:rFonts w:ascii="Times New Roman" w:hAnsi="Times New Roman" w:cs="Times New Roman"/>
          <w:sz w:val="24"/>
          <w:szCs w:val="24"/>
        </w:rPr>
        <w:t>In the main dispute, the herein respondent had claimed an amount of US$45,000 as monies due and payable for a 40,000 litres consignment of diesel delivered, together with US$10,000 (presumably) as damages for breach of contract.</w:t>
      </w:r>
    </w:p>
    <w:p w14:paraId="12120713" w14:textId="648A4D9D" w:rsidR="002153A9" w:rsidRPr="002153A9" w:rsidRDefault="00AD042A" w:rsidP="002153A9">
      <w:pPr>
        <w:spacing w:line="360" w:lineRule="auto"/>
        <w:jc w:val="both"/>
        <w:rPr>
          <w:rFonts w:ascii="Times New Roman" w:hAnsi="Times New Roman" w:cs="Times New Roman"/>
          <w:sz w:val="24"/>
          <w:szCs w:val="24"/>
        </w:rPr>
      </w:pPr>
      <w:r>
        <w:rPr>
          <w:rFonts w:ascii="Times New Roman" w:hAnsi="Times New Roman" w:cs="Times New Roman"/>
          <w:sz w:val="24"/>
          <w:szCs w:val="24"/>
        </w:rPr>
        <w:t>[2] The respondent resisted the claim</w:t>
      </w:r>
      <w:r w:rsidR="006640F1">
        <w:rPr>
          <w:rFonts w:ascii="Times New Roman" w:hAnsi="Times New Roman" w:cs="Times New Roman"/>
          <w:sz w:val="24"/>
          <w:szCs w:val="24"/>
        </w:rPr>
        <w:t xml:space="preserve"> and matter was progressed to pre-trial case management.</w:t>
      </w:r>
      <w:r w:rsidR="006640F1" w:rsidRPr="002153A9">
        <w:rPr>
          <w:rFonts w:ascii="Times New Roman" w:hAnsi="Times New Roman" w:cs="Times New Roman"/>
          <w:sz w:val="24"/>
          <w:szCs w:val="24"/>
        </w:rPr>
        <w:t xml:space="preserve"> The</w:t>
      </w:r>
      <w:r w:rsidR="002153A9" w:rsidRPr="002153A9">
        <w:rPr>
          <w:rFonts w:ascii="Times New Roman" w:hAnsi="Times New Roman" w:cs="Times New Roman"/>
          <w:sz w:val="24"/>
          <w:szCs w:val="24"/>
        </w:rPr>
        <w:t xml:space="preserve"> order was granted in terms of r 21 (2) of the High Court (Commercial Division) Rules SI 202 of 2021 (“the Commercial Court Rules”). This rule provides that; -</w:t>
      </w:r>
    </w:p>
    <w:p w14:paraId="76FD562F" w14:textId="77777777" w:rsidR="002153A9" w:rsidRPr="002153A9" w:rsidRDefault="002153A9" w:rsidP="002153A9">
      <w:pPr>
        <w:pStyle w:val="Default"/>
        <w:spacing w:line="360" w:lineRule="auto"/>
        <w:ind w:left="567"/>
        <w:jc w:val="both"/>
        <w:rPr>
          <w:u w:val="single"/>
        </w:rPr>
      </w:pPr>
      <w:r w:rsidRPr="002153A9">
        <w:rPr>
          <w:u w:val="single"/>
        </w:rPr>
        <w:t xml:space="preserve">21 Failure to appear of one or more parties </w:t>
      </w:r>
    </w:p>
    <w:p w14:paraId="6FE051E5" w14:textId="77777777" w:rsidR="002153A9" w:rsidRPr="002153A9" w:rsidRDefault="002153A9" w:rsidP="002153A9">
      <w:pPr>
        <w:pStyle w:val="Default"/>
        <w:spacing w:line="360" w:lineRule="auto"/>
        <w:ind w:left="567"/>
        <w:jc w:val="both"/>
      </w:pPr>
      <w:r w:rsidRPr="002153A9">
        <w:t xml:space="preserve">(1) Where at the time appointed for the pre-trial case management conference, one or more of the parties or witnesses, fails to attend, the judge may— </w:t>
      </w:r>
    </w:p>
    <w:p w14:paraId="0BB2A2AC" w14:textId="77777777" w:rsidR="002153A9" w:rsidRPr="002153A9" w:rsidRDefault="002153A9" w:rsidP="002153A9">
      <w:pPr>
        <w:pStyle w:val="Default"/>
        <w:spacing w:line="360" w:lineRule="auto"/>
        <w:ind w:left="567"/>
        <w:jc w:val="both"/>
      </w:pPr>
      <w:r w:rsidRPr="002153A9">
        <w:t xml:space="preserve">(a) dismiss the suit or proceedings; </w:t>
      </w:r>
    </w:p>
    <w:p w14:paraId="5F176A4A" w14:textId="74DD5CD7" w:rsidR="002153A9" w:rsidRPr="002153A9" w:rsidRDefault="002153A9" w:rsidP="002153A9">
      <w:pPr>
        <w:pStyle w:val="Default"/>
        <w:spacing w:line="360" w:lineRule="auto"/>
        <w:ind w:left="567"/>
        <w:jc w:val="both"/>
      </w:pPr>
      <w:r w:rsidRPr="002153A9">
        <w:t xml:space="preserve">(b) strike out the defence or counterclaim;  </w:t>
      </w:r>
    </w:p>
    <w:p w14:paraId="20556F81" w14:textId="77777777" w:rsidR="002153A9" w:rsidRPr="002153A9" w:rsidRDefault="002153A9" w:rsidP="002153A9">
      <w:pPr>
        <w:pStyle w:val="Default"/>
        <w:spacing w:line="360" w:lineRule="auto"/>
        <w:ind w:left="567"/>
        <w:jc w:val="both"/>
        <w:rPr>
          <w:color w:val="auto"/>
        </w:rPr>
      </w:pPr>
    </w:p>
    <w:p w14:paraId="08A35A72" w14:textId="77777777" w:rsidR="002153A9" w:rsidRPr="002153A9" w:rsidRDefault="002153A9" w:rsidP="002153A9">
      <w:pPr>
        <w:pStyle w:val="Default"/>
        <w:pageBreakBefore/>
        <w:spacing w:line="360" w:lineRule="auto"/>
        <w:ind w:left="567"/>
        <w:jc w:val="both"/>
        <w:rPr>
          <w:color w:val="auto"/>
        </w:rPr>
      </w:pPr>
      <w:r w:rsidRPr="002153A9">
        <w:rPr>
          <w:color w:val="auto"/>
        </w:rPr>
        <w:lastRenderedPageBreak/>
        <w:t xml:space="preserve">(c) enter judgment; </w:t>
      </w:r>
    </w:p>
    <w:p w14:paraId="7DD16BD3" w14:textId="77777777" w:rsidR="002153A9" w:rsidRPr="002153A9" w:rsidRDefault="002153A9" w:rsidP="002153A9">
      <w:pPr>
        <w:pStyle w:val="Default"/>
        <w:spacing w:line="360" w:lineRule="auto"/>
        <w:ind w:left="567"/>
        <w:jc w:val="both"/>
        <w:rPr>
          <w:color w:val="auto"/>
        </w:rPr>
      </w:pPr>
      <w:r w:rsidRPr="002153A9">
        <w:rPr>
          <w:color w:val="auto"/>
        </w:rPr>
        <w:t>(</w:t>
      </w:r>
      <w:r w:rsidRPr="002153A9">
        <w:rPr>
          <w:i/>
          <w:iCs/>
          <w:color w:val="auto"/>
        </w:rPr>
        <w:t>d</w:t>
      </w:r>
      <w:r w:rsidRPr="002153A9">
        <w:rPr>
          <w:color w:val="auto"/>
        </w:rPr>
        <w:t xml:space="preserve">) make such other order as he or she considers fit on the papers filed of record. </w:t>
      </w:r>
    </w:p>
    <w:p w14:paraId="7A70ACA7" w14:textId="6622887E" w:rsidR="002153A9" w:rsidRPr="002153A9" w:rsidRDefault="002153A9" w:rsidP="002153A9">
      <w:pPr>
        <w:spacing w:line="360" w:lineRule="auto"/>
        <w:ind w:left="567"/>
        <w:jc w:val="both"/>
        <w:rPr>
          <w:rFonts w:ascii="Times New Roman" w:hAnsi="Times New Roman" w:cs="Times New Roman"/>
          <w:sz w:val="24"/>
          <w:szCs w:val="24"/>
        </w:rPr>
      </w:pPr>
      <w:r w:rsidRPr="002153A9">
        <w:rPr>
          <w:rFonts w:ascii="Times New Roman" w:hAnsi="Times New Roman" w:cs="Times New Roman"/>
          <w:sz w:val="24"/>
          <w:szCs w:val="24"/>
        </w:rPr>
        <w:t>(2) An order made by the judge in terms of this rule may be set aside on the application of the party affected thereby on good and sufficient cause shown within ten days from date of the order, and on such terms as the judge considers fit and just and the provisions of Rule 15 shall apply to the extent possible.</w:t>
      </w:r>
    </w:p>
    <w:p w14:paraId="2A05BCA9" w14:textId="04DF3F6E" w:rsidR="002153A9" w:rsidRPr="002153A9" w:rsidRDefault="002153A9" w:rsidP="002153A9">
      <w:pPr>
        <w:spacing w:line="360" w:lineRule="auto"/>
        <w:jc w:val="both"/>
        <w:rPr>
          <w:rFonts w:ascii="Times New Roman" w:hAnsi="Times New Roman" w:cs="Times New Roman"/>
          <w:sz w:val="24"/>
          <w:szCs w:val="24"/>
        </w:rPr>
      </w:pPr>
      <w:r w:rsidRPr="002153A9">
        <w:rPr>
          <w:rFonts w:ascii="Times New Roman" w:hAnsi="Times New Roman" w:cs="Times New Roman"/>
          <w:sz w:val="24"/>
          <w:szCs w:val="24"/>
        </w:rPr>
        <w:t>[</w:t>
      </w:r>
      <w:r w:rsidR="005E766C">
        <w:rPr>
          <w:rFonts w:ascii="Times New Roman" w:hAnsi="Times New Roman" w:cs="Times New Roman"/>
          <w:sz w:val="24"/>
          <w:szCs w:val="24"/>
        </w:rPr>
        <w:t>3</w:t>
      </w:r>
      <w:r w:rsidRPr="002153A9">
        <w:rPr>
          <w:rFonts w:ascii="Times New Roman" w:hAnsi="Times New Roman" w:cs="Times New Roman"/>
          <w:sz w:val="24"/>
          <w:szCs w:val="24"/>
        </w:rPr>
        <w:t xml:space="preserve">] An application of this nature is made in terms of, and must satisfy the requirements of r 15 of the Commercial Court Rules. Rule 15 (2) </w:t>
      </w:r>
      <w:r w:rsidR="00AE1129">
        <w:rPr>
          <w:rFonts w:ascii="Times New Roman" w:hAnsi="Times New Roman" w:cs="Times New Roman"/>
          <w:sz w:val="24"/>
          <w:szCs w:val="24"/>
        </w:rPr>
        <w:t xml:space="preserve">by </w:t>
      </w:r>
      <w:r w:rsidRPr="002153A9">
        <w:rPr>
          <w:rFonts w:ascii="Times New Roman" w:hAnsi="Times New Roman" w:cs="Times New Roman"/>
          <w:sz w:val="24"/>
          <w:szCs w:val="24"/>
        </w:rPr>
        <w:t xml:space="preserve">(b) and (c) in essence, and read </w:t>
      </w:r>
      <w:r w:rsidRPr="00AE1129">
        <w:rPr>
          <w:rFonts w:ascii="Times New Roman" w:hAnsi="Times New Roman" w:cs="Times New Roman"/>
          <w:i/>
          <w:iCs/>
          <w:sz w:val="24"/>
          <w:szCs w:val="24"/>
        </w:rPr>
        <w:t>mutatis mutandis</w:t>
      </w:r>
      <w:r w:rsidRPr="002153A9">
        <w:rPr>
          <w:rFonts w:ascii="Times New Roman" w:hAnsi="Times New Roman" w:cs="Times New Roman"/>
          <w:sz w:val="24"/>
          <w:szCs w:val="24"/>
        </w:rPr>
        <w:t>, oblige</w:t>
      </w:r>
      <w:r w:rsidR="00AE1129">
        <w:rPr>
          <w:rFonts w:ascii="Times New Roman" w:hAnsi="Times New Roman" w:cs="Times New Roman"/>
          <w:sz w:val="24"/>
          <w:szCs w:val="24"/>
        </w:rPr>
        <w:t>s</w:t>
      </w:r>
      <w:r w:rsidRPr="002153A9">
        <w:rPr>
          <w:rFonts w:ascii="Times New Roman" w:hAnsi="Times New Roman" w:cs="Times New Roman"/>
          <w:sz w:val="24"/>
          <w:szCs w:val="24"/>
        </w:rPr>
        <w:t xml:space="preserve"> the applicant to do two things. Firstly, tender good and sufficient reason for its breach and secondly, demonstrate good prospects of success on the merits.</w:t>
      </w:r>
    </w:p>
    <w:p w14:paraId="19BC19C8" w14:textId="6C91C5FB" w:rsidR="00BF3270" w:rsidRDefault="002153A9" w:rsidP="002153A9">
      <w:pPr>
        <w:spacing w:line="360" w:lineRule="auto"/>
        <w:jc w:val="both"/>
        <w:rPr>
          <w:rFonts w:ascii="Times New Roman" w:eastAsia="Times New Roman" w:hAnsi="Times New Roman" w:cs="Times New Roman"/>
          <w:color w:val="000000"/>
          <w:sz w:val="23"/>
          <w:szCs w:val="24"/>
          <w:lang w:eastAsia="en-ZW"/>
        </w:rPr>
      </w:pPr>
      <w:r w:rsidRPr="002153A9">
        <w:rPr>
          <w:rFonts w:ascii="Times New Roman" w:hAnsi="Times New Roman" w:cs="Times New Roman"/>
          <w:sz w:val="24"/>
          <w:szCs w:val="24"/>
        </w:rPr>
        <w:t>[</w:t>
      </w:r>
      <w:r w:rsidR="005E766C">
        <w:rPr>
          <w:rFonts w:ascii="Times New Roman" w:hAnsi="Times New Roman" w:cs="Times New Roman"/>
          <w:sz w:val="24"/>
          <w:szCs w:val="24"/>
        </w:rPr>
        <w:t>4</w:t>
      </w:r>
      <w:r w:rsidR="00AE1129" w:rsidRPr="002153A9">
        <w:rPr>
          <w:rFonts w:ascii="Times New Roman" w:hAnsi="Times New Roman" w:cs="Times New Roman"/>
          <w:sz w:val="24"/>
          <w:szCs w:val="24"/>
        </w:rPr>
        <w:t>] In</w:t>
      </w:r>
      <w:r w:rsidR="00AE1129">
        <w:rPr>
          <w:rFonts w:ascii="Times New Roman" w:hAnsi="Times New Roman" w:cs="Times New Roman"/>
          <w:sz w:val="24"/>
          <w:szCs w:val="24"/>
        </w:rPr>
        <w:t xml:space="preserve"> that respect, the applicant is required to meet the age-old standard of showing good sufficient cause. The parties correctly directed the court to the authorities which set out this established principle which </w:t>
      </w:r>
      <w:r w:rsidR="006640F1">
        <w:rPr>
          <w:rFonts w:ascii="Times New Roman" w:hAnsi="Times New Roman" w:cs="Times New Roman"/>
          <w:sz w:val="24"/>
          <w:szCs w:val="24"/>
        </w:rPr>
        <w:t>include; -</w:t>
      </w:r>
      <w:r w:rsidR="006640F1" w:rsidRPr="006640F1">
        <w:rPr>
          <w:rFonts w:ascii="Times New Roman" w:eastAsia="Times New Roman" w:hAnsi="Times New Roman" w:cs="Times New Roman"/>
          <w:color w:val="000000"/>
          <w:sz w:val="24"/>
          <w:szCs w:val="24"/>
          <w:lang w:eastAsia="en-ZW"/>
        </w:rPr>
        <w:t xml:space="preserve"> </w:t>
      </w:r>
      <w:r w:rsidR="006640F1" w:rsidRPr="006640F1">
        <w:rPr>
          <w:rFonts w:ascii="Times New Roman" w:eastAsia="Times New Roman" w:hAnsi="Times New Roman" w:cs="Times New Roman"/>
          <w:i/>
          <w:color w:val="000000"/>
          <w:sz w:val="24"/>
          <w:szCs w:val="24"/>
          <w:lang w:eastAsia="en-ZW"/>
        </w:rPr>
        <w:t xml:space="preserve">Zimbabwe Banking Corporation v Masendeke </w:t>
      </w:r>
      <w:r w:rsidR="006640F1" w:rsidRPr="006640F1">
        <w:rPr>
          <w:rFonts w:ascii="Times New Roman" w:eastAsia="Times New Roman" w:hAnsi="Times New Roman" w:cs="Times New Roman"/>
          <w:color w:val="000000"/>
          <w:sz w:val="24"/>
          <w:szCs w:val="24"/>
          <w:lang w:eastAsia="en-ZW"/>
        </w:rPr>
        <w:t xml:space="preserve">1995(2) ZLR 400 as well as </w:t>
      </w:r>
      <w:r w:rsidR="006640F1" w:rsidRPr="006640F1">
        <w:rPr>
          <w:rFonts w:ascii="Times New Roman" w:eastAsia="Times New Roman" w:hAnsi="Times New Roman" w:cs="Times New Roman"/>
          <w:i/>
          <w:iCs/>
          <w:color w:val="000000"/>
          <w:sz w:val="23"/>
          <w:szCs w:val="24"/>
          <w:lang w:eastAsia="en-ZW"/>
        </w:rPr>
        <w:t>Deweras</w:t>
      </w:r>
      <w:r w:rsidR="006640F1" w:rsidRPr="006640F1">
        <w:rPr>
          <w:rFonts w:ascii="Times New Roman" w:eastAsia="Times New Roman" w:hAnsi="Times New Roman" w:cs="Times New Roman"/>
          <w:i/>
          <w:color w:val="000000"/>
          <w:sz w:val="23"/>
          <w:szCs w:val="24"/>
          <w:lang w:eastAsia="en-ZW"/>
        </w:rPr>
        <w:t xml:space="preserve"> Farm (Pvt) Ltd &amp; Ors v Zimbank</w:t>
      </w:r>
      <w:r w:rsidR="006640F1" w:rsidRPr="006640F1">
        <w:rPr>
          <w:rFonts w:ascii="Times New Roman" w:eastAsia="Times New Roman" w:hAnsi="Times New Roman" w:cs="Times New Roman"/>
          <w:color w:val="000000"/>
          <w:sz w:val="23"/>
          <w:szCs w:val="24"/>
          <w:lang w:eastAsia="en-ZW"/>
        </w:rPr>
        <w:t xml:space="preserve"> 1998 (1) ZLR 368 (S)</w:t>
      </w:r>
      <w:r w:rsidR="006640F1">
        <w:rPr>
          <w:rFonts w:ascii="Times New Roman" w:eastAsia="Times New Roman" w:hAnsi="Times New Roman" w:cs="Times New Roman"/>
          <w:color w:val="000000"/>
          <w:sz w:val="23"/>
          <w:szCs w:val="24"/>
          <w:lang w:eastAsia="en-ZW"/>
        </w:rPr>
        <w:t>.</w:t>
      </w:r>
    </w:p>
    <w:p w14:paraId="5943EE7C" w14:textId="77777777" w:rsidR="00BF3270" w:rsidRPr="00D871ED" w:rsidRDefault="00BF3270" w:rsidP="002153A9">
      <w:pPr>
        <w:spacing w:line="360" w:lineRule="auto"/>
        <w:jc w:val="both"/>
        <w:rPr>
          <w:rFonts w:ascii="Times New Roman" w:eastAsia="Times New Roman" w:hAnsi="Times New Roman" w:cs="Times New Roman"/>
          <w:color w:val="000000"/>
          <w:lang w:eastAsia="en-ZW"/>
        </w:rPr>
      </w:pPr>
      <w:r w:rsidRPr="00D871ED">
        <w:rPr>
          <w:rFonts w:ascii="Times New Roman" w:eastAsia="Times New Roman" w:hAnsi="Times New Roman" w:cs="Times New Roman"/>
          <w:color w:val="000000"/>
          <w:lang w:eastAsia="en-ZW"/>
        </w:rPr>
        <w:t>GOOD AND SUFFICIENT CAUSE</w:t>
      </w:r>
    </w:p>
    <w:p w14:paraId="6706C6E8" w14:textId="5AEC4423" w:rsidR="00BF3270" w:rsidRDefault="00BF3270" w:rsidP="00BF3270">
      <w:pPr>
        <w:spacing w:line="360" w:lineRule="auto"/>
        <w:jc w:val="both"/>
        <w:rPr>
          <w:rFonts w:ascii="Times New Roman" w:eastAsia="Times New Roman" w:hAnsi="Times New Roman" w:cs="Times New Roman"/>
          <w:color w:val="000000"/>
          <w:sz w:val="23"/>
          <w:szCs w:val="24"/>
          <w:lang w:eastAsia="en-ZW"/>
        </w:rPr>
      </w:pPr>
      <w:r>
        <w:rPr>
          <w:rFonts w:ascii="Times New Roman" w:eastAsia="Times New Roman" w:hAnsi="Times New Roman" w:cs="Times New Roman"/>
          <w:color w:val="000000"/>
          <w:sz w:val="23"/>
          <w:szCs w:val="24"/>
          <w:lang w:eastAsia="en-ZW"/>
        </w:rPr>
        <w:t>[</w:t>
      </w:r>
      <w:r w:rsidR="005E766C">
        <w:rPr>
          <w:rFonts w:ascii="Times New Roman" w:eastAsia="Times New Roman" w:hAnsi="Times New Roman" w:cs="Times New Roman"/>
          <w:color w:val="000000"/>
          <w:sz w:val="23"/>
          <w:szCs w:val="24"/>
          <w:lang w:eastAsia="en-ZW"/>
        </w:rPr>
        <w:t>5</w:t>
      </w:r>
      <w:r>
        <w:rPr>
          <w:rFonts w:ascii="Times New Roman" w:eastAsia="Times New Roman" w:hAnsi="Times New Roman" w:cs="Times New Roman"/>
          <w:color w:val="000000"/>
          <w:sz w:val="23"/>
          <w:szCs w:val="24"/>
          <w:lang w:eastAsia="en-ZW"/>
        </w:rPr>
        <w:t xml:space="preserve">] The applicant denied that it had wilfully derelicted attending the pre-trial case management set down for 18 May 2022. The explanation was that the notification of this commitment was delivered to the applicants` legal practitioner`s email spam folder. As such, they missed the alert and subsequently the case management conference. A supporting affidavit deposed to by Mr </w:t>
      </w:r>
      <w:r w:rsidRPr="00D871ED">
        <w:rPr>
          <w:rFonts w:ascii="Times New Roman" w:eastAsia="Times New Roman" w:hAnsi="Times New Roman" w:cs="Times New Roman"/>
          <w:i/>
          <w:iCs/>
          <w:color w:val="000000"/>
          <w:sz w:val="23"/>
          <w:szCs w:val="24"/>
          <w:lang w:eastAsia="en-ZW"/>
        </w:rPr>
        <w:t>U-Ukumetsi Matshaka Nare</w:t>
      </w:r>
      <w:r>
        <w:rPr>
          <w:rFonts w:ascii="Times New Roman" w:eastAsia="Times New Roman" w:hAnsi="Times New Roman" w:cs="Times New Roman"/>
          <w:color w:val="000000"/>
          <w:sz w:val="23"/>
          <w:szCs w:val="24"/>
          <w:lang w:eastAsia="en-ZW"/>
        </w:rPr>
        <w:t xml:space="preserve"> of Maseko Law Chambers, the applicant`s legal practitioners of record </w:t>
      </w:r>
      <w:r w:rsidR="00D871ED">
        <w:rPr>
          <w:rFonts w:ascii="Times New Roman" w:eastAsia="Times New Roman" w:hAnsi="Times New Roman" w:cs="Times New Roman"/>
          <w:color w:val="000000"/>
          <w:sz w:val="23"/>
          <w:szCs w:val="24"/>
          <w:lang w:eastAsia="en-ZW"/>
        </w:rPr>
        <w:t xml:space="preserve">and appearing counsel, </w:t>
      </w:r>
      <w:r>
        <w:rPr>
          <w:rFonts w:ascii="Times New Roman" w:eastAsia="Times New Roman" w:hAnsi="Times New Roman" w:cs="Times New Roman"/>
          <w:color w:val="000000"/>
          <w:sz w:val="23"/>
          <w:szCs w:val="24"/>
          <w:lang w:eastAsia="en-ZW"/>
        </w:rPr>
        <w:t xml:space="preserve">confirmed this mishap.  </w:t>
      </w:r>
    </w:p>
    <w:p w14:paraId="0A09AD18" w14:textId="12BEBCE9" w:rsidR="00BF3270" w:rsidRDefault="00BF3270" w:rsidP="00BF3270">
      <w:pPr>
        <w:spacing w:line="360" w:lineRule="auto"/>
        <w:jc w:val="both"/>
        <w:rPr>
          <w:rFonts w:ascii="Times New Roman" w:eastAsia="Times New Roman" w:hAnsi="Times New Roman" w:cs="Times New Roman"/>
          <w:color w:val="000000"/>
          <w:sz w:val="23"/>
          <w:szCs w:val="24"/>
          <w:lang w:eastAsia="en-ZW"/>
        </w:rPr>
      </w:pPr>
      <w:r>
        <w:rPr>
          <w:rFonts w:ascii="Times New Roman" w:eastAsia="Times New Roman" w:hAnsi="Times New Roman" w:cs="Times New Roman"/>
          <w:color w:val="000000"/>
          <w:sz w:val="23"/>
          <w:szCs w:val="24"/>
          <w:lang w:eastAsia="en-ZW"/>
        </w:rPr>
        <w:t>[</w:t>
      </w:r>
      <w:r w:rsidR="005E766C">
        <w:rPr>
          <w:rFonts w:ascii="Times New Roman" w:eastAsia="Times New Roman" w:hAnsi="Times New Roman" w:cs="Times New Roman"/>
          <w:color w:val="000000"/>
          <w:sz w:val="23"/>
          <w:szCs w:val="24"/>
          <w:lang w:eastAsia="en-ZW"/>
        </w:rPr>
        <w:t>6</w:t>
      </w:r>
      <w:r>
        <w:rPr>
          <w:rFonts w:ascii="Times New Roman" w:eastAsia="Times New Roman" w:hAnsi="Times New Roman" w:cs="Times New Roman"/>
          <w:color w:val="000000"/>
          <w:sz w:val="23"/>
          <w:szCs w:val="24"/>
          <w:lang w:eastAsia="en-ZW"/>
        </w:rPr>
        <w:t xml:space="preserve">] Mr </w:t>
      </w:r>
      <w:r w:rsidRPr="00D871ED">
        <w:rPr>
          <w:rFonts w:ascii="Times New Roman" w:eastAsia="Times New Roman" w:hAnsi="Times New Roman" w:cs="Times New Roman"/>
          <w:i/>
          <w:iCs/>
          <w:color w:val="000000"/>
          <w:sz w:val="23"/>
          <w:szCs w:val="24"/>
          <w:lang w:eastAsia="en-ZW"/>
        </w:rPr>
        <w:t xml:space="preserve">Nare </w:t>
      </w:r>
      <w:r>
        <w:rPr>
          <w:rFonts w:ascii="Times New Roman" w:eastAsia="Times New Roman" w:hAnsi="Times New Roman" w:cs="Times New Roman"/>
          <w:color w:val="000000"/>
          <w:sz w:val="23"/>
          <w:szCs w:val="24"/>
          <w:lang w:eastAsia="en-ZW"/>
        </w:rPr>
        <w:t>for the applicant, urged the court to treat the breach as a pardonable inadvertence which did not amount to gross will derelict. Neither on his part nor that of his client. Counsel further drew attention to the diligence with which applicant had prosecuted its defence up to the point. The failure to attend the case management conference was clearly out of character, he further submitted.</w:t>
      </w:r>
    </w:p>
    <w:p w14:paraId="30421A08" w14:textId="6BC4B808" w:rsidR="00BF3270" w:rsidRDefault="00BF3270" w:rsidP="00BF3270">
      <w:pPr>
        <w:spacing w:line="360" w:lineRule="auto"/>
        <w:jc w:val="both"/>
        <w:rPr>
          <w:rFonts w:ascii="Times New Roman" w:eastAsia="Times New Roman" w:hAnsi="Times New Roman" w:cs="Times New Roman"/>
          <w:color w:val="000000"/>
          <w:sz w:val="23"/>
          <w:szCs w:val="24"/>
          <w:lang w:eastAsia="en-ZW"/>
        </w:rPr>
      </w:pPr>
      <w:r>
        <w:rPr>
          <w:rFonts w:ascii="Times New Roman" w:eastAsia="Times New Roman" w:hAnsi="Times New Roman" w:cs="Times New Roman"/>
          <w:color w:val="000000"/>
          <w:sz w:val="23"/>
          <w:szCs w:val="24"/>
          <w:lang w:eastAsia="en-ZW"/>
        </w:rPr>
        <w:t>[</w:t>
      </w:r>
      <w:r w:rsidR="005E766C">
        <w:rPr>
          <w:rFonts w:ascii="Times New Roman" w:eastAsia="Times New Roman" w:hAnsi="Times New Roman" w:cs="Times New Roman"/>
          <w:color w:val="000000"/>
          <w:sz w:val="23"/>
          <w:szCs w:val="24"/>
          <w:lang w:eastAsia="en-ZW"/>
        </w:rPr>
        <w:t>7</w:t>
      </w:r>
      <w:r>
        <w:rPr>
          <w:rFonts w:ascii="Times New Roman" w:eastAsia="Times New Roman" w:hAnsi="Times New Roman" w:cs="Times New Roman"/>
          <w:color w:val="000000"/>
          <w:sz w:val="23"/>
          <w:szCs w:val="24"/>
          <w:lang w:eastAsia="en-ZW"/>
        </w:rPr>
        <w:t xml:space="preserve">] Mr </w:t>
      </w:r>
      <w:r w:rsidR="00D871ED" w:rsidRPr="00D871ED">
        <w:rPr>
          <w:rFonts w:ascii="Times New Roman" w:eastAsia="Times New Roman" w:hAnsi="Times New Roman" w:cs="Times New Roman"/>
          <w:i/>
          <w:iCs/>
          <w:color w:val="000000"/>
          <w:sz w:val="23"/>
          <w:szCs w:val="24"/>
          <w:lang w:eastAsia="en-ZW"/>
        </w:rPr>
        <w:t>Chimusaru</w:t>
      </w:r>
      <w:r>
        <w:rPr>
          <w:rFonts w:ascii="Times New Roman" w:eastAsia="Times New Roman" w:hAnsi="Times New Roman" w:cs="Times New Roman"/>
          <w:color w:val="000000"/>
          <w:sz w:val="23"/>
          <w:szCs w:val="24"/>
          <w:lang w:eastAsia="en-ZW"/>
        </w:rPr>
        <w:t xml:space="preserve"> </w:t>
      </w:r>
      <w:r w:rsidR="00D871ED">
        <w:rPr>
          <w:rFonts w:ascii="Times New Roman" w:eastAsia="Times New Roman" w:hAnsi="Times New Roman" w:cs="Times New Roman"/>
          <w:color w:val="000000"/>
          <w:sz w:val="23"/>
          <w:szCs w:val="24"/>
          <w:lang w:eastAsia="en-ZW"/>
        </w:rPr>
        <w:t xml:space="preserve">the respondent, </w:t>
      </w:r>
      <w:r>
        <w:rPr>
          <w:rFonts w:ascii="Times New Roman" w:eastAsia="Times New Roman" w:hAnsi="Times New Roman" w:cs="Times New Roman"/>
          <w:color w:val="000000"/>
          <w:sz w:val="23"/>
          <w:szCs w:val="24"/>
          <w:lang w:eastAsia="en-ZW"/>
        </w:rPr>
        <w:t>took a different view. He dismissed the explanation tendered by applicant for its failure to meet the pre-trial case management conference. Counsel took the trouble to walk through the features and facilities in the IECMS system in a bid to expose applicant`s explanation as insincere. The system, counsel submitted, offered several notification options apart from the email platform. These included system notifications as well as portal alerts which informed parties of any filing or updates on the case portal.</w:t>
      </w:r>
    </w:p>
    <w:p w14:paraId="63F6AF14" w14:textId="74D50CE7" w:rsidR="00BF3270" w:rsidRDefault="00BF3270" w:rsidP="002153A9">
      <w:pPr>
        <w:spacing w:line="360" w:lineRule="auto"/>
        <w:jc w:val="both"/>
        <w:rPr>
          <w:rFonts w:ascii="Times New Roman" w:eastAsia="Times New Roman" w:hAnsi="Times New Roman" w:cs="Times New Roman"/>
          <w:color w:val="000000"/>
          <w:sz w:val="23"/>
          <w:szCs w:val="24"/>
          <w:lang w:eastAsia="en-ZW"/>
        </w:rPr>
      </w:pPr>
      <w:r>
        <w:rPr>
          <w:rFonts w:ascii="Times New Roman" w:eastAsia="Times New Roman" w:hAnsi="Times New Roman" w:cs="Times New Roman"/>
          <w:color w:val="000000"/>
          <w:sz w:val="23"/>
          <w:szCs w:val="24"/>
          <w:lang w:eastAsia="en-ZW"/>
        </w:rPr>
        <w:lastRenderedPageBreak/>
        <w:t>[</w:t>
      </w:r>
      <w:r w:rsidR="005E766C">
        <w:rPr>
          <w:rFonts w:ascii="Times New Roman" w:eastAsia="Times New Roman" w:hAnsi="Times New Roman" w:cs="Times New Roman"/>
          <w:color w:val="000000"/>
          <w:sz w:val="23"/>
          <w:szCs w:val="24"/>
          <w:lang w:eastAsia="en-ZW"/>
        </w:rPr>
        <w:t>8</w:t>
      </w:r>
      <w:r>
        <w:rPr>
          <w:rFonts w:ascii="Times New Roman" w:eastAsia="Times New Roman" w:hAnsi="Times New Roman" w:cs="Times New Roman"/>
          <w:color w:val="000000"/>
          <w:sz w:val="23"/>
          <w:szCs w:val="24"/>
          <w:lang w:eastAsia="en-ZW"/>
        </w:rPr>
        <w:t>] Any reasonably diligent legal practitioner who invested time to periodically check on case progress, as they ought to, would not miss alerts such as the notification under discussion. I</w:t>
      </w:r>
      <w:r w:rsidR="00D871ED">
        <w:rPr>
          <w:rFonts w:ascii="Times New Roman" w:eastAsia="Times New Roman" w:hAnsi="Times New Roman" w:cs="Times New Roman"/>
          <w:color w:val="000000"/>
          <w:sz w:val="23"/>
          <w:szCs w:val="24"/>
          <w:lang w:eastAsia="en-ZW"/>
        </w:rPr>
        <w:t>n</w:t>
      </w:r>
      <w:r>
        <w:rPr>
          <w:rFonts w:ascii="Times New Roman" w:eastAsia="Times New Roman" w:hAnsi="Times New Roman" w:cs="Times New Roman"/>
          <w:color w:val="000000"/>
          <w:sz w:val="23"/>
          <w:szCs w:val="24"/>
          <w:lang w:eastAsia="en-ZW"/>
        </w:rPr>
        <w:t xml:space="preserve"> any event, r 10 (3) of the Commercial Court Rules required a defendant to furnish not one but 2 email addresses. The purpose being to mitigate the very risk which befell the applicant.</w:t>
      </w:r>
    </w:p>
    <w:p w14:paraId="1A670B16" w14:textId="68FBA94E" w:rsidR="00BF3270" w:rsidRDefault="00BF3270" w:rsidP="002153A9">
      <w:pPr>
        <w:spacing w:line="360" w:lineRule="auto"/>
        <w:jc w:val="both"/>
        <w:rPr>
          <w:rFonts w:ascii="Times New Roman" w:eastAsia="Times New Roman" w:hAnsi="Times New Roman" w:cs="Times New Roman"/>
          <w:color w:val="000000"/>
          <w:sz w:val="23"/>
          <w:szCs w:val="24"/>
          <w:lang w:eastAsia="en-ZW"/>
        </w:rPr>
      </w:pPr>
      <w:r>
        <w:rPr>
          <w:rFonts w:ascii="Times New Roman" w:eastAsia="Times New Roman" w:hAnsi="Times New Roman" w:cs="Times New Roman"/>
          <w:color w:val="000000"/>
          <w:sz w:val="23"/>
          <w:szCs w:val="24"/>
          <w:lang w:eastAsia="en-ZW"/>
        </w:rPr>
        <w:t>WERE THE LEGAL PRACTIONERS IN DERELICT?</w:t>
      </w:r>
    </w:p>
    <w:p w14:paraId="371D88E5" w14:textId="04CAF3FF" w:rsidR="00240E3D" w:rsidRDefault="00BF3270" w:rsidP="00240E3D">
      <w:pPr>
        <w:spacing w:line="360" w:lineRule="auto"/>
        <w:jc w:val="both"/>
        <w:rPr>
          <w:rFonts w:ascii="Times New Roman" w:eastAsia="Calibri" w:hAnsi="Times New Roman" w:cs="Times New Roman"/>
          <w:iCs/>
          <w:kern w:val="0"/>
          <w:sz w:val="24"/>
          <w:szCs w:val="24"/>
          <w14:ligatures w14:val="none"/>
        </w:rPr>
      </w:pPr>
      <w:r>
        <w:rPr>
          <w:rFonts w:ascii="Times New Roman" w:eastAsia="Times New Roman" w:hAnsi="Times New Roman" w:cs="Times New Roman"/>
          <w:color w:val="000000"/>
          <w:sz w:val="23"/>
          <w:szCs w:val="24"/>
          <w:lang w:eastAsia="en-ZW"/>
        </w:rPr>
        <w:t>[</w:t>
      </w:r>
      <w:r w:rsidR="005E766C">
        <w:rPr>
          <w:rFonts w:ascii="Times New Roman" w:eastAsia="Times New Roman" w:hAnsi="Times New Roman" w:cs="Times New Roman"/>
          <w:color w:val="000000"/>
          <w:sz w:val="23"/>
          <w:szCs w:val="24"/>
          <w:lang w:eastAsia="en-ZW"/>
        </w:rPr>
        <w:t>9</w:t>
      </w:r>
      <w:r>
        <w:rPr>
          <w:rFonts w:ascii="Times New Roman" w:eastAsia="Times New Roman" w:hAnsi="Times New Roman" w:cs="Times New Roman"/>
          <w:color w:val="000000"/>
          <w:sz w:val="23"/>
          <w:szCs w:val="24"/>
          <w:lang w:eastAsia="en-ZW"/>
        </w:rPr>
        <w:t xml:space="preserve">] There are 2 issues to consider in disposing of this point. Firstly were the applicant`s legal practitioners in derelict of duty? Secondly </w:t>
      </w:r>
      <w:r w:rsidR="00D871ED">
        <w:rPr>
          <w:rFonts w:ascii="Times New Roman" w:eastAsia="Times New Roman" w:hAnsi="Times New Roman" w:cs="Times New Roman"/>
          <w:color w:val="000000"/>
          <w:sz w:val="23"/>
          <w:szCs w:val="24"/>
          <w:lang w:eastAsia="en-ZW"/>
        </w:rPr>
        <w:t xml:space="preserve">if so, </w:t>
      </w:r>
      <w:r>
        <w:rPr>
          <w:rFonts w:ascii="Times New Roman" w:eastAsia="Times New Roman" w:hAnsi="Times New Roman" w:cs="Times New Roman"/>
          <w:color w:val="000000"/>
          <w:sz w:val="23"/>
          <w:szCs w:val="24"/>
          <w:lang w:eastAsia="en-ZW"/>
        </w:rPr>
        <w:t xml:space="preserve">the extent thereof and thirdly, whether the said proverbial legal practitioners` sins could be visited on the </w:t>
      </w:r>
      <w:r w:rsidR="00240E3D">
        <w:rPr>
          <w:rFonts w:ascii="Times New Roman" w:eastAsia="Times New Roman" w:hAnsi="Times New Roman" w:cs="Times New Roman"/>
          <w:color w:val="000000"/>
          <w:sz w:val="23"/>
          <w:szCs w:val="24"/>
          <w:lang w:eastAsia="en-ZW"/>
        </w:rPr>
        <w:t xml:space="preserve">applicant.  </w:t>
      </w:r>
      <w:r w:rsidR="00240E3D" w:rsidRPr="005A3CEA">
        <w:rPr>
          <w:rFonts w:ascii="Times New Roman" w:eastAsia="Times New Roman" w:hAnsi="Times New Roman" w:cs="Times New Roman"/>
          <w:color w:val="000000"/>
          <w:lang w:eastAsia="en-ZW"/>
        </w:rPr>
        <w:t>SANDURA JA</w:t>
      </w:r>
      <w:r w:rsidR="00240E3D">
        <w:rPr>
          <w:rFonts w:ascii="Times New Roman" w:eastAsia="Times New Roman" w:hAnsi="Times New Roman" w:cs="Times New Roman"/>
          <w:color w:val="000000"/>
          <w:sz w:val="23"/>
          <w:szCs w:val="24"/>
          <w:lang w:eastAsia="en-ZW"/>
        </w:rPr>
        <w:t xml:space="preserve"> dwelt on this aspect at length in </w:t>
      </w:r>
      <w:r w:rsidR="00240E3D" w:rsidRPr="00D871ED">
        <w:rPr>
          <w:rFonts w:ascii="Times New Roman" w:eastAsia="Times New Roman" w:hAnsi="Times New Roman" w:cs="Times New Roman"/>
          <w:i/>
          <w:iCs/>
          <w:color w:val="000000"/>
          <w:sz w:val="23"/>
          <w:szCs w:val="24"/>
          <w:lang w:eastAsia="en-ZW"/>
        </w:rPr>
        <w:t>Beitbridge</w:t>
      </w:r>
      <w:r w:rsidR="00240E3D" w:rsidRPr="00D871ED">
        <w:rPr>
          <w:rFonts w:ascii="Times New Roman" w:eastAsia="Calibri" w:hAnsi="Times New Roman" w:cs="Times New Roman"/>
          <w:i/>
          <w:iCs/>
          <w:kern w:val="0"/>
          <w:sz w:val="24"/>
          <w:szCs w:val="24"/>
          <w14:ligatures w14:val="none"/>
        </w:rPr>
        <w:t xml:space="preserve"> R</w:t>
      </w:r>
      <w:r w:rsidR="00240E3D" w:rsidRPr="00240E3D">
        <w:rPr>
          <w:rFonts w:ascii="Times New Roman" w:eastAsia="Calibri" w:hAnsi="Times New Roman" w:cs="Times New Roman"/>
          <w:i/>
          <w:kern w:val="0"/>
          <w:sz w:val="24"/>
          <w:szCs w:val="24"/>
          <w14:ligatures w14:val="none"/>
        </w:rPr>
        <w:t xml:space="preserve">ural District Council v Russell Construction Co </w:t>
      </w:r>
      <w:r w:rsidR="00240E3D" w:rsidRPr="008F3153">
        <w:rPr>
          <w:rFonts w:ascii="Times New Roman" w:eastAsia="Calibri" w:hAnsi="Times New Roman" w:cs="Times New Roman"/>
          <w:iCs/>
          <w:kern w:val="0"/>
          <w:sz w:val="24"/>
          <w:szCs w:val="24"/>
          <w14:ligatures w14:val="none"/>
        </w:rPr>
        <w:t>1998 (2) ZLR 190(S).</w:t>
      </w:r>
      <w:r w:rsidR="00240E3D" w:rsidRPr="00240E3D">
        <w:rPr>
          <w:rFonts w:ascii="Times New Roman" w:eastAsia="Calibri" w:hAnsi="Times New Roman" w:cs="Times New Roman"/>
          <w:i/>
          <w:kern w:val="0"/>
          <w:sz w:val="24"/>
          <w:szCs w:val="24"/>
          <w14:ligatures w14:val="none"/>
        </w:rPr>
        <w:t xml:space="preserve"> </w:t>
      </w:r>
      <w:r w:rsidR="00240E3D" w:rsidRPr="008F3153">
        <w:rPr>
          <w:rFonts w:ascii="Times New Roman" w:eastAsia="Calibri" w:hAnsi="Times New Roman" w:cs="Times New Roman"/>
          <w:iCs/>
          <w:kern w:val="0"/>
          <w:sz w:val="24"/>
          <w:szCs w:val="24"/>
          <w14:ligatures w14:val="none"/>
        </w:rPr>
        <w:t xml:space="preserve">Citing with approval, the remarks of </w:t>
      </w:r>
      <w:r w:rsidR="00240E3D" w:rsidRPr="005A3CEA">
        <w:rPr>
          <w:rFonts w:ascii="Times New Roman" w:eastAsia="Calibri" w:hAnsi="Times New Roman" w:cs="Times New Roman"/>
          <w:iCs/>
          <w:kern w:val="0"/>
          <w14:ligatures w14:val="none"/>
        </w:rPr>
        <w:t>DUMBUTSHENA</w:t>
      </w:r>
      <w:r w:rsidR="00240E3D" w:rsidRPr="005A3CEA">
        <w:rPr>
          <w:rFonts w:ascii="Times New Roman" w:eastAsia="Calibri" w:hAnsi="Times New Roman" w:cs="Times New Roman"/>
          <w:i/>
          <w:kern w:val="0"/>
          <w14:ligatures w14:val="none"/>
        </w:rPr>
        <w:t xml:space="preserve"> </w:t>
      </w:r>
      <w:r w:rsidR="00240E3D" w:rsidRPr="005A3CEA">
        <w:rPr>
          <w:rFonts w:ascii="Times New Roman" w:eastAsia="Calibri" w:hAnsi="Times New Roman" w:cs="Times New Roman"/>
          <w:iCs/>
          <w:kern w:val="0"/>
          <w14:ligatures w14:val="none"/>
        </w:rPr>
        <w:t>CJ</w:t>
      </w:r>
      <w:r w:rsidR="008F3153" w:rsidRPr="008F3153">
        <w:rPr>
          <w:rFonts w:ascii="Times New Roman" w:eastAsia="Calibri" w:hAnsi="Times New Roman" w:cs="Times New Roman"/>
          <w:iCs/>
          <w:kern w:val="0"/>
          <w:sz w:val="24"/>
          <w:szCs w:val="24"/>
          <w14:ligatures w14:val="none"/>
        </w:rPr>
        <w:t>,</w:t>
      </w:r>
      <w:r w:rsidR="00240E3D" w:rsidRPr="008F3153">
        <w:rPr>
          <w:rFonts w:ascii="Times New Roman" w:eastAsia="Calibri" w:hAnsi="Times New Roman" w:cs="Times New Roman"/>
          <w:iCs/>
          <w:kern w:val="0"/>
          <w:sz w:val="24"/>
          <w:szCs w:val="24"/>
          <w14:ligatures w14:val="none"/>
        </w:rPr>
        <w:t xml:space="preserve"> the Learned Judge</w:t>
      </w:r>
      <w:r w:rsidR="00240E3D" w:rsidRPr="00240E3D">
        <w:rPr>
          <w:rFonts w:ascii="Times New Roman" w:eastAsia="Calibri" w:hAnsi="Times New Roman" w:cs="Times New Roman"/>
          <w:iCs/>
          <w:kern w:val="0"/>
          <w:sz w:val="24"/>
          <w:szCs w:val="24"/>
          <w14:ligatures w14:val="none"/>
        </w:rPr>
        <w:t xml:space="preserve"> of Appeal held as follows at 193A-B; -</w:t>
      </w:r>
    </w:p>
    <w:p w14:paraId="718F1A3A" w14:textId="1EA546E1" w:rsidR="00240E3D" w:rsidRPr="00240E3D" w:rsidRDefault="00240E3D" w:rsidP="008F3153">
      <w:pPr>
        <w:pStyle w:val="Default"/>
        <w:spacing w:line="360" w:lineRule="auto"/>
        <w:ind w:left="567"/>
        <w:jc w:val="both"/>
        <w:rPr>
          <w:rFonts w:eastAsia="Calibri"/>
          <w:iCs/>
          <w14:ligatures w14:val="none"/>
        </w:rPr>
      </w:pPr>
      <w:r w:rsidRPr="008F3153">
        <w:t xml:space="preserve">“In </w:t>
      </w:r>
      <w:r w:rsidRPr="008F3153">
        <w:rPr>
          <w:i/>
          <w:iCs/>
        </w:rPr>
        <w:t xml:space="preserve">S v McNab </w:t>
      </w:r>
      <w:r w:rsidRPr="008F3153">
        <w:t xml:space="preserve">1986 (2) ZLR 280 (S), Dumbutshena CJ considered whether a party should be punished for the negligence of his legal practitioner and had this to say at 284A-E: In my view, clients should in such cases suffer for the negligence of their legal practitioners. I share the view expressed by Steyn CJ in </w:t>
      </w:r>
      <w:r w:rsidRPr="008F3153">
        <w:rPr>
          <w:i/>
          <w:iCs/>
        </w:rPr>
        <w:t xml:space="preserve">Saloojee &amp; Anor NNO v Minister of Community Development </w:t>
      </w:r>
      <w:r w:rsidRPr="008F3153">
        <w:t xml:space="preserve">supra at 141C-E when he said: “There is a limit beyond which a litigant cannot escape the result of his </w:t>
      </w:r>
      <w:r w:rsidR="008F3153" w:rsidRPr="008F3153">
        <w:t>attorney ‘</w:t>
      </w:r>
      <w:r w:rsidRPr="008F3153">
        <w:t>s lack of diligence or the insufficiency of the explanation tendered. To hold otherwise, might have a disastrous effect upon the observance of the rules of this court.</w:t>
      </w:r>
      <w:r w:rsidR="008F3153">
        <w:t>”</w:t>
      </w:r>
    </w:p>
    <w:p w14:paraId="135A8403" w14:textId="5A644899" w:rsidR="00BF3270" w:rsidRDefault="00BF3270" w:rsidP="002153A9">
      <w:pPr>
        <w:spacing w:line="360" w:lineRule="auto"/>
        <w:jc w:val="both"/>
        <w:rPr>
          <w:rFonts w:ascii="Times New Roman" w:eastAsia="Times New Roman" w:hAnsi="Times New Roman" w:cs="Times New Roman"/>
          <w:color w:val="000000"/>
          <w:sz w:val="23"/>
          <w:szCs w:val="24"/>
          <w:lang w:eastAsia="en-ZW"/>
        </w:rPr>
      </w:pPr>
    </w:p>
    <w:p w14:paraId="3EEF4022" w14:textId="1757C7CD" w:rsidR="0075239F" w:rsidRDefault="00BF3270" w:rsidP="002153A9">
      <w:pPr>
        <w:spacing w:line="360" w:lineRule="auto"/>
        <w:jc w:val="both"/>
        <w:rPr>
          <w:rFonts w:ascii="Times New Roman" w:eastAsia="Times New Roman" w:hAnsi="Times New Roman" w:cs="Times New Roman"/>
          <w:color w:val="000000"/>
          <w:sz w:val="23"/>
          <w:szCs w:val="24"/>
          <w:lang w:eastAsia="en-ZW"/>
        </w:rPr>
      </w:pPr>
      <w:r>
        <w:rPr>
          <w:rFonts w:ascii="Times New Roman" w:eastAsia="Times New Roman" w:hAnsi="Times New Roman" w:cs="Times New Roman"/>
          <w:color w:val="000000"/>
          <w:sz w:val="23"/>
          <w:szCs w:val="24"/>
          <w:lang w:eastAsia="en-ZW"/>
        </w:rPr>
        <w:t>[1</w:t>
      </w:r>
      <w:r w:rsidR="005E766C">
        <w:rPr>
          <w:rFonts w:ascii="Times New Roman" w:eastAsia="Times New Roman" w:hAnsi="Times New Roman" w:cs="Times New Roman"/>
          <w:color w:val="000000"/>
          <w:sz w:val="23"/>
          <w:szCs w:val="24"/>
          <w:lang w:eastAsia="en-ZW"/>
        </w:rPr>
        <w:t>0</w:t>
      </w:r>
      <w:r>
        <w:rPr>
          <w:rFonts w:ascii="Times New Roman" w:eastAsia="Times New Roman" w:hAnsi="Times New Roman" w:cs="Times New Roman"/>
          <w:color w:val="000000"/>
          <w:sz w:val="23"/>
          <w:szCs w:val="24"/>
          <w:lang w:eastAsia="en-ZW"/>
        </w:rPr>
        <w:t xml:space="preserve">] The observations by Mr. </w:t>
      </w:r>
      <w:r w:rsidRPr="00D871ED">
        <w:rPr>
          <w:rFonts w:ascii="Times New Roman" w:eastAsia="Times New Roman" w:hAnsi="Times New Roman" w:cs="Times New Roman"/>
          <w:i/>
          <w:iCs/>
          <w:color w:val="000000"/>
          <w:sz w:val="23"/>
          <w:szCs w:val="24"/>
          <w:lang w:eastAsia="en-ZW"/>
        </w:rPr>
        <w:t>Chimusar</w:t>
      </w:r>
      <w:r w:rsidR="00D871ED">
        <w:rPr>
          <w:rFonts w:ascii="Times New Roman" w:eastAsia="Times New Roman" w:hAnsi="Times New Roman" w:cs="Times New Roman"/>
          <w:i/>
          <w:iCs/>
          <w:color w:val="000000"/>
          <w:sz w:val="23"/>
          <w:szCs w:val="24"/>
          <w:lang w:eastAsia="en-ZW"/>
        </w:rPr>
        <w:t>u</w:t>
      </w:r>
      <w:r w:rsidRPr="00D871ED">
        <w:rPr>
          <w:rFonts w:ascii="Times New Roman" w:eastAsia="Times New Roman" w:hAnsi="Times New Roman" w:cs="Times New Roman"/>
          <w:i/>
          <w:iCs/>
          <w:color w:val="000000"/>
          <w:sz w:val="23"/>
          <w:szCs w:val="24"/>
          <w:lang w:eastAsia="en-ZW"/>
        </w:rPr>
        <w:t xml:space="preserve"> </w:t>
      </w:r>
      <w:r>
        <w:rPr>
          <w:rFonts w:ascii="Times New Roman" w:eastAsia="Times New Roman" w:hAnsi="Times New Roman" w:cs="Times New Roman"/>
          <w:color w:val="000000"/>
          <w:sz w:val="23"/>
          <w:szCs w:val="24"/>
          <w:lang w:eastAsia="en-ZW"/>
        </w:rPr>
        <w:t xml:space="preserve">relate to the standard to apply in reviewing explanations such as the one tendered to explain the applicant`s default. I am fully </w:t>
      </w:r>
      <w:r w:rsidR="0075239F">
        <w:rPr>
          <w:rFonts w:ascii="Times New Roman" w:eastAsia="Times New Roman" w:hAnsi="Times New Roman" w:cs="Times New Roman"/>
          <w:color w:val="000000"/>
          <w:sz w:val="23"/>
          <w:szCs w:val="24"/>
          <w:lang w:eastAsia="en-ZW"/>
        </w:rPr>
        <w:t>persuaded</w:t>
      </w:r>
      <w:r>
        <w:rPr>
          <w:rFonts w:ascii="Times New Roman" w:eastAsia="Times New Roman" w:hAnsi="Times New Roman" w:cs="Times New Roman"/>
          <w:color w:val="000000"/>
          <w:sz w:val="23"/>
          <w:szCs w:val="24"/>
          <w:lang w:eastAsia="en-ZW"/>
        </w:rPr>
        <w:t xml:space="preserve"> by counsel`s argument that the </w:t>
      </w:r>
      <w:r w:rsidRPr="00D871ED">
        <w:rPr>
          <w:rFonts w:ascii="Times New Roman" w:eastAsia="Times New Roman" w:hAnsi="Times New Roman" w:cs="Times New Roman"/>
          <w:color w:val="000000"/>
          <w:lang w:eastAsia="en-ZW"/>
        </w:rPr>
        <w:t xml:space="preserve">IECMS </w:t>
      </w:r>
      <w:r>
        <w:rPr>
          <w:rFonts w:ascii="Times New Roman" w:eastAsia="Times New Roman" w:hAnsi="Times New Roman" w:cs="Times New Roman"/>
          <w:color w:val="000000"/>
          <w:sz w:val="23"/>
          <w:szCs w:val="24"/>
          <w:lang w:eastAsia="en-ZW"/>
        </w:rPr>
        <w:t xml:space="preserve">system has delivered several </w:t>
      </w:r>
      <w:r w:rsidR="0075239F">
        <w:rPr>
          <w:rFonts w:ascii="Times New Roman" w:eastAsia="Times New Roman" w:hAnsi="Times New Roman" w:cs="Times New Roman"/>
          <w:color w:val="000000"/>
          <w:sz w:val="23"/>
          <w:szCs w:val="24"/>
          <w:lang w:eastAsia="en-ZW"/>
        </w:rPr>
        <w:t>conveniences</w:t>
      </w:r>
      <w:r>
        <w:rPr>
          <w:rFonts w:ascii="Times New Roman" w:eastAsia="Times New Roman" w:hAnsi="Times New Roman" w:cs="Times New Roman"/>
          <w:color w:val="000000"/>
          <w:sz w:val="23"/>
          <w:szCs w:val="24"/>
          <w:lang w:eastAsia="en-ZW"/>
        </w:rPr>
        <w:t xml:space="preserve"> which ought </w:t>
      </w:r>
      <w:r w:rsidR="0075239F">
        <w:rPr>
          <w:rFonts w:ascii="Times New Roman" w:eastAsia="Times New Roman" w:hAnsi="Times New Roman" w:cs="Times New Roman"/>
          <w:color w:val="000000"/>
          <w:sz w:val="23"/>
          <w:szCs w:val="24"/>
          <w:lang w:eastAsia="en-ZW"/>
        </w:rPr>
        <w:t>to</w:t>
      </w:r>
      <w:r>
        <w:rPr>
          <w:rFonts w:ascii="Times New Roman" w:eastAsia="Times New Roman" w:hAnsi="Times New Roman" w:cs="Times New Roman"/>
          <w:color w:val="000000"/>
          <w:sz w:val="23"/>
          <w:szCs w:val="24"/>
          <w:lang w:eastAsia="en-ZW"/>
        </w:rPr>
        <w:t xml:space="preserve"> eliminate </w:t>
      </w:r>
      <w:r w:rsidR="0075239F">
        <w:rPr>
          <w:rFonts w:ascii="Times New Roman" w:eastAsia="Times New Roman" w:hAnsi="Times New Roman" w:cs="Times New Roman"/>
          <w:color w:val="000000"/>
          <w:sz w:val="23"/>
          <w:szCs w:val="24"/>
          <w:lang w:eastAsia="en-ZW"/>
        </w:rPr>
        <w:t xml:space="preserve">the inadvertences which bedevilled case management in the past. It would thus be a travesty if the courts and litigants remained stuck in </w:t>
      </w:r>
      <w:r>
        <w:rPr>
          <w:rFonts w:ascii="Times New Roman" w:eastAsia="Times New Roman" w:hAnsi="Times New Roman" w:cs="Times New Roman"/>
          <w:color w:val="000000"/>
          <w:sz w:val="23"/>
          <w:szCs w:val="24"/>
          <w:lang w:eastAsia="en-ZW"/>
        </w:rPr>
        <w:t xml:space="preserve">the </w:t>
      </w:r>
      <w:r w:rsidR="0075239F">
        <w:rPr>
          <w:rFonts w:ascii="Times New Roman" w:eastAsia="Times New Roman" w:hAnsi="Times New Roman" w:cs="Times New Roman"/>
          <w:color w:val="000000"/>
          <w:sz w:val="23"/>
          <w:szCs w:val="24"/>
          <w:lang w:eastAsia="en-ZW"/>
        </w:rPr>
        <w:t xml:space="preserve">adversities of yesteryear in the face of a handy facility to overcome such. (See </w:t>
      </w:r>
      <w:r w:rsidR="008F3153" w:rsidRPr="008F3153">
        <w:rPr>
          <w:rFonts w:ascii="Times New Roman" w:eastAsia="Times New Roman" w:hAnsi="Times New Roman" w:cs="Times New Roman"/>
          <w:i/>
          <w:iCs/>
          <w:color w:val="000000"/>
          <w:sz w:val="23"/>
          <w:szCs w:val="24"/>
          <w:lang w:eastAsia="en-ZW"/>
        </w:rPr>
        <w:t>Zimbank v Masendeke</w:t>
      </w:r>
      <w:r w:rsidR="008F3153">
        <w:rPr>
          <w:rFonts w:ascii="Times New Roman" w:eastAsia="Times New Roman" w:hAnsi="Times New Roman" w:cs="Times New Roman"/>
          <w:color w:val="000000"/>
          <w:sz w:val="23"/>
          <w:szCs w:val="24"/>
          <w:lang w:eastAsia="en-ZW"/>
        </w:rPr>
        <w:t xml:space="preserve"> (supra</w:t>
      </w:r>
      <w:r w:rsidR="0075239F">
        <w:rPr>
          <w:rFonts w:ascii="Times New Roman" w:eastAsia="Times New Roman" w:hAnsi="Times New Roman" w:cs="Times New Roman"/>
          <w:color w:val="000000"/>
          <w:sz w:val="23"/>
          <w:szCs w:val="24"/>
          <w:lang w:eastAsia="en-ZW"/>
        </w:rPr>
        <w:t>)</w:t>
      </w:r>
      <w:r w:rsidR="00D871ED">
        <w:rPr>
          <w:rFonts w:ascii="Times New Roman" w:eastAsia="Times New Roman" w:hAnsi="Times New Roman" w:cs="Times New Roman"/>
          <w:color w:val="000000"/>
          <w:sz w:val="23"/>
          <w:szCs w:val="24"/>
          <w:lang w:eastAsia="en-ZW"/>
        </w:rPr>
        <w:t>)</w:t>
      </w:r>
      <w:r w:rsidR="0075239F">
        <w:rPr>
          <w:rFonts w:ascii="Times New Roman" w:eastAsia="Times New Roman" w:hAnsi="Times New Roman" w:cs="Times New Roman"/>
          <w:color w:val="000000"/>
          <w:sz w:val="23"/>
          <w:szCs w:val="24"/>
          <w:lang w:eastAsia="en-ZW"/>
        </w:rPr>
        <w:t>.</w:t>
      </w:r>
    </w:p>
    <w:p w14:paraId="6B9B3D39" w14:textId="45D40813" w:rsidR="0075239F" w:rsidRDefault="0075239F" w:rsidP="002153A9">
      <w:pPr>
        <w:spacing w:line="360" w:lineRule="auto"/>
        <w:jc w:val="both"/>
        <w:rPr>
          <w:rFonts w:ascii="Times New Roman" w:eastAsia="Times New Roman" w:hAnsi="Times New Roman" w:cs="Times New Roman"/>
          <w:color w:val="000000"/>
          <w:sz w:val="23"/>
          <w:szCs w:val="24"/>
          <w:lang w:eastAsia="en-ZW"/>
        </w:rPr>
      </w:pPr>
      <w:r>
        <w:rPr>
          <w:rFonts w:ascii="Times New Roman" w:eastAsia="Times New Roman" w:hAnsi="Times New Roman" w:cs="Times New Roman"/>
          <w:color w:val="000000"/>
          <w:sz w:val="23"/>
          <w:szCs w:val="24"/>
          <w:lang w:eastAsia="en-ZW"/>
        </w:rPr>
        <w:t>[1</w:t>
      </w:r>
      <w:r w:rsidR="005E766C">
        <w:rPr>
          <w:rFonts w:ascii="Times New Roman" w:eastAsia="Times New Roman" w:hAnsi="Times New Roman" w:cs="Times New Roman"/>
          <w:color w:val="000000"/>
          <w:sz w:val="23"/>
          <w:szCs w:val="24"/>
          <w:lang w:eastAsia="en-ZW"/>
        </w:rPr>
        <w:t>1</w:t>
      </w:r>
      <w:r>
        <w:rPr>
          <w:rFonts w:ascii="Times New Roman" w:eastAsia="Times New Roman" w:hAnsi="Times New Roman" w:cs="Times New Roman"/>
          <w:color w:val="000000"/>
          <w:sz w:val="23"/>
          <w:szCs w:val="24"/>
          <w:lang w:eastAsia="en-ZW"/>
        </w:rPr>
        <w:t xml:space="preserve">] In that respect, explanations and standards which may have found favour or clemency from the courts in the past </w:t>
      </w:r>
      <w:r w:rsidR="00D871ED">
        <w:rPr>
          <w:rFonts w:ascii="Times New Roman" w:eastAsia="Times New Roman" w:hAnsi="Times New Roman" w:cs="Times New Roman"/>
          <w:color w:val="000000"/>
          <w:sz w:val="23"/>
          <w:szCs w:val="24"/>
          <w:lang w:eastAsia="en-ZW"/>
        </w:rPr>
        <w:t xml:space="preserve">may very well </w:t>
      </w:r>
      <w:r>
        <w:rPr>
          <w:rFonts w:ascii="Times New Roman" w:eastAsia="Times New Roman" w:hAnsi="Times New Roman" w:cs="Times New Roman"/>
          <w:color w:val="000000"/>
          <w:sz w:val="23"/>
          <w:szCs w:val="24"/>
          <w:lang w:eastAsia="en-ZW"/>
        </w:rPr>
        <w:t xml:space="preserve">not avail </w:t>
      </w:r>
      <w:r w:rsidR="00D871ED">
        <w:rPr>
          <w:rFonts w:ascii="Times New Roman" w:eastAsia="Times New Roman" w:hAnsi="Times New Roman" w:cs="Times New Roman"/>
          <w:color w:val="000000"/>
          <w:sz w:val="23"/>
          <w:szCs w:val="24"/>
          <w:lang w:eastAsia="en-ZW"/>
        </w:rPr>
        <w:t xml:space="preserve">the present-day defaulter </w:t>
      </w:r>
      <w:r>
        <w:rPr>
          <w:rFonts w:ascii="Times New Roman" w:eastAsia="Times New Roman" w:hAnsi="Times New Roman" w:cs="Times New Roman"/>
          <w:color w:val="000000"/>
          <w:sz w:val="23"/>
          <w:szCs w:val="24"/>
          <w:lang w:eastAsia="en-ZW"/>
        </w:rPr>
        <w:t xml:space="preserve">given the new </w:t>
      </w:r>
      <w:r w:rsidR="00D871ED">
        <w:rPr>
          <w:rFonts w:ascii="Times New Roman" w:eastAsia="Times New Roman" w:hAnsi="Times New Roman" w:cs="Times New Roman"/>
          <w:color w:val="000000"/>
          <w:sz w:val="23"/>
          <w:szCs w:val="24"/>
          <w:lang w:eastAsia="en-ZW"/>
        </w:rPr>
        <w:t xml:space="preserve">functionalities available on the </w:t>
      </w:r>
      <w:r w:rsidR="00D871ED" w:rsidRPr="00D871ED">
        <w:rPr>
          <w:rFonts w:ascii="Times New Roman" w:eastAsia="Times New Roman" w:hAnsi="Times New Roman" w:cs="Times New Roman"/>
          <w:color w:val="000000"/>
          <w:lang w:eastAsia="en-ZW"/>
        </w:rPr>
        <w:t>IECMS</w:t>
      </w:r>
      <w:r w:rsidR="00D871ED">
        <w:rPr>
          <w:rFonts w:ascii="Times New Roman" w:eastAsia="Times New Roman" w:hAnsi="Times New Roman" w:cs="Times New Roman"/>
          <w:color w:val="000000"/>
          <w:sz w:val="23"/>
          <w:szCs w:val="24"/>
          <w:lang w:eastAsia="en-ZW"/>
        </w:rPr>
        <w:t xml:space="preserve"> </w:t>
      </w:r>
      <w:r>
        <w:rPr>
          <w:rFonts w:ascii="Times New Roman" w:eastAsia="Times New Roman" w:hAnsi="Times New Roman" w:cs="Times New Roman"/>
          <w:color w:val="000000"/>
          <w:sz w:val="23"/>
          <w:szCs w:val="24"/>
          <w:lang w:eastAsia="en-ZW"/>
        </w:rPr>
        <w:t xml:space="preserve">platform. In this regard, the explanation for failure to attend the pre-trial case management conference is unsustainable. The courts however tend to look </w:t>
      </w:r>
      <w:r w:rsidR="008F3153">
        <w:rPr>
          <w:rFonts w:ascii="Times New Roman" w:eastAsia="Times New Roman" w:hAnsi="Times New Roman" w:cs="Times New Roman"/>
          <w:color w:val="000000"/>
          <w:sz w:val="23"/>
          <w:szCs w:val="24"/>
          <w:lang w:eastAsia="en-ZW"/>
        </w:rPr>
        <w:t xml:space="preserve">at the extent and </w:t>
      </w:r>
      <w:r w:rsidR="008F3153">
        <w:rPr>
          <w:rFonts w:ascii="Times New Roman" w:eastAsia="Times New Roman" w:hAnsi="Times New Roman" w:cs="Times New Roman"/>
          <w:color w:val="000000"/>
          <w:sz w:val="23"/>
          <w:szCs w:val="24"/>
          <w:lang w:eastAsia="en-ZW"/>
        </w:rPr>
        <w:lastRenderedPageBreak/>
        <w:t xml:space="preserve">seriousness of the failing concerned. In </w:t>
      </w:r>
      <w:r w:rsidR="008F3153" w:rsidRPr="00D871ED">
        <w:rPr>
          <w:rFonts w:ascii="Times New Roman" w:eastAsia="Times New Roman" w:hAnsi="Times New Roman" w:cs="Times New Roman"/>
          <w:i/>
          <w:iCs/>
          <w:color w:val="000000"/>
          <w:sz w:val="23"/>
          <w:szCs w:val="24"/>
          <w:lang w:eastAsia="en-ZW"/>
        </w:rPr>
        <w:t>Friendship v Dick</w:t>
      </w:r>
      <w:r w:rsidR="008F3153">
        <w:rPr>
          <w:rFonts w:ascii="Times New Roman" w:eastAsia="Times New Roman" w:hAnsi="Times New Roman" w:cs="Times New Roman"/>
          <w:color w:val="000000"/>
          <w:sz w:val="23"/>
          <w:szCs w:val="24"/>
          <w:lang w:eastAsia="en-ZW"/>
        </w:rPr>
        <w:t xml:space="preserve"> HH 128-13, ZHOU J was confronted with the following situation and observed thus at page 3; -</w:t>
      </w:r>
    </w:p>
    <w:p w14:paraId="1ED354EB" w14:textId="34100EA0" w:rsidR="008F3153" w:rsidRPr="008F3153" w:rsidRDefault="008F3153" w:rsidP="008F3153">
      <w:pPr>
        <w:spacing w:after="200" w:line="360" w:lineRule="auto"/>
        <w:ind w:left="567"/>
        <w:jc w:val="both"/>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w:t>
      </w:r>
      <w:r w:rsidRPr="008F3153">
        <w:rPr>
          <w:rFonts w:ascii="Times New Roman" w:eastAsia="Calibri" w:hAnsi="Times New Roman" w:cs="Times New Roman"/>
          <w:kern w:val="0"/>
          <w:sz w:val="24"/>
          <w:szCs w:val="24"/>
          <w14:ligatures w14:val="none"/>
        </w:rPr>
        <w:t xml:space="preserve">This is a case in which the applicant flagrantly disregarded the requirements of the rules.  In such a case, particularly where there is no reasonable and acceptable explanation the indulgence of the court may be refused whatever the merits of the applicant’s case may be, even if the blame lies solely on the attorney as is alleged by the applicant.  </w:t>
      </w:r>
      <w:r w:rsidRPr="008F3153">
        <w:rPr>
          <w:rFonts w:ascii="Times New Roman" w:eastAsia="Calibri" w:hAnsi="Times New Roman" w:cs="Times New Roman"/>
          <w:i/>
          <w:kern w:val="0"/>
          <w:sz w:val="24"/>
          <w:szCs w:val="24"/>
          <w14:ligatures w14:val="none"/>
        </w:rPr>
        <w:t>Viking Woodwork (Pvt) Ltd v Blue Bells Enterprises (Pvt0 Ltd supra at 254D; Tshivhase Royal Council &amp; Anor v Tshivhase &amp; Anor, Tshivhase &amp; Anor v Tshivhase &amp; Anor 1992 (4) SA 852(A) at 859E-F</w:t>
      </w:r>
      <w:r w:rsidRPr="008F3153">
        <w:rPr>
          <w:rFonts w:ascii="Times New Roman" w:eastAsia="Calibri" w:hAnsi="Times New Roman" w:cs="Times New Roman"/>
          <w:kern w:val="0"/>
          <w:sz w:val="24"/>
          <w:szCs w:val="24"/>
          <w14:ligatures w14:val="none"/>
        </w:rPr>
        <w:t>.</w:t>
      </w:r>
      <w:r>
        <w:rPr>
          <w:rFonts w:ascii="Times New Roman" w:eastAsia="Calibri" w:hAnsi="Times New Roman" w:cs="Times New Roman"/>
          <w:kern w:val="0"/>
          <w:sz w:val="24"/>
          <w:szCs w:val="24"/>
          <w14:ligatures w14:val="none"/>
        </w:rPr>
        <w:t>”</w:t>
      </w:r>
    </w:p>
    <w:p w14:paraId="6C23517C" w14:textId="2A4BB80A" w:rsidR="00BF3270" w:rsidRDefault="008F3153" w:rsidP="002153A9">
      <w:pPr>
        <w:spacing w:line="360" w:lineRule="auto"/>
        <w:jc w:val="both"/>
        <w:rPr>
          <w:rFonts w:ascii="Times New Roman" w:eastAsia="Times New Roman" w:hAnsi="Times New Roman" w:cs="Times New Roman"/>
          <w:color w:val="000000"/>
          <w:sz w:val="23"/>
          <w:szCs w:val="24"/>
          <w:lang w:eastAsia="en-ZW"/>
        </w:rPr>
      </w:pPr>
      <w:r>
        <w:rPr>
          <w:rFonts w:ascii="Times New Roman" w:eastAsia="Times New Roman" w:hAnsi="Times New Roman" w:cs="Times New Roman"/>
          <w:color w:val="000000"/>
          <w:sz w:val="23"/>
          <w:szCs w:val="24"/>
          <w:lang w:eastAsia="en-ZW"/>
        </w:rPr>
        <w:t>[1</w:t>
      </w:r>
      <w:r w:rsidR="005E766C">
        <w:rPr>
          <w:rFonts w:ascii="Times New Roman" w:eastAsia="Times New Roman" w:hAnsi="Times New Roman" w:cs="Times New Roman"/>
          <w:color w:val="000000"/>
          <w:sz w:val="23"/>
          <w:szCs w:val="24"/>
          <w:lang w:eastAsia="en-ZW"/>
        </w:rPr>
        <w:t>2</w:t>
      </w:r>
      <w:r>
        <w:rPr>
          <w:rFonts w:ascii="Times New Roman" w:eastAsia="Times New Roman" w:hAnsi="Times New Roman" w:cs="Times New Roman"/>
          <w:color w:val="000000"/>
          <w:sz w:val="23"/>
          <w:szCs w:val="24"/>
          <w:lang w:eastAsia="en-ZW"/>
        </w:rPr>
        <w:t xml:space="preserve">] Based on the guidance in the aforegoing authorities, I </w:t>
      </w:r>
      <w:r w:rsidR="004E72DA">
        <w:rPr>
          <w:rFonts w:ascii="Times New Roman" w:eastAsia="Times New Roman" w:hAnsi="Times New Roman" w:cs="Times New Roman"/>
          <w:color w:val="000000"/>
          <w:sz w:val="23"/>
          <w:szCs w:val="24"/>
          <w:lang w:eastAsia="en-ZW"/>
        </w:rPr>
        <w:t xml:space="preserve">recognise that the derelict on the part of the legal practitioners though </w:t>
      </w:r>
      <w:r w:rsidR="005A3CEA">
        <w:rPr>
          <w:rFonts w:ascii="Times New Roman" w:eastAsia="Times New Roman" w:hAnsi="Times New Roman" w:cs="Times New Roman"/>
          <w:color w:val="000000"/>
          <w:sz w:val="23"/>
          <w:szCs w:val="24"/>
          <w:lang w:eastAsia="en-ZW"/>
        </w:rPr>
        <w:t>deplorable</w:t>
      </w:r>
      <w:r w:rsidR="004E72DA">
        <w:rPr>
          <w:rFonts w:ascii="Times New Roman" w:eastAsia="Times New Roman" w:hAnsi="Times New Roman" w:cs="Times New Roman"/>
          <w:color w:val="000000"/>
          <w:sz w:val="23"/>
          <w:szCs w:val="24"/>
          <w:lang w:eastAsia="en-ZW"/>
        </w:rPr>
        <w:t xml:space="preserve"> was n</w:t>
      </w:r>
      <w:r w:rsidR="005A3CEA">
        <w:rPr>
          <w:rFonts w:ascii="Times New Roman" w:eastAsia="Times New Roman" w:hAnsi="Times New Roman" w:cs="Times New Roman"/>
          <w:color w:val="000000"/>
          <w:sz w:val="23"/>
          <w:szCs w:val="24"/>
          <w:lang w:eastAsia="en-ZW"/>
        </w:rPr>
        <w:t xml:space="preserve">either </w:t>
      </w:r>
      <w:r w:rsidR="004E72DA">
        <w:rPr>
          <w:rFonts w:ascii="Times New Roman" w:eastAsia="Times New Roman" w:hAnsi="Times New Roman" w:cs="Times New Roman"/>
          <w:color w:val="000000"/>
          <w:sz w:val="23"/>
          <w:szCs w:val="24"/>
          <w:lang w:eastAsia="en-ZW"/>
        </w:rPr>
        <w:t xml:space="preserve">sustained nor </w:t>
      </w:r>
      <w:r w:rsidR="005A3CEA">
        <w:rPr>
          <w:rFonts w:ascii="Times New Roman" w:eastAsia="Times New Roman" w:hAnsi="Times New Roman" w:cs="Times New Roman"/>
          <w:color w:val="000000"/>
          <w:sz w:val="23"/>
          <w:szCs w:val="24"/>
          <w:lang w:eastAsia="en-ZW"/>
        </w:rPr>
        <w:t>extreme</w:t>
      </w:r>
      <w:r w:rsidR="004E72DA">
        <w:rPr>
          <w:rFonts w:ascii="Times New Roman" w:eastAsia="Times New Roman" w:hAnsi="Times New Roman" w:cs="Times New Roman"/>
          <w:color w:val="000000"/>
          <w:sz w:val="23"/>
          <w:szCs w:val="24"/>
          <w:lang w:eastAsia="en-ZW"/>
        </w:rPr>
        <w:t xml:space="preserve">. Steps were immediately taken to address the infraction. An affidavit was filed to explain the default and I am inclined to accept the explanation, without discarding the criticisms directed at applicant`s legal practitioners by Mr. </w:t>
      </w:r>
      <w:r w:rsidR="004E72DA" w:rsidRPr="00D871ED">
        <w:rPr>
          <w:rFonts w:ascii="Times New Roman" w:eastAsia="Times New Roman" w:hAnsi="Times New Roman" w:cs="Times New Roman"/>
          <w:i/>
          <w:iCs/>
          <w:color w:val="000000"/>
          <w:sz w:val="23"/>
          <w:szCs w:val="24"/>
          <w:lang w:eastAsia="en-ZW"/>
        </w:rPr>
        <w:t>Chimusaru</w:t>
      </w:r>
      <w:r w:rsidR="004E72DA">
        <w:rPr>
          <w:rFonts w:ascii="Times New Roman" w:eastAsia="Times New Roman" w:hAnsi="Times New Roman" w:cs="Times New Roman"/>
          <w:color w:val="000000"/>
          <w:sz w:val="23"/>
          <w:szCs w:val="24"/>
          <w:lang w:eastAsia="en-ZW"/>
        </w:rPr>
        <w:t>. I have further taken into account as</w:t>
      </w:r>
      <w:r>
        <w:rPr>
          <w:rFonts w:ascii="Times New Roman" w:eastAsia="Times New Roman" w:hAnsi="Times New Roman" w:cs="Times New Roman"/>
          <w:color w:val="000000"/>
          <w:sz w:val="23"/>
          <w:szCs w:val="24"/>
          <w:lang w:eastAsia="en-ZW"/>
        </w:rPr>
        <w:t xml:space="preserve"> </w:t>
      </w:r>
      <w:r w:rsidR="004E72DA">
        <w:rPr>
          <w:rFonts w:ascii="Times New Roman" w:eastAsia="Times New Roman" w:hAnsi="Times New Roman" w:cs="Times New Roman"/>
          <w:color w:val="000000"/>
          <w:sz w:val="23"/>
          <w:szCs w:val="24"/>
          <w:lang w:eastAsia="en-ZW"/>
        </w:rPr>
        <w:t>redeeming</w:t>
      </w:r>
      <w:r>
        <w:rPr>
          <w:rFonts w:ascii="Times New Roman" w:eastAsia="Times New Roman" w:hAnsi="Times New Roman" w:cs="Times New Roman"/>
          <w:color w:val="000000"/>
          <w:sz w:val="23"/>
          <w:szCs w:val="24"/>
          <w:lang w:eastAsia="en-ZW"/>
        </w:rPr>
        <w:t xml:space="preserve">, the diligence demonstrated by applicant </w:t>
      </w:r>
      <w:r w:rsidR="004E72DA">
        <w:rPr>
          <w:rFonts w:ascii="Times New Roman" w:eastAsia="Times New Roman" w:hAnsi="Times New Roman" w:cs="Times New Roman"/>
          <w:color w:val="000000"/>
          <w:sz w:val="23"/>
          <w:szCs w:val="24"/>
          <w:lang w:eastAsia="en-ZW"/>
        </w:rPr>
        <w:t>in sustaining its defence up to the case management stage. I thus do not find applicant to have been in wilful default.</w:t>
      </w:r>
      <w:r w:rsidR="00BF3270">
        <w:rPr>
          <w:rFonts w:ascii="Times New Roman" w:eastAsia="Times New Roman" w:hAnsi="Times New Roman" w:cs="Times New Roman"/>
          <w:color w:val="000000"/>
          <w:sz w:val="23"/>
          <w:szCs w:val="24"/>
          <w:lang w:eastAsia="en-ZW"/>
        </w:rPr>
        <w:t xml:space="preserve"> </w:t>
      </w:r>
    </w:p>
    <w:p w14:paraId="380BBAEC" w14:textId="0C5D3772" w:rsidR="00BF3270" w:rsidRPr="00D871ED" w:rsidRDefault="00BF3270" w:rsidP="002153A9">
      <w:pPr>
        <w:spacing w:line="360" w:lineRule="auto"/>
        <w:jc w:val="both"/>
        <w:rPr>
          <w:rFonts w:ascii="Times New Roman" w:eastAsia="Times New Roman" w:hAnsi="Times New Roman" w:cs="Times New Roman"/>
          <w:color w:val="000000"/>
          <w:lang w:eastAsia="en-ZW"/>
        </w:rPr>
      </w:pPr>
      <w:r w:rsidRPr="00D871ED">
        <w:rPr>
          <w:rFonts w:ascii="Times New Roman" w:eastAsia="Times New Roman" w:hAnsi="Times New Roman" w:cs="Times New Roman"/>
          <w:color w:val="000000"/>
          <w:lang w:eastAsia="en-ZW"/>
        </w:rPr>
        <w:t>PROSPECTS OF SUCCESS ON THE MERITS</w:t>
      </w:r>
    </w:p>
    <w:p w14:paraId="40F2A2BE" w14:textId="5DB41E09" w:rsidR="00751EC5" w:rsidRDefault="006640F1" w:rsidP="002153A9">
      <w:pPr>
        <w:spacing w:line="360" w:lineRule="auto"/>
        <w:jc w:val="both"/>
        <w:rPr>
          <w:rFonts w:ascii="Times New Roman" w:eastAsia="Times New Roman" w:hAnsi="Times New Roman" w:cs="Times New Roman"/>
          <w:color w:val="000000"/>
          <w:sz w:val="23"/>
          <w:szCs w:val="24"/>
          <w:lang w:eastAsia="en-ZW"/>
        </w:rPr>
      </w:pPr>
      <w:r>
        <w:rPr>
          <w:rFonts w:ascii="Times New Roman" w:eastAsia="Times New Roman" w:hAnsi="Times New Roman" w:cs="Times New Roman"/>
          <w:color w:val="000000"/>
          <w:sz w:val="23"/>
          <w:szCs w:val="24"/>
          <w:lang w:eastAsia="en-ZW"/>
        </w:rPr>
        <w:t>[</w:t>
      </w:r>
      <w:r w:rsidR="005E766C">
        <w:rPr>
          <w:rFonts w:ascii="Times New Roman" w:eastAsia="Times New Roman" w:hAnsi="Times New Roman" w:cs="Times New Roman"/>
          <w:color w:val="000000"/>
          <w:sz w:val="23"/>
          <w:szCs w:val="24"/>
          <w:lang w:eastAsia="en-ZW"/>
        </w:rPr>
        <w:t>13</w:t>
      </w:r>
      <w:r>
        <w:rPr>
          <w:rFonts w:ascii="Times New Roman" w:eastAsia="Times New Roman" w:hAnsi="Times New Roman" w:cs="Times New Roman"/>
          <w:color w:val="000000"/>
          <w:sz w:val="23"/>
          <w:szCs w:val="24"/>
          <w:lang w:eastAsia="en-ZW"/>
        </w:rPr>
        <w:t xml:space="preserve">] </w:t>
      </w:r>
      <w:r w:rsidR="00F932C9">
        <w:rPr>
          <w:rFonts w:ascii="Times New Roman" w:eastAsia="Times New Roman" w:hAnsi="Times New Roman" w:cs="Times New Roman"/>
          <w:color w:val="000000"/>
          <w:sz w:val="23"/>
          <w:szCs w:val="24"/>
          <w:lang w:eastAsia="en-ZW"/>
        </w:rPr>
        <w:t>On a date or period not stated, t</w:t>
      </w:r>
      <w:r>
        <w:rPr>
          <w:rFonts w:ascii="Times New Roman" w:eastAsia="Times New Roman" w:hAnsi="Times New Roman" w:cs="Times New Roman"/>
          <w:color w:val="000000"/>
          <w:sz w:val="23"/>
          <w:szCs w:val="24"/>
          <w:lang w:eastAsia="en-ZW"/>
        </w:rPr>
        <w:t xml:space="preserve">he parties concluded a verbal contract </w:t>
      </w:r>
      <w:r w:rsidR="00F932C9">
        <w:rPr>
          <w:rFonts w:ascii="Times New Roman" w:eastAsia="Times New Roman" w:hAnsi="Times New Roman" w:cs="Times New Roman"/>
          <w:color w:val="000000"/>
          <w:sz w:val="23"/>
          <w:szCs w:val="24"/>
          <w:lang w:eastAsia="en-ZW"/>
        </w:rPr>
        <w:t xml:space="preserve">for the supply of bulk fuel. It is common cause that the terms of payment were “cash on delivery”. </w:t>
      </w:r>
      <w:r w:rsidR="00751EC5">
        <w:rPr>
          <w:rFonts w:ascii="Times New Roman" w:eastAsia="Times New Roman" w:hAnsi="Times New Roman" w:cs="Times New Roman"/>
          <w:color w:val="000000"/>
          <w:sz w:val="23"/>
          <w:szCs w:val="24"/>
          <w:lang w:eastAsia="en-ZW"/>
        </w:rPr>
        <w:t>It is also common cause that based on such terms, respondent delivered a consignment of 40,000 litres of fuel to applicant. Respondent claimed that applicant breached the parties` agreement by failing to pay for the fuel upon delivery and instituted proceedings to recover the value due as indicated above.</w:t>
      </w:r>
    </w:p>
    <w:p w14:paraId="04EF67EB" w14:textId="0A8F30D1" w:rsidR="000D4476" w:rsidRDefault="00751EC5" w:rsidP="002153A9">
      <w:pPr>
        <w:spacing w:line="360" w:lineRule="auto"/>
        <w:jc w:val="both"/>
        <w:rPr>
          <w:rFonts w:ascii="Times New Roman" w:eastAsia="Times New Roman" w:hAnsi="Times New Roman" w:cs="Times New Roman"/>
          <w:color w:val="000000"/>
          <w:sz w:val="23"/>
          <w:szCs w:val="24"/>
          <w:lang w:eastAsia="en-ZW"/>
        </w:rPr>
      </w:pPr>
      <w:r>
        <w:rPr>
          <w:rFonts w:ascii="Times New Roman" w:eastAsia="Times New Roman" w:hAnsi="Times New Roman" w:cs="Times New Roman"/>
          <w:color w:val="000000"/>
          <w:sz w:val="23"/>
          <w:szCs w:val="24"/>
          <w:lang w:eastAsia="en-ZW"/>
        </w:rPr>
        <w:t>[</w:t>
      </w:r>
      <w:r w:rsidR="005E766C">
        <w:rPr>
          <w:rFonts w:ascii="Times New Roman" w:eastAsia="Times New Roman" w:hAnsi="Times New Roman" w:cs="Times New Roman"/>
          <w:color w:val="000000"/>
          <w:sz w:val="23"/>
          <w:szCs w:val="24"/>
          <w:lang w:eastAsia="en-ZW"/>
        </w:rPr>
        <w:t>14</w:t>
      </w:r>
      <w:r>
        <w:rPr>
          <w:rFonts w:ascii="Times New Roman" w:eastAsia="Times New Roman" w:hAnsi="Times New Roman" w:cs="Times New Roman"/>
          <w:color w:val="000000"/>
          <w:sz w:val="23"/>
          <w:szCs w:val="24"/>
          <w:lang w:eastAsia="en-ZW"/>
        </w:rPr>
        <w:t>] The applicant`s argument then</w:t>
      </w:r>
      <w:r w:rsidR="00D871ED">
        <w:rPr>
          <w:rFonts w:ascii="Times New Roman" w:eastAsia="Times New Roman" w:hAnsi="Times New Roman" w:cs="Times New Roman"/>
          <w:color w:val="000000"/>
          <w:sz w:val="23"/>
          <w:szCs w:val="24"/>
          <w:lang w:eastAsia="en-ZW"/>
        </w:rPr>
        <w:t>,</w:t>
      </w:r>
      <w:r>
        <w:rPr>
          <w:rFonts w:ascii="Times New Roman" w:eastAsia="Times New Roman" w:hAnsi="Times New Roman" w:cs="Times New Roman"/>
          <w:color w:val="000000"/>
          <w:sz w:val="23"/>
          <w:szCs w:val="24"/>
          <w:lang w:eastAsia="en-ZW"/>
        </w:rPr>
        <w:t xml:space="preserve"> and in this </w:t>
      </w:r>
      <w:r w:rsidR="00D871ED">
        <w:rPr>
          <w:rFonts w:ascii="Times New Roman" w:eastAsia="Times New Roman" w:hAnsi="Times New Roman" w:cs="Times New Roman"/>
          <w:color w:val="000000"/>
          <w:sz w:val="23"/>
          <w:szCs w:val="24"/>
          <w:lang w:eastAsia="en-ZW"/>
        </w:rPr>
        <w:t>application, was</w:t>
      </w:r>
      <w:r>
        <w:rPr>
          <w:rFonts w:ascii="Times New Roman" w:eastAsia="Times New Roman" w:hAnsi="Times New Roman" w:cs="Times New Roman"/>
          <w:color w:val="000000"/>
          <w:sz w:val="23"/>
          <w:szCs w:val="24"/>
          <w:lang w:eastAsia="en-ZW"/>
        </w:rPr>
        <w:t xml:space="preserve"> that the respondent received payment. It was inconceivable, insists </w:t>
      </w:r>
      <w:r w:rsidR="00D871ED">
        <w:rPr>
          <w:rFonts w:ascii="Times New Roman" w:eastAsia="Times New Roman" w:hAnsi="Times New Roman" w:cs="Times New Roman"/>
          <w:color w:val="000000"/>
          <w:sz w:val="23"/>
          <w:szCs w:val="24"/>
          <w:lang w:eastAsia="en-ZW"/>
        </w:rPr>
        <w:t xml:space="preserve">the </w:t>
      </w:r>
      <w:r>
        <w:rPr>
          <w:rFonts w:ascii="Times New Roman" w:eastAsia="Times New Roman" w:hAnsi="Times New Roman" w:cs="Times New Roman"/>
          <w:color w:val="000000"/>
          <w:sz w:val="23"/>
          <w:szCs w:val="24"/>
          <w:lang w:eastAsia="en-ZW"/>
        </w:rPr>
        <w:t>applicant</w:t>
      </w:r>
      <w:r w:rsidR="00D871ED">
        <w:rPr>
          <w:rFonts w:ascii="Times New Roman" w:eastAsia="Times New Roman" w:hAnsi="Times New Roman" w:cs="Times New Roman"/>
          <w:color w:val="000000"/>
          <w:sz w:val="23"/>
          <w:szCs w:val="24"/>
          <w:lang w:eastAsia="en-ZW"/>
        </w:rPr>
        <w:t>,</w:t>
      </w:r>
      <w:r>
        <w:rPr>
          <w:rFonts w:ascii="Times New Roman" w:eastAsia="Times New Roman" w:hAnsi="Times New Roman" w:cs="Times New Roman"/>
          <w:color w:val="000000"/>
          <w:sz w:val="23"/>
          <w:szCs w:val="24"/>
          <w:lang w:eastAsia="en-ZW"/>
        </w:rPr>
        <w:t xml:space="preserve"> that respondent, strict as it was on cash upon delivery, would decant fuel </w:t>
      </w:r>
      <w:r w:rsidR="00D871ED">
        <w:rPr>
          <w:rFonts w:ascii="Times New Roman" w:eastAsia="Times New Roman" w:hAnsi="Times New Roman" w:cs="Times New Roman"/>
          <w:color w:val="000000"/>
          <w:sz w:val="23"/>
          <w:szCs w:val="24"/>
          <w:lang w:eastAsia="en-ZW"/>
        </w:rPr>
        <w:t xml:space="preserve">at applicant`s site </w:t>
      </w:r>
      <w:r>
        <w:rPr>
          <w:rFonts w:ascii="Times New Roman" w:eastAsia="Times New Roman" w:hAnsi="Times New Roman" w:cs="Times New Roman"/>
          <w:color w:val="000000"/>
          <w:sz w:val="23"/>
          <w:szCs w:val="24"/>
          <w:lang w:eastAsia="en-ZW"/>
        </w:rPr>
        <w:t xml:space="preserve">before payment was made. The issue of whether payment was made or not descended into a quarrel in the papers before me. The respondent protested that in practice, its employees could not demand payment before the fuel was </w:t>
      </w:r>
      <w:r w:rsidR="00862BC4">
        <w:rPr>
          <w:rFonts w:ascii="Times New Roman" w:eastAsia="Times New Roman" w:hAnsi="Times New Roman" w:cs="Times New Roman"/>
          <w:color w:val="000000"/>
          <w:sz w:val="23"/>
          <w:szCs w:val="24"/>
          <w:lang w:eastAsia="en-ZW"/>
        </w:rPr>
        <w:t>offloaded.</w:t>
      </w:r>
      <w:r>
        <w:rPr>
          <w:rFonts w:ascii="Times New Roman" w:eastAsia="Times New Roman" w:hAnsi="Times New Roman" w:cs="Times New Roman"/>
          <w:color w:val="000000"/>
          <w:sz w:val="23"/>
          <w:szCs w:val="24"/>
          <w:lang w:eastAsia="en-ZW"/>
        </w:rPr>
        <w:t xml:space="preserve"> The process </w:t>
      </w:r>
      <w:r w:rsidR="000D4476">
        <w:rPr>
          <w:rFonts w:ascii="Times New Roman" w:eastAsia="Times New Roman" w:hAnsi="Times New Roman" w:cs="Times New Roman"/>
          <w:color w:val="000000"/>
          <w:sz w:val="23"/>
          <w:szCs w:val="24"/>
          <w:lang w:eastAsia="en-ZW"/>
        </w:rPr>
        <w:t>entailed</w:t>
      </w:r>
      <w:r>
        <w:rPr>
          <w:rFonts w:ascii="Times New Roman" w:eastAsia="Times New Roman" w:hAnsi="Times New Roman" w:cs="Times New Roman"/>
          <w:color w:val="000000"/>
          <w:sz w:val="23"/>
          <w:szCs w:val="24"/>
          <w:lang w:eastAsia="en-ZW"/>
        </w:rPr>
        <w:t xml:space="preserve"> </w:t>
      </w:r>
      <w:r w:rsidR="000D4476">
        <w:rPr>
          <w:rFonts w:ascii="Times New Roman" w:eastAsia="Times New Roman" w:hAnsi="Times New Roman" w:cs="Times New Roman"/>
          <w:color w:val="000000"/>
          <w:sz w:val="23"/>
          <w:szCs w:val="24"/>
          <w:lang w:eastAsia="en-ZW"/>
        </w:rPr>
        <w:t>confirming</w:t>
      </w:r>
      <w:r>
        <w:rPr>
          <w:rFonts w:ascii="Times New Roman" w:eastAsia="Times New Roman" w:hAnsi="Times New Roman" w:cs="Times New Roman"/>
          <w:color w:val="000000"/>
          <w:sz w:val="23"/>
          <w:szCs w:val="24"/>
          <w:lang w:eastAsia="en-ZW"/>
        </w:rPr>
        <w:t xml:space="preserve"> the quantity </w:t>
      </w:r>
      <w:r w:rsidR="00862BC4">
        <w:rPr>
          <w:rFonts w:ascii="Times New Roman" w:eastAsia="Times New Roman" w:hAnsi="Times New Roman" w:cs="Times New Roman"/>
          <w:color w:val="000000"/>
          <w:sz w:val="23"/>
          <w:szCs w:val="24"/>
          <w:lang w:eastAsia="en-ZW"/>
        </w:rPr>
        <w:t xml:space="preserve">decanted </w:t>
      </w:r>
      <w:r>
        <w:rPr>
          <w:rFonts w:ascii="Times New Roman" w:eastAsia="Times New Roman" w:hAnsi="Times New Roman" w:cs="Times New Roman"/>
          <w:color w:val="000000"/>
          <w:sz w:val="23"/>
          <w:szCs w:val="24"/>
          <w:lang w:eastAsia="en-ZW"/>
        </w:rPr>
        <w:t>as well as test</w:t>
      </w:r>
      <w:r w:rsidR="000D4476">
        <w:rPr>
          <w:rFonts w:ascii="Times New Roman" w:eastAsia="Times New Roman" w:hAnsi="Times New Roman" w:cs="Times New Roman"/>
          <w:color w:val="000000"/>
          <w:sz w:val="23"/>
          <w:szCs w:val="24"/>
          <w:lang w:eastAsia="en-ZW"/>
        </w:rPr>
        <w:t xml:space="preserve">ing the fuel concerned for contamination. </w:t>
      </w:r>
    </w:p>
    <w:p w14:paraId="081A13CB" w14:textId="77777777" w:rsidR="00862BC4" w:rsidRDefault="004E72DA" w:rsidP="005E766C">
      <w:pPr>
        <w:spacing w:line="360" w:lineRule="auto"/>
        <w:jc w:val="both"/>
        <w:rPr>
          <w:rFonts w:ascii="Times New Roman" w:eastAsia="Times New Roman" w:hAnsi="Times New Roman" w:cs="Times New Roman"/>
          <w:color w:val="000000"/>
          <w:sz w:val="23"/>
          <w:szCs w:val="24"/>
          <w:lang w:eastAsia="en-ZW"/>
        </w:rPr>
      </w:pPr>
      <w:r>
        <w:rPr>
          <w:rFonts w:ascii="Times New Roman" w:eastAsia="Times New Roman" w:hAnsi="Times New Roman" w:cs="Times New Roman"/>
          <w:color w:val="000000"/>
          <w:sz w:val="23"/>
          <w:szCs w:val="24"/>
          <w:lang w:eastAsia="en-ZW"/>
        </w:rPr>
        <w:t>[</w:t>
      </w:r>
      <w:r w:rsidR="005E766C">
        <w:rPr>
          <w:rFonts w:ascii="Times New Roman" w:eastAsia="Times New Roman" w:hAnsi="Times New Roman" w:cs="Times New Roman"/>
          <w:color w:val="000000"/>
          <w:sz w:val="23"/>
          <w:szCs w:val="24"/>
          <w:lang w:eastAsia="en-ZW"/>
        </w:rPr>
        <w:t>15</w:t>
      </w:r>
      <w:r>
        <w:rPr>
          <w:rFonts w:ascii="Times New Roman" w:eastAsia="Times New Roman" w:hAnsi="Times New Roman" w:cs="Times New Roman"/>
          <w:color w:val="000000"/>
          <w:sz w:val="23"/>
          <w:szCs w:val="24"/>
          <w:lang w:eastAsia="en-ZW"/>
        </w:rPr>
        <w:t xml:space="preserve">] Either party could have made matters a great deal clearer by securing affidavits from the persons who </w:t>
      </w:r>
      <w:r w:rsidR="00862BC4">
        <w:rPr>
          <w:rFonts w:ascii="Times New Roman" w:eastAsia="Times New Roman" w:hAnsi="Times New Roman" w:cs="Times New Roman"/>
          <w:color w:val="000000"/>
          <w:sz w:val="23"/>
          <w:szCs w:val="24"/>
          <w:lang w:eastAsia="en-ZW"/>
        </w:rPr>
        <w:t>participated in the delivery or alleged payment of cash at the site or as they say; -</w:t>
      </w:r>
      <w:r>
        <w:rPr>
          <w:rFonts w:ascii="Times New Roman" w:eastAsia="Times New Roman" w:hAnsi="Times New Roman" w:cs="Times New Roman"/>
          <w:color w:val="000000"/>
          <w:sz w:val="23"/>
          <w:szCs w:val="24"/>
          <w:lang w:eastAsia="en-ZW"/>
        </w:rPr>
        <w:t xml:space="preserve">on </w:t>
      </w:r>
      <w:r>
        <w:rPr>
          <w:rFonts w:ascii="Times New Roman" w:eastAsia="Times New Roman" w:hAnsi="Times New Roman" w:cs="Times New Roman"/>
          <w:color w:val="000000"/>
          <w:sz w:val="23"/>
          <w:szCs w:val="24"/>
          <w:lang w:eastAsia="en-ZW"/>
        </w:rPr>
        <w:lastRenderedPageBreak/>
        <w:t xml:space="preserve">the ground. The supplier did not file an account from the driver or delivery crew to explain what exactly transpired. Similarly, the applicant could have shared the account by the employee or officials who counted monies to the respondent`s delivery crew. </w:t>
      </w:r>
    </w:p>
    <w:p w14:paraId="251CE598" w14:textId="58A76E4F" w:rsidR="005E766C" w:rsidRPr="005E766C" w:rsidRDefault="00862BC4" w:rsidP="005E766C">
      <w:pPr>
        <w:spacing w:line="360" w:lineRule="auto"/>
        <w:jc w:val="both"/>
        <w:rPr>
          <w:rFonts w:ascii="Times New Roman" w:eastAsia="Times New Roman" w:hAnsi="Times New Roman" w:cs="Times New Roman"/>
          <w:color w:val="000000"/>
          <w:sz w:val="24"/>
          <w:szCs w:val="24"/>
          <w:lang w:eastAsia="en-ZW"/>
        </w:rPr>
      </w:pPr>
      <w:r>
        <w:rPr>
          <w:rFonts w:ascii="Times New Roman" w:eastAsia="Times New Roman" w:hAnsi="Times New Roman" w:cs="Times New Roman"/>
          <w:color w:val="000000"/>
          <w:sz w:val="23"/>
          <w:szCs w:val="24"/>
          <w:lang w:eastAsia="en-ZW"/>
        </w:rPr>
        <w:t xml:space="preserve">[16] </w:t>
      </w:r>
      <w:r w:rsidR="004E72DA">
        <w:rPr>
          <w:rFonts w:ascii="Times New Roman" w:eastAsia="Times New Roman" w:hAnsi="Times New Roman" w:cs="Times New Roman"/>
          <w:color w:val="000000"/>
          <w:sz w:val="23"/>
          <w:szCs w:val="24"/>
          <w:lang w:eastAsia="en-ZW"/>
        </w:rPr>
        <w:t xml:space="preserve">An amount of US$40, 000 is indeed a large of money by any standards to exchange in cash. </w:t>
      </w:r>
      <w:r w:rsidR="005E766C">
        <w:rPr>
          <w:rFonts w:ascii="Times New Roman" w:eastAsia="Times New Roman" w:hAnsi="Times New Roman" w:cs="Times New Roman"/>
          <w:color w:val="000000"/>
          <w:sz w:val="23"/>
          <w:szCs w:val="24"/>
          <w:lang w:eastAsia="en-ZW"/>
        </w:rPr>
        <w:t xml:space="preserve">That observation brings in the question of onus and standard of proof. In the recent decision of </w:t>
      </w:r>
      <w:r w:rsidRPr="00862BC4">
        <w:rPr>
          <w:rFonts w:ascii="Times New Roman" w:eastAsia="Times New Roman" w:hAnsi="Times New Roman" w:cs="Times New Roman"/>
          <w:i/>
          <w:iCs/>
          <w:color w:val="000000"/>
          <w:sz w:val="23"/>
          <w:szCs w:val="24"/>
          <w:lang w:eastAsia="en-ZW"/>
        </w:rPr>
        <w:t>Garizio &amp; 2 Ors v Motsi &amp; Anor</w:t>
      </w:r>
      <w:r>
        <w:rPr>
          <w:rFonts w:ascii="Times New Roman" w:eastAsia="Times New Roman" w:hAnsi="Times New Roman" w:cs="Times New Roman"/>
          <w:color w:val="000000"/>
          <w:sz w:val="23"/>
          <w:szCs w:val="24"/>
          <w:lang w:eastAsia="en-ZW"/>
        </w:rPr>
        <w:t xml:space="preserve"> HH 89-25, I</w:t>
      </w:r>
      <w:r w:rsidR="005E766C">
        <w:rPr>
          <w:rFonts w:ascii="Times New Roman" w:eastAsia="Times New Roman" w:hAnsi="Times New Roman" w:cs="Times New Roman"/>
          <w:color w:val="000000"/>
          <w:sz w:val="23"/>
          <w:szCs w:val="24"/>
          <w:lang w:eastAsia="en-ZW"/>
        </w:rPr>
        <w:t xml:space="preserve"> made the following comments on the point; -</w:t>
      </w:r>
    </w:p>
    <w:p w14:paraId="7D714DAF" w14:textId="464DAAB3" w:rsidR="005E766C" w:rsidRDefault="005E766C" w:rsidP="005E766C">
      <w:pPr>
        <w:spacing w:after="14" w:line="367" w:lineRule="auto"/>
        <w:ind w:left="567"/>
        <w:jc w:val="both"/>
        <w:rPr>
          <w:rFonts w:ascii="Times New Roman" w:eastAsia="Times New Roman" w:hAnsi="Times New Roman" w:cs="Times New Roman"/>
          <w:color w:val="000000"/>
          <w:sz w:val="24"/>
          <w:szCs w:val="24"/>
          <w:lang w:eastAsia="en-ZW"/>
        </w:rPr>
      </w:pPr>
      <w:r w:rsidRPr="005E766C">
        <w:rPr>
          <w:rFonts w:ascii="Times New Roman" w:eastAsia="Times New Roman" w:hAnsi="Times New Roman" w:cs="Times New Roman"/>
          <w:i/>
          <w:iCs/>
          <w:color w:val="000000"/>
          <w:sz w:val="24"/>
          <w:szCs w:val="24"/>
          <w:lang w:eastAsia="en-ZW"/>
        </w:rPr>
        <w:t>“[ 26]</w:t>
      </w:r>
      <w:r>
        <w:rPr>
          <w:rFonts w:ascii="Times New Roman" w:eastAsia="Times New Roman" w:hAnsi="Times New Roman" w:cs="Times New Roman"/>
          <w:color w:val="000000"/>
          <w:sz w:val="24"/>
          <w:szCs w:val="24"/>
          <w:lang w:eastAsia="en-ZW"/>
        </w:rPr>
        <w:t xml:space="preserve"> </w:t>
      </w:r>
      <w:r w:rsidRPr="005E766C">
        <w:rPr>
          <w:rFonts w:ascii="Times New Roman" w:eastAsia="Times New Roman" w:hAnsi="Times New Roman" w:cs="Times New Roman"/>
          <w:color w:val="000000"/>
          <w:sz w:val="24"/>
          <w:szCs w:val="24"/>
          <w:lang w:eastAsia="en-ZW"/>
        </w:rPr>
        <w:t xml:space="preserve">It is clear that the court`s discretion is wide and the matters to be covered equally diverse. These factors are considered one against the other and then cumulatively. The onus falls upon the applicant to demonstrate good and sufficient case. See </w:t>
      </w:r>
      <w:r w:rsidRPr="005E766C">
        <w:rPr>
          <w:rFonts w:ascii="Times New Roman" w:eastAsia="Times New Roman" w:hAnsi="Times New Roman" w:cs="Times New Roman"/>
          <w:i/>
          <w:color w:val="000000"/>
          <w:sz w:val="24"/>
          <w:szCs w:val="24"/>
          <w:lang w:eastAsia="en-ZW"/>
        </w:rPr>
        <w:t>Makoni v CBZ</w:t>
      </w:r>
      <w:r w:rsidRPr="005E766C">
        <w:rPr>
          <w:rFonts w:ascii="Times New Roman" w:eastAsia="Times New Roman" w:hAnsi="Times New Roman" w:cs="Times New Roman"/>
          <w:color w:val="000000"/>
          <w:sz w:val="24"/>
          <w:szCs w:val="24"/>
          <w:lang w:eastAsia="en-ZW"/>
        </w:rPr>
        <w:t xml:space="preserve"> SC 47-20 and </w:t>
      </w:r>
      <w:r w:rsidRPr="005E766C">
        <w:rPr>
          <w:rFonts w:ascii="Times New Roman" w:eastAsia="Times New Roman" w:hAnsi="Times New Roman" w:cs="Times New Roman"/>
          <w:i/>
          <w:color w:val="000000"/>
          <w:szCs w:val="24"/>
          <w:lang w:eastAsia="en-ZW"/>
        </w:rPr>
        <w:t xml:space="preserve">V </w:t>
      </w:r>
      <w:r w:rsidRPr="005E766C">
        <w:rPr>
          <w:rFonts w:ascii="Times New Roman" w:eastAsia="Times New Roman" w:hAnsi="Times New Roman" w:cs="Times New Roman"/>
          <w:i/>
          <w:color w:val="000000"/>
          <w:sz w:val="24"/>
          <w:szCs w:val="24"/>
          <w:lang w:eastAsia="en-ZW"/>
        </w:rPr>
        <w:t xml:space="preserve">Saitis &amp; Co (Pvt) Ltd v Fenlake (Pvt) Ltd (supra) </w:t>
      </w:r>
      <w:r w:rsidRPr="005E766C">
        <w:rPr>
          <w:rFonts w:ascii="Times New Roman" w:eastAsia="Times New Roman" w:hAnsi="Times New Roman" w:cs="Times New Roman"/>
          <w:color w:val="000000"/>
          <w:sz w:val="24"/>
          <w:szCs w:val="24"/>
          <w:lang w:eastAsia="en-ZW"/>
        </w:rPr>
        <w:t>on the applicable test. The court does not adopt a trial court`s approach but must remain guided by the question; - do the totality of the circumstances warrant a grant of the relief sought?</w:t>
      </w:r>
      <w:r>
        <w:rPr>
          <w:rFonts w:ascii="Times New Roman" w:eastAsia="Times New Roman" w:hAnsi="Times New Roman" w:cs="Times New Roman"/>
          <w:color w:val="000000"/>
          <w:sz w:val="24"/>
          <w:szCs w:val="24"/>
          <w:lang w:eastAsia="en-ZW"/>
        </w:rPr>
        <w:t>”</w:t>
      </w:r>
    </w:p>
    <w:p w14:paraId="3A4B6BF0" w14:textId="77777777" w:rsidR="00862BC4" w:rsidRPr="005E766C" w:rsidRDefault="00862BC4" w:rsidP="005E766C">
      <w:pPr>
        <w:spacing w:after="14" w:line="367" w:lineRule="auto"/>
        <w:ind w:left="567"/>
        <w:jc w:val="both"/>
        <w:rPr>
          <w:rFonts w:ascii="Times New Roman" w:eastAsia="Times New Roman" w:hAnsi="Times New Roman" w:cs="Times New Roman"/>
          <w:color w:val="000000"/>
          <w:sz w:val="24"/>
          <w:szCs w:val="24"/>
          <w:lang w:eastAsia="en-ZW"/>
        </w:rPr>
      </w:pPr>
    </w:p>
    <w:p w14:paraId="14BAC8C0" w14:textId="451D80F3" w:rsidR="004E72DA" w:rsidRDefault="005E766C" w:rsidP="002153A9">
      <w:pPr>
        <w:spacing w:line="360" w:lineRule="auto"/>
        <w:jc w:val="both"/>
        <w:rPr>
          <w:rFonts w:ascii="Times New Roman" w:eastAsia="Times New Roman" w:hAnsi="Times New Roman" w:cs="Times New Roman"/>
          <w:color w:val="000000"/>
          <w:sz w:val="23"/>
          <w:szCs w:val="24"/>
          <w:lang w:eastAsia="en-ZW"/>
        </w:rPr>
      </w:pPr>
      <w:r>
        <w:rPr>
          <w:rFonts w:ascii="Times New Roman" w:eastAsia="Times New Roman" w:hAnsi="Times New Roman" w:cs="Times New Roman"/>
          <w:color w:val="000000"/>
          <w:sz w:val="23"/>
          <w:szCs w:val="24"/>
          <w:lang w:eastAsia="en-ZW"/>
        </w:rPr>
        <w:t>[1</w:t>
      </w:r>
      <w:r w:rsidR="00862BC4">
        <w:rPr>
          <w:rFonts w:ascii="Times New Roman" w:eastAsia="Times New Roman" w:hAnsi="Times New Roman" w:cs="Times New Roman"/>
          <w:color w:val="000000"/>
          <w:sz w:val="23"/>
          <w:szCs w:val="24"/>
          <w:lang w:eastAsia="en-ZW"/>
        </w:rPr>
        <w:t>7</w:t>
      </w:r>
      <w:r>
        <w:rPr>
          <w:rFonts w:ascii="Times New Roman" w:eastAsia="Times New Roman" w:hAnsi="Times New Roman" w:cs="Times New Roman"/>
          <w:color w:val="000000"/>
          <w:sz w:val="23"/>
          <w:szCs w:val="24"/>
          <w:lang w:eastAsia="en-ZW"/>
        </w:rPr>
        <w:t xml:space="preserve">] The crux of applicant`s case </w:t>
      </w:r>
      <w:r w:rsidR="00AE605F">
        <w:rPr>
          <w:rFonts w:ascii="Times New Roman" w:eastAsia="Times New Roman" w:hAnsi="Times New Roman" w:cs="Times New Roman"/>
          <w:color w:val="000000"/>
          <w:sz w:val="23"/>
          <w:szCs w:val="24"/>
          <w:lang w:eastAsia="en-ZW"/>
        </w:rPr>
        <w:t xml:space="preserve">payment for </w:t>
      </w:r>
      <w:r>
        <w:rPr>
          <w:rFonts w:ascii="Times New Roman" w:eastAsia="Times New Roman" w:hAnsi="Times New Roman" w:cs="Times New Roman"/>
          <w:color w:val="000000"/>
          <w:sz w:val="23"/>
          <w:szCs w:val="24"/>
          <w:lang w:eastAsia="en-ZW"/>
        </w:rPr>
        <w:t xml:space="preserve">the fuel consignment </w:t>
      </w:r>
      <w:r w:rsidR="00AE605F">
        <w:rPr>
          <w:rFonts w:ascii="Times New Roman" w:eastAsia="Times New Roman" w:hAnsi="Times New Roman" w:cs="Times New Roman"/>
          <w:color w:val="000000"/>
          <w:sz w:val="23"/>
          <w:szCs w:val="24"/>
          <w:lang w:eastAsia="en-ZW"/>
        </w:rPr>
        <w:t>in question was settled in full upon delivery. This is the main issue that should receive attention rather than the second argument from applicant raising issue over the discrepancy between 40,000 and 39,837 litres of fuel. The</w:t>
      </w:r>
      <w:r>
        <w:rPr>
          <w:rFonts w:ascii="Times New Roman" w:eastAsia="Times New Roman" w:hAnsi="Times New Roman" w:cs="Times New Roman"/>
          <w:color w:val="000000"/>
          <w:sz w:val="23"/>
          <w:szCs w:val="24"/>
          <w:lang w:eastAsia="en-ZW"/>
        </w:rPr>
        <w:t xml:space="preserve"> difference, as stated by respondent is not significant. The issue anchors on the payment which applicant avers it made. </w:t>
      </w:r>
      <w:r w:rsidR="00D3339C">
        <w:rPr>
          <w:rFonts w:ascii="Times New Roman" w:eastAsia="Times New Roman" w:hAnsi="Times New Roman" w:cs="Times New Roman"/>
          <w:color w:val="000000"/>
          <w:sz w:val="23"/>
          <w:szCs w:val="24"/>
          <w:lang w:eastAsia="en-ZW"/>
        </w:rPr>
        <w:t xml:space="preserve">The simplest that applicant could have done, as noted above, would have been to detail how the payment was done. </w:t>
      </w:r>
    </w:p>
    <w:p w14:paraId="5F8E523A" w14:textId="56CEC5E0" w:rsidR="00D3339C" w:rsidRDefault="00D3339C" w:rsidP="002153A9">
      <w:pPr>
        <w:spacing w:line="360" w:lineRule="auto"/>
        <w:jc w:val="both"/>
        <w:rPr>
          <w:rFonts w:ascii="Times New Roman" w:eastAsia="Times New Roman" w:hAnsi="Times New Roman" w:cs="Times New Roman"/>
          <w:color w:val="000000"/>
          <w:sz w:val="23"/>
          <w:szCs w:val="24"/>
          <w:lang w:eastAsia="en-ZW"/>
        </w:rPr>
      </w:pPr>
      <w:r>
        <w:rPr>
          <w:rFonts w:ascii="Times New Roman" w:eastAsia="Times New Roman" w:hAnsi="Times New Roman" w:cs="Times New Roman"/>
          <w:color w:val="000000"/>
          <w:sz w:val="23"/>
          <w:szCs w:val="24"/>
          <w:lang w:eastAsia="en-ZW"/>
        </w:rPr>
        <w:t>[1</w:t>
      </w:r>
      <w:r w:rsidR="00862BC4">
        <w:rPr>
          <w:rFonts w:ascii="Times New Roman" w:eastAsia="Times New Roman" w:hAnsi="Times New Roman" w:cs="Times New Roman"/>
          <w:color w:val="000000"/>
          <w:sz w:val="23"/>
          <w:szCs w:val="24"/>
          <w:lang w:eastAsia="en-ZW"/>
        </w:rPr>
        <w:t>8</w:t>
      </w:r>
      <w:r>
        <w:rPr>
          <w:rFonts w:ascii="Times New Roman" w:eastAsia="Times New Roman" w:hAnsi="Times New Roman" w:cs="Times New Roman"/>
          <w:color w:val="000000"/>
          <w:sz w:val="23"/>
          <w:szCs w:val="24"/>
          <w:lang w:eastAsia="en-ZW"/>
        </w:rPr>
        <w:t>] Applicant reiterated that it could not produce a receipt for the payment since the transaction was on a cash on delivery basis. This explanation sounds improbable. But if indeed it is the truth of what happened, then the circumstances in which the parties transacted generate alarm. A regulated product like petroleum, procured as a precious import critical to the day-to-day need of the needs, and transported as a hazardous material in specialised tankers could ought to not yield the sort of dispute over payment as that before us now.</w:t>
      </w:r>
    </w:p>
    <w:p w14:paraId="17F70E82" w14:textId="2945E1DC" w:rsidR="005A3CEA" w:rsidRDefault="00D3339C" w:rsidP="002153A9">
      <w:pPr>
        <w:spacing w:line="360" w:lineRule="auto"/>
        <w:jc w:val="both"/>
        <w:rPr>
          <w:rFonts w:ascii="Times New Roman" w:eastAsia="Times New Roman" w:hAnsi="Times New Roman" w:cs="Times New Roman"/>
          <w:color w:val="000000"/>
          <w:sz w:val="24"/>
          <w:szCs w:val="24"/>
          <w:lang w:eastAsia="en-ZW"/>
        </w:rPr>
      </w:pPr>
      <w:r>
        <w:rPr>
          <w:rFonts w:ascii="Times New Roman" w:eastAsia="Times New Roman" w:hAnsi="Times New Roman" w:cs="Times New Roman"/>
          <w:color w:val="000000"/>
          <w:sz w:val="23"/>
          <w:szCs w:val="24"/>
          <w:lang w:eastAsia="en-ZW"/>
        </w:rPr>
        <w:t>[1</w:t>
      </w:r>
      <w:r w:rsidR="005A3CEA">
        <w:rPr>
          <w:rFonts w:ascii="Times New Roman" w:eastAsia="Times New Roman" w:hAnsi="Times New Roman" w:cs="Times New Roman"/>
          <w:color w:val="000000"/>
          <w:sz w:val="23"/>
          <w:szCs w:val="24"/>
          <w:lang w:eastAsia="en-ZW"/>
        </w:rPr>
        <w:t>9</w:t>
      </w:r>
      <w:r>
        <w:rPr>
          <w:rFonts w:ascii="Times New Roman" w:eastAsia="Times New Roman" w:hAnsi="Times New Roman" w:cs="Times New Roman"/>
          <w:color w:val="000000"/>
          <w:sz w:val="23"/>
          <w:szCs w:val="24"/>
          <w:lang w:eastAsia="en-ZW"/>
        </w:rPr>
        <w:t xml:space="preserve">] Mr. </w:t>
      </w:r>
      <w:r w:rsidRPr="00AE605F">
        <w:rPr>
          <w:rFonts w:ascii="Times New Roman" w:eastAsia="Times New Roman" w:hAnsi="Times New Roman" w:cs="Times New Roman"/>
          <w:i/>
          <w:iCs/>
          <w:color w:val="000000"/>
          <w:sz w:val="23"/>
          <w:szCs w:val="24"/>
          <w:lang w:eastAsia="en-ZW"/>
        </w:rPr>
        <w:t xml:space="preserve">Nare </w:t>
      </w:r>
      <w:r>
        <w:rPr>
          <w:rFonts w:ascii="Times New Roman" w:eastAsia="Times New Roman" w:hAnsi="Times New Roman" w:cs="Times New Roman"/>
          <w:color w:val="000000"/>
          <w:sz w:val="23"/>
          <w:szCs w:val="24"/>
          <w:lang w:eastAsia="en-ZW"/>
        </w:rPr>
        <w:t xml:space="preserve">did submit with some force that the gaps and shortcomings generated firstly by the parties` verbal contract and secondly, by the need for </w:t>
      </w:r>
      <w:r w:rsidRPr="005A3CEA">
        <w:rPr>
          <w:rFonts w:ascii="Times New Roman" w:eastAsia="Times New Roman" w:hAnsi="Times New Roman" w:cs="Times New Roman"/>
          <w:i/>
          <w:iCs/>
          <w:color w:val="000000"/>
          <w:sz w:val="23"/>
          <w:szCs w:val="24"/>
          <w:lang w:eastAsia="en-ZW"/>
        </w:rPr>
        <w:t>viva voce</w:t>
      </w:r>
      <w:r>
        <w:rPr>
          <w:rFonts w:ascii="Times New Roman" w:eastAsia="Times New Roman" w:hAnsi="Times New Roman" w:cs="Times New Roman"/>
          <w:color w:val="000000"/>
          <w:sz w:val="23"/>
          <w:szCs w:val="24"/>
          <w:lang w:eastAsia="en-ZW"/>
        </w:rPr>
        <w:t xml:space="preserve"> evidence warranted remitting the matter to fuller ventilation via a trial.  Two comments address this submission. Firstly, </w:t>
      </w:r>
      <w:r w:rsidR="005A3CEA">
        <w:rPr>
          <w:rFonts w:ascii="Times New Roman" w:eastAsia="Times New Roman" w:hAnsi="Times New Roman" w:cs="Times New Roman"/>
          <w:color w:val="000000"/>
          <w:sz w:val="23"/>
          <w:szCs w:val="24"/>
          <w:lang w:eastAsia="en-ZW"/>
        </w:rPr>
        <w:t>t</w:t>
      </w:r>
      <w:r w:rsidR="005A3CEA">
        <w:rPr>
          <w:rFonts w:ascii="Times New Roman" w:eastAsia="Times New Roman" w:hAnsi="Times New Roman" w:cs="Times New Roman"/>
          <w:color w:val="000000"/>
          <w:sz w:val="24"/>
          <w:szCs w:val="24"/>
          <w:lang w:eastAsia="en-ZW"/>
        </w:rPr>
        <w:t>he deficiencies related to by counsel tainted both parties and unfortunately, the applicant more than the respondent. The applicant cannot rely on the uncertainties of murky contractual terms as the basis for good prospects of success on the merits in a matter involving a contractual dispute of the nature between the parties.</w:t>
      </w:r>
    </w:p>
    <w:p w14:paraId="68F2F2F7" w14:textId="48148556" w:rsidR="00D3339C" w:rsidRPr="00B925CC" w:rsidRDefault="005A3CEA" w:rsidP="002153A9">
      <w:pPr>
        <w:spacing w:line="360" w:lineRule="auto"/>
        <w:jc w:val="both"/>
        <w:rPr>
          <w:rFonts w:ascii="Times New Roman" w:eastAsia="Times New Roman" w:hAnsi="Times New Roman" w:cs="Times New Roman"/>
          <w:color w:val="000000"/>
          <w:sz w:val="24"/>
          <w:szCs w:val="24"/>
          <w:lang w:eastAsia="en-ZW"/>
        </w:rPr>
      </w:pPr>
      <w:r>
        <w:rPr>
          <w:rFonts w:ascii="Times New Roman" w:eastAsia="Times New Roman" w:hAnsi="Times New Roman" w:cs="Times New Roman"/>
          <w:color w:val="000000"/>
          <w:sz w:val="24"/>
          <w:szCs w:val="24"/>
          <w:lang w:eastAsia="en-ZW"/>
        </w:rPr>
        <w:lastRenderedPageBreak/>
        <w:t xml:space="preserve">[20] </w:t>
      </w:r>
      <w:r w:rsidR="00D3339C" w:rsidRPr="00B925CC">
        <w:rPr>
          <w:rFonts w:ascii="Times New Roman" w:eastAsia="Times New Roman" w:hAnsi="Times New Roman" w:cs="Times New Roman"/>
          <w:color w:val="000000"/>
          <w:sz w:val="24"/>
          <w:szCs w:val="24"/>
          <w:lang w:eastAsia="en-ZW"/>
        </w:rPr>
        <w:t xml:space="preserve">Secondly, again, the matter reverts to the manner in which applicant pleaded its </w:t>
      </w:r>
      <w:r w:rsidRPr="00B925CC">
        <w:rPr>
          <w:rFonts w:ascii="Times New Roman" w:eastAsia="Times New Roman" w:hAnsi="Times New Roman" w:cs="Times New Roman"/>
          <w:color w:val="000000"/>
          <w:sz w:val="24"/>
          <w:szCs w:val="24"/>
          <w:lang w:eastAsia="en-ZW"/>
        </w:rPr>
        <w:t>case.</w:t>
      </w:r>
      <w:r>
        <w:rPr>
          <w:rFonts w:ascii="Times New Roman" w:eastAsia="Times New Roman" w:hAnsi="Times New Roman" w:cs="Times New Roman"/>
          <w:color w:val="000000"/>
          <w:sz w:val="24"/>
          <w:szCs w:val="24"/>
          <w:lang w:eastAsia="en-ZW"/>
        </w:rPr>
        <w:t xml:space="preserve"> As observed, applicant, ahead of respondent could have furnished cogent supporting statements to demonstrate proof of payment.</w:t>
      </w:r>
      <w:r w:rsidR="00D3339C" w:rsidRPr="00B925CC">
        <w:rPr>
          <w:rFonts w:ascii="Times New Roman" w:eastAsia="Times New Roman" w:hAnsi="Times New Roman" w:cs="Times New Roman"/>
          <w:color w:val="000000"/>
          <w:sz w:val="24"/>
          <w:szCs w:val="24"/>
          <w:lang w:eastAsia="en-ZW"/>
        </w:rPr>
        <w:t xml:space="preserve"> I</w:t>
      </w:r>
      <w:r w:rsidR="00B925CC" w:rsidRPr="00B925CC">
        <w:rPr>
          <w:rFonts w:ascii="Times New Roman" w:eastAsia="Times New Roman" w:hAnsi="Times New Roman" w:cs="Times New Roman"/>
          <w:color w:val="000000"/>
          <w:sz w:val="24"/>
          <w:szCs w:val="24"/>
          <w:lang w:eastAsia="en-ZW"/>
        </w:rPr>
        <w:t xml:space="preserve"> find myself repeating the remarks of the court in </w:t>
      </w:r>
      <w:r w:rsidR="00B925CC" w:rsidRPr="00B925CC">
        <w:rPr>
          <w:rFonts w:ascii="Times New Roman" w:hAnsi="Times New Roman" w:cs="Times New Roman"/>
          <w:i/>
          <w:sz w:val="24"/>
          <w:szCs w:val="24"/>
        </w:rPr>
        <w:t>Songore</w:t>
      </w:r>
      <w:r w:rsidR="00B925CC" w:rsidRPr="00B925CC">
        <w:rPr>
          <w:rFonts w:ascii="Times New Roman" w:hAnsi="Times New Roman" w:cs="Times New Roman"/>
          <w:sz w:val="24"/>
          <w:szCs w:val="24"/>
        </w:rPr>
        <w:t xml:space="preserve"> v </w:t>
      </w:r>
      <w:r w:rsidR="00B925CC" w:rsidRPr="00B925CC">
        <w:rPr>
          <w:rFonts w:ascii="Times New Roman" w:hAnsi="Times New Roman" w:cs="Times New Roman"/>
          <w:i/>
          <w:sz w:val="24"/>
          <w:szCs w:val="24"/>
        </w:rPr>
        <w:t>Olivine Industries (Pvt)</w:t>
      </w:r>
      <w:r w:rsidR="00B925CC" w:rsidRPr="00B925CC">
        <w:rPr>
          <w:rFonts w:ascii="Times New Roman" w:hAnsi="Times New Roman" w:cs="Times New Roman"/>
          <w:sz w:val="24"/>
          <w:szCs w:val="24"/>
        </w:rPr>
        <w:t xml:space="preserve"> </w:t>
      </w:r>
      <w:r w:rsidR="00B925CC" w:rsidRPr="00B925CC">
        <w:rPr>
          <w:rFonts w:ascii="Times New Roman" w:hAnsi="Times New Roman" w:cs="Times New Roman"/>
          <w:i/>
          <w:sz w:val="24"/>
          <w:szCs w:val="24"/>
        </w:rPr>
        <w:t>Ltd</w:t>
      </w:r>
      <w:r w:rsidR="00B925CC" w:rsidRPr="00B925CC">
        <w:rPr>
          <w:rFonts w:ascii="Times New Roman" w:hAnsi="Times New Roman" w:cs="Times New Roman"/>
          <w:sz w:val="24"/>
          <w:szCs w:val="24"/>
        </w:rPr>
        <w:t xml:space="preserve"> 1988 (2) ZLR 210 (S) </w:t>
      </w:r>
      <w:r w:rsidR="00B925CC" w:rsidRPr="00B925CC">
        <w:rPr>
          <w:rFonts w:ascii="Times New Roman" w:eastAsia="Times New Roman" w:hAnsi="Times New Roman" w:cs="Times New Roman"/>
          <w:color w:val="000000"/>
          <w:sz w:val="24"/>
          <w:szCs w:val="24"/>
          <w:lang w:eastAsia="en-ZW"/>
        </w:rPr>
        <w:t xml:space="preserve">to the effect </w:t>
      </w:r>
      <w:r w:rsidR="00B925CC">
        <w:rPr>
          <w:rFonts w:ascii="Times New Roman" w:eastAsia="Times New Roman" w:hAnsi="Times New Roman" w:cs="Times New Roman"/>
          <w:color w:val="000000"/>
          <w:sz w:val="24"/>
          <w:szCs w:val="24"/>
          <w:lang w:eastAsia="en-ZW"/>
        </w:rPr>
        <w:t xml:space="preserve">at 215 </w:t>
      </w:r>
      <w:r w:rsidR="00B925CC" w:rsidRPr="00B925CC">
        <w:rPr>
          <w:rFonts w:ascii="Times New Roman" w:eastAsia="Times New Roman" w:hAnsi="Times New Roman" w:cs="Times New Roman"/>
          <w:color w:val="000000"/>
          <w:sz w:val="24"/>
          <w:szCs w:val="24"/>
          <w:lang w:eastAsia="en-ZW"/>
        </w:rPr>
        <w:t>that; -</w:t>
      </w:r>
    </w:p>
    <w:p w14:paraId="633AC6D5" w14:textId="564C1ABE" w:rsidR="005A3CEA" w:rsidRDefault="00B925CC" w:rsidP="005A3CEA">
      <w:pPr>
        <w:spacing w:after="0" w:line="367" w:lineRule="auto"/>
        <w:ind w:left="567"/>
        <w:jc w:val="both"/>
        <w:rPr>
          <w:rFonts w:ascii="Times New Roman" w:hAnsi="Times New Roman" w:cs="Times New Roman"/>
        </w:rPr>
      </w:pPr>
      <w:r w:rsidRPr="00B925CC">
        <w:rPr>
          <w:rFonts w:ascii="Times New Roman" w:eastAsia="Times New Roman" w:hAnsi="Times New Roman" w:cs="Times New Roman"/>
          <w:color w:val="000000"/>
          <w:sz w:val="24"/>
          <w:szCs w:val="24"/>
          <w:lang w:eastAsia="en-ZW"/>
        </w:rPr>
        <w:t xml:space="preserve">“I must say in conclusion that it is perhaps fortunate for the plaintiff that I have found that the defendant has failed to discharge the onus. The plaintiff’s affidavit is almost as inadequate as the defendant’s. It fails to deal squarely with the allegation that payments were made by cheques drawn by Ruvangu Enterprises (Pvt) Ltd. It fails also to deal squarely with the allegation that the plaintiff was told in 1983 that Ruvangu Enterprises (Pvt) Ltd had taken over from the defendant. It speaks vaguely and misleadingly about “the corporate veil” and about the defendant’s perjurious allegations, when these allegations were prima facie mistaken rather than perjurious.” </w:t>
      </w:r>
    </w:p>
    <w:p w14:paraId="561730A9" w14:textId="300C4EE0" w:rsidR="00253B46" w:rsidRPr="00AE605F" w:rsidRDefault="00B925CC" w:rsidP="002153A9">
      <w:pPr>
        <w:spacing w:line="360" w:lineRule="auto"/>
        <w:jc w:val="both"/>
        <w:rPr>
          <w:rFonts w:ascii="Times New Roman" w:hAnsi="Times New Roman" w:cs="Times New Roman"/>
        </w:rPr>
      </w:pPr>
      <w:r w:rsidRPr="00AE605F">
        <w:rPr>
          <w:rFonts w:ascii="Times New Roman" w:hAnsi="Times New Roman" w:cs="Times New Roman"/>
        </w:rPr>
        <w:t>DISPOSITION</w:t>
      </w:r>
    </w:p>
    <w:p w14:paraId="085DA3A7" w14:textId="77777777" w:rsidR="00AE605F" w:rsidRDefault="00B925CC" w:rsidP="002153A9">
      <w:pPr>
        <w:spacing w:line="360" w:lineRule="auto"/>
        <w:jc w:val="both"/>
        <w:rPr>
          <w:rFonts w:ascii="Times New Roman" w:hAnsi="Times New Roman" w:cs="Times New Roman"/>
          <w:sz w:val="24"/>
          <w:szCs w:val="24"/>
        </w:rPr>
      </w:pPr>
      <w:r>
        <w:rPr>
          <w:rFonts w:ascii="Times New Roman" w:hAnsi="Times New Roman" w:cs="Times New Roman"/>
          <w:sz w:val="24"/>
          <w:szCs w:val="24"/>
        </w:rPr>
        <w:t>[</w:t>
      </w:r>
      <w:r w:rsidR="00AE605F">
        <w:rPr>
          <w:rFonts w:ascii="Times New Roman" w:hAnsi="Times New Roman" w:cs="Times New Roman"/>
          <w:sz w:val="24"/>
          <w:szCs w:val="24"/>
        </w:rPr>
        <w:t>20</w:t>
      </w:r>
      <w:r>
        <w:rPr>
          <w:rFonts w:ascii="Times New Roman" w:hAnsi="Times New Roman" w:cs="Times New Roman"/>
          <w:sz w:val="24"/>
          <w:szCs w:val="24"/>
        </w:rPr>
        <w:t xml:space="preserve">] I am unpersuaded that the applicant enjoys prospects of success on the merits. Throughout the herein papers and argument, the applicant fastidiously avoided stipulating as a positive fact, the amount of money paid in exchange of the 40,000 litres of fuel received. </w:t>
      </w:r>
      <w:r w:rsidR="00AE605F">
        <w:rPr>
          <w:rFonts w:ascii="Times New Roman" w:hAnsi="Times New Roman" w:cs="Times New Roman"/>
          <w:sz w:val="24"/>
          <w:szCs w:val="24"/>
        </w:rPr>
        <w:t xml:space="preserve">This recalcitrance is inconsistent with the bona fides required in an application of this nature. </w:t>
      </w:r>
    </w:p>
    <w:p w14:paraId="0B5D6375" w14:textId="57DA9394" w:rsidR="00B4273A" w:rsidRDefault="00AE605F" w:rsidP="002153A9">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[21] Weighing the requisite </w:t>
      </w:r>
      <w:r w:rsidR="005A3CEA">
        <w:rPr>
          <w:rFonts w:ascii="Times New Roman" w:hAnsi="Times New Roman" w:cs="Times New Roman"/>
          <w:sz w:val="24"/>
          <w:szCs w:val="24"/>
        </w:rPr>
        <w:t>factors,</w:t>
      </w:r>
      <w:r>
        <w:rPr>
          <w:rFonts w:ascii="Times New Roman" w:hAnsi="Times New Roman" w:cs="Times New Roman"/>
          <w:sz w:val="24"/>
          <w:szCs w:val="24"/>
        </w:rPr>
        <w:t xml:space="preserve"> I am of the view that no good and sufficient cause to revisit the default judgment entered by this court on 18 May 2023 has been demonstrated. </w:t>
      </w:r>
    </w:p>
    <w:p w14:paraId="497AA952" w14:textId="5517C13F" w:rsidR="00B925CC" w:rsidRDefault="003B5181" w:rsidP="002153A9">
      <w:pPr>
        <w:spacing w:line="360" w:lineRule="auto"/>
        <w:jc w:val="both"/>
        <w:rPr>
          <w:rFonts w:ascii="Times New Roman" w:hAnsi="Times New Roman" w:cs="Times New Roman"/>
          <w:sz w:val="24"/>
          <w:szCs w:val="24"/>
        </w:rPr>
      </w:pPr>
      <w:r>
        <w:rPr>
          <w:rFonts w:ascii="Times New Roman" w:hAnsi="Times New Roman" w:cs="Times New Roman"/>
          <w:sz w:val="24"/>
          <w:szCs w:val="24"/>
        </w:rPr>
        <w:t>It is accordingly ordered as follows; -</w:t>
      </w:r>
    </w:p>
    <w:p w14:paraId="0B4BB035" w14:textId="74B24117" w:rsidR="003B5181" w:rsidRPr="00B4273A" w:rsidRDefault="003B5181" w:rsidP="0058410C">
      <w:pPr>
        <w:pStyle w:val="NoSpacing"/>
        <w:numPr>
          <w:ilvl w:val="0"/>
          <w:numId w:val="3"/>
        </w:numPr>
        <w:rPr>
          <w:rFonts w:ascii="Times New Roman" w:hAnsi="Times New Roman" w:cs="Times New Roman"/>
          <w:sz w:val="24"/>
          <w:szCs w:val="24"/>
        </w:rPr>
      </w:pPr>
      <w:r w:rsidRPr="00B4273A">
        <w:rPr>
          <w:rFonts w:ascii="Times New Roman" w:hAnsi="Times New Roman" w:cs="Times New Roman"/>
          <w:sz w:val="24"/>
          <w:szCs w:val="24"/>
        </w:rPr>
        <w:t>The application for rescission of judgment be and is hereby dismissed with costs.</w:t>
      </w:r>
    </w:p>
    <w:p w14:paraId="1DD85FAC" w14:textId="77777777" w:rsidR="003B5181" w:rsidRDefault="003B5181" w:rsidP="002153A9">
      <w:pPr>
        <w:spacing w:line="360" w:lineRule="auto"/>
        <w:jc w:val="both"/>
        <w:rPr>
          <w:rFonts w:ascii="Times New Roman" w:hAnsi="Times New Roman" w:cs="Times New Roman"/>
          <w:sz w:val="24"/>
          <w:szCs w:val="24"/>
        </w:rPr>
      </w:pPr>
    </w:p>
    <w:p w14:paraId="3C8336E7" w14:textId="03E84DE0" w:rsidR="003B5181" w:rsidRPr="00B4273A" w:rsidRDefault="00B4273A" w:rsidP="00B4273A">
      <w:pPr>
        <w:pStyle w:val="NoSpacing"/>
        <w:rPr>
          <w:rFonts w:ascii="Times New Roman" w:hAnsi="Times New Roman" w:cs="Times New Roman"/>
          <w:sz w:val="24"/>
          <w:szCs w:val="24"/>
        </w:rPr>
      </w:pPr>
      <w:r w:rsidRPr="00B4273A">
        <w:rPr>
          <w:rFonts w:ascii="Times New Roman" w:hAnsi="Times New Roman" w:cs="Times New Roman"/>
          <w:i/>
          <w:iCs/>
          <w:sz w:val="24"/>
          <w:szCs w:val="24"/>
        </w:rPr>
        <w:t>Maseko Law Chambers</w:t>
      </w:r>
      <w:r w:rsidRPr="00B4273A">
        <w:rPr>
          <w:rFonts w:ascii="Times New Roman" w:hAnsi="Times New Roman" w:cs="Times New Roman"/>
          <w:sz w:val="24"/>
          <w:szCs w:val="24"/>
        </w:rPr>
        <w:t xml:space="preserve"> – applicant`s legal practitioners</w:t>
      </w:r>
    </w:p>
    <w:p w14:paraId="602630C9" w14:textId="2DE909DE" w:rsidR="00B4273A" w:rsidRPr="00B4273A" w:rsidRDefault="00B4273A" w:rsidP="00B4273A">
      <w:pPr>
        <w:pStyle w:val="NoSpacing"/>
        <w:rPr>
          <w:rFonts w:ascii="Times New Roman" w:hAnsi="Times New Roman" w:cs="Times New Roman"/>
          <w:sz w:val="24"/>
          <w:szCs w:val="24"/>
        </w:rPr>
      </w:pPr>
      <w:r w:rsidRPr="00B4273A">
        <w:rPr>
          <w:rFonts w:ascii="Times New Roman" w:hAnsi="Times New Roman" w:cs="Times New Roman"/>
          <w:i/>
          <w:iCs/>
          <w:sz w:val="24"/>
          <w:szCs w:val="24"/>
        </w:rPr>
        <w:t>Dube-Tachiona and Tsvangirai</w:t>
      </w:r>
      <w:r w:rsidRPr="00B4273A">
        <w:rPr>
          <w:rFonts w:ascii="Times New Roman" w:hAnsi="Times New Roman" w:cs="Times New Roman"/>
          <w:sz w:val="24"/>
          <w:szCs w:val="24"/>
        </w:rPr>
        <w:t xml:space="preserve"> -respondent`s legal practitioners</w:t>
      </w:r>
    </w:p>
    <w:p w14:paraId="1DA7757D" w14:textId="77777777" w:rsidR="00B4273A" w:rsidRDefault="00B4273A" w:rsidP="002153A9">
      <w:pPr>
        <w:spacing w:line="360" w:lineRule="auto"/>
        <w:jc w:val="both"/>
        <w:rPr>
          <w:rFonts w:ascii="Times New Roman" w:hAnsi="Times New Roman" w:cs="Times New Roman"/>
          <w:sz w:val="24"/>
          <w:szCs w:val="24"/>
        </w:rPr>
      </w:pPr>
    </w:p>
    <w:p w14:paraId="54EC2795" w14:textId="7D3BB80B" w:rsidR="00B4273A" w:rsidRPr="00B4273A" w:rsidRDefault="00B4273A" w:rsidP="002153A9">
      <w:pPr>
        <w:spacing w:line="360" w:lineRule="auto"/>
        <w:jc w:val="both"/>
        <w:rPr>
          <w:rFonts w:ascii="Times New Roman" w:hAnsi="Times New Roman" w:cs="Times New Roman"/>
          <w:sz w:val="16"/>
          <w:szCs w:val="16"/>
        </w:rPr>
      </w:pPr>
      <w:r>
        <w:rPr>
          <w:rFonts w:ascii="Times New Roman" w:hAnsi="Times New Roman" w:cs="Times New Roman"/>
          <w:sz w:val="16"/>
          <w:szCs w:val="16"/>
        </w:rPr>
        <w:t xml:space="preserve">                                                                                                                                                             </w:t>
      </w:r>
      <w:r w:rsidRPr="00B4273A">
        <w:rPr>
          <w:rFonts w:ascii="Times New Roman" w:hAnsi="Times New Roman" w:cs="Times New Roman"/>
          <w:sz w:val="16"/>
          <w:szCs w:val="16"/>
        </w:rPr>
        <w:t>[CHILIMBE J____</w:t>
      </w:r>
      <w:r w:rsidR="0058410C">
        <w:rPr>
          <w:rFonts w:ascii="Times New Roman" w:hAnsi="Times New Roman" w:cs="Times New Roman"/>
          <w:sz w:val="16"/>
          <w:szCs w:val="16"/>
        </w:rPr>
        <w:t>17</w:t>
      </w:r>
      <w:r w:rsidRPr="00B4273A">
        <w:rPr>
          <w:rFonts w:ascii="Times New Roman" w:hAnsi="Times New Roman" w:cs="Times New Roman"/>
          <w:sz w:val="16"/>
          <w:szCs w:val="16"/>
        </w:rPr>
        <w:t>/6/25]</w:t>
      </w:r>
    </w:p>
    <w:p w14:paraId="4C96C9F7" w14:textId="48484C6A" w:rsidR="00403626" w:rsidRPr="002153A9" w:rsidRDefault="001F7A04" w:rsidP="002153A9">
      <w:pPr>
        <w:spacing w:line="360" w:lineRule="auto"/>
        <w:jc w:val="both"/>
        <w:rPr>
          <w:rFonts w:ascii="Times New Roman" w:hAnsi="Times New Roman" w:cs="Times New Roman"/>
          <w:sz w:val="24"/>
          <w:szCs w:val="24"/>
        </w:rPr>
      </w:pPr>
      <w:r w:rsidRPr="001F7A04">
        <w:rPr>
          <w:rFonts w:ascii="Calibri" w:eastAsia="Calibri" w:hAnsi="Calibri" w:cs="Times New Roman"/>
          <w:noProof/>
          <w:kern w:val="0"/>
          <w:lang w:val="en-US"/>
          <w14:ligatures w14:val="none"/>
        </w:rPr>
        <w:drawing>
          <wp:inline distT="0" distB="0" distL="0" distR="0" wp14:anchorId="18A8653D" wp14:editId="219AE79A">
            <wp:extent cx="991235" cy="504701"/>
            <wp:effectExtent l="0" t="0" r="0" b="0"/>
            <wp:docPr id="85499959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05907" cy="512172"/>
                    </a:xfrm>
                    <a:prstGeom prst="rect">
                      <a:avLst/>
                    </a:prstGeom>
                    <a:noFill/>
                    <a:ln>
                      <a:noFill/>
                    </a:ln>
                  </pic:spPr>
                </pic:pic>
              </a:graphicData>
            </a:graphic>
          </wp:inline>
        </w:drawing>
      </w:r>
    </w:p>
    <w:sectPr w:rsidR="00403626" w:rsidRPr="002153A9">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951B45D" w14:textId="77777777" w:rsidR="009B336F" w:rsidRDefault="009B336F" w:rsidP="00F93A04">
      <w:pPr>
        <w:spacing w:after="0" w:line="240" w:lineRule="auto"/>
      </w:pPr>
      <w:r>
        <w:separator/>
      </w:r>
    </w:p>
  </w:endnote>
  <w:endnote w:type="continuationSeparator" w:id="0">
    <w:p w14:paraId="677641B5" w14:textId="77777777" w:rsidR="009B336F" w:rsidRDefault="009B336F" w:rsidP="00F93A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918652F" w14:textId="77777777" w:rsidR="009B336F" w:rsidRDefault="009B336F" w:rsidP="00F93A04">
      <w:pPr>
        <w:spacing w:after="0" w:line="240" w:lineRule="auto"/>
      </w:pPr>
      <w:r>
        <w:separator/>
      </w:r>
    </w:p>
  </w:footnote>
  <w:footnote w:type="continuationSeparator" w:id="0">
    <w:p w14:paraId="595E4822" w14:textId="77777777" w:rsidR="009B336F" w:rsidRDefault="009B336F" w:rsidP="00F93A0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b/>
        <w:bCs/>
        <w:sz w:val="18"/>
        <w:szCs w:val="18"/>
      </w:rPr>
      <w:id w:val="1848285119"/>
      <w:docPartObj>
        <w:docPartGallery w:val="Page Numbers (Top of Page)"/>
        <w:docPartUnique/>
      </w:docPartObj>
    </w:sdtPr>
    <w:sdtEndPr>
      <w:rPr>
        <w:noProof/>
      </w:rPr>
    </w:sdtEndPr>
    <w:sdtContent>
      <w:p w14:paraId="56C9D788" w14:textId="3ABFE989" w:rsidR="00F93A04" w:rsidRPr="0058410C" w:rsidRDefault="00F93A04" w:rsidP="00F4729D">
        <w:pPr>
          <w:pStyle w:val="Header"/>
          <w:jc w:val="right"/>
          <w:rPr>
            <w:b/>
            <w:bCs/>
            <w:noProof/>
            <w:sz w:val="18"/>
            <w:szCs w:val="18"/>
          </w:rPr>
        </w:pPr>
        <w:r w:rsidRPr="0058410C">
          <w:rPr>
            <w:b/>
            <w:bCs/>
            <w:sz w:val="18"/>
            <w:szCs w:val="18"/>
          </w:rPr>
          <w:fldChar w:fldCharType="begin"/>
        </w:r>
        <w:r w:rsidRPr="0058410C">
          <w:rPr>
            <w:b/>
            <w:bCs/>
            <w:sz w:val="18"/>
            <w:szCs w:val="18"/>
          </w:rPr>
          <w:instrText xml:space="preserve"> PAGE   \* MERGEFORMAT </w:instrText>
        </w:r>
        <w:r w:rsidRPr="0058410C">
          <w:rPr>
            <w:b/>
            <w:bCs/>
            <w:sz w:val="18"/>
            <w:szCs w:val="18"/>
          </w:rPr>
          <w:fldChar w:fldCharType="separate"/>
        </w:r>
        <w:r w:rsidR="00F4729D">
          <w:rPr>
            <w:b/>
            <w:bCs/>
            <w:noProof/>
            <w:sz w:val="18"/>
            <w:szCs w:val="18"/>
          </w:rPr>
          <w:t>1</w:t>
        </w:r>
        <w:r w:rsidRPr="0058410C">
          <w:rPr>
            <w:b/>
            <w:bCs/>
            <w:noProof/>
            <w:sz w:val="18"/>
            <w:szCs w:val="18"/>
          </w:rPr>
          <w:fldChar w:fldCharType="end"/>
        </w:r>
      </w:p>
      <w:p w14:paraId="42AA7514" w14:textId="04B21F46" w:rsidR="00F93A04" w:rsidRPr="0058410C" w:rsidRDefault="00F93A04" w:rsidP="00F4729D">
        <w:pPr>
          <w:pStyle w:val="Header"/>
          <w:jc w:val="right"/>
          <w:rPr>
            <w:b/>
            <w:bCs/>
            <w:noProof/>
            <w:sz w:val="18"/>
            <w:szCs w:val="18"/>
          </w:rPr>
        </w:pPr>
        <w:r w:rsidRPr="0058410C">
          <w:rPr>
            <w:b/>
            <w:bCs/>
            <w:noProof/>
            <w:sz w:val="18"/>
            <w:szCs w:val="18"/>
          </w:rPr>
          <w:t>HH</w:t>
        </w:r>
        <w:r w:rsidR="00515C0B" w:rsidRPr="0058410C">
          <w:rPr>
            <w:b/>
            <w:bCs/>
            <w:noProof/>
            <w:sz w:val="18"/>
            <w:szCs w:val="18"/>
          </w:rPr>
          <w:t xml:space="preserve"> </w:t>
        </w:r>
        <w:r w:rsidR="0058410C" w:rsidRPr="0058410C">
          <w:rPr>
            <w:b/>
            <w:bCs/>
            <w:noProof/>
            <w:sz w:val="18"/>
            <w:szCs w:val="18"/>
          </w:rPr>
          <w:t>341-25</w:t>
        </w:r>
      </w:p>
      <w:p w14:paraId="791CAC4B" w14:textId="3F788F00" w:rsidR="00AD042A" w:rsidRPr="0058410C" w:rsidRDefault="00F93A04" w:rsidP="00F4729D">
        <w:pPr>
          <w:pStyle w:val="Header"/>
          <w:jc w:val="right"/>
          <w:rPr>
            <w:b/>
            <w:bCs/>
            <w:noProof/>
            <w:sz w:val="18"/>
            <w:szCs w:val="18"/>
          </w:rPr>
        </w:pPr>
        <w:r w:rsidRPr="0058410C">
          <w:rPr>
            <w:b/>
            <w:bCs/>
            <w:noProof/>
            <w:sz w:val="18"/>
            <w:szCs w:val="18"/>
          </w:rPr>
          <w:t>HCHC 4</w:t>
        </w:r>
        <w:r w:rsidR="00AD042A" w:rsidRPr="0058410C">
          <w:rPr>
            <w:b/>
            <w:bCs/>
            <w:noProof/>
            <w:sz w:val="18"/>
            <w:szCs w:val="18"/>
          </w:rPr>
          <w:t>01</w:t>
        </w:r>
        <w:r w:rsidRPr="0058410C">
          <w:rPr>
            <w:b/>
            <w:bCs/>
            <w:noProof/>
            <w:sz w:val="18"/>
            <w:szCs w:val="18"/>
          </w:rPr>
          <w:t>/2</w:t>
        </w:r>
        <w:r w:rsidR="00E26B18">
          <w:rPr>
            <w:b/>
            <w:bCs/>
            <w:noProof/>
            <w:sz w:val="18"/>
            <w:szCs w:val="18"/>
          </w:rPr>
          <w:t>3</w:t>
        </w:r>
      </w:p>
      <w:p w14:paraId="2BF30876" w14:textId="3AA7F180" w:rsidR="00F93A04" w:rsidRPr="0058410C" w:rsidRDefault="00AD042A" w:rsidP="00F4729D">
        <w:pPr>
          <w:pStyle w:val="Header"/>
          <w:jc w:val="right"/>
          <w:rPr>
            <w:b/>
            <w:bCs/>
            <w:sz w:val="18"/>
            <w:szCs w:val="18"/>
          </w:rPr>
        </w:pPr>
        <w:r w:rsidRPr="0058410C">
          <w:rPr>
            <w:b/>
            <w:bCs/>
            <w:noProof/>
            <w:sz w:val="18"/>
            <w:szCs w:val="18"/>
          </w:rPr>
          <w:t>Ref HCHC 499/22</w:t>
        </w:r>
      </w:p>
    </w:sdtContent>
  </w:sdt>
  <w:p w14:paraId="1AD4F607" w14:textId="77777777" w:rsidR="00F93A04" w:rsidRDefault="00F93A04">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BB363A"/>
    <w:multiLevelType w:val="hybridMultilevel"/>
    <w:tmpl w:val="1E5AC900"/>
    <w:lvl w:ilvl="0" w:tplc="7D384EF6">
      <w:start w:val="24"/>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E74472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E54549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0B4852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2427A7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0ECAEC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CBE9B6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FBE9A1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20293F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1D212300"/>
    <w:multiLevelType w:val="hybridMultilevel"/>
    <w:tmpl w:val="FB324714"/>
    <w:lvl w:ilvl="0" w:tplc="3009000F">
      <w:start w:val="1"/>
      <w:numFmt w:val="decimal"/>
      <w:lvlText w:val="%1."/>
      <w:lvlJc w:val="left"/>
      <w:pPr>
        <w:ind w:left="720" w:hanging="360"/>
      </w:p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 w15:restartNumberingAfterBreak="0">
    <w:nsid w:val="53DF536C"/>
    <w:multiLevelType w:val="hybridMultilevel"/>
    <w:tmpl w:val="29D408D4"/>
    <w:lvl w:ilvl="0" w:tplc="A0B48528">
      <w:start w:val="1"/>
      <w:numFmt w:val="decimal"/>
      <w:lvlText w:val="%1"/>
      <w:lvlJc w:val="left"/>
      <w:pPr>
        <w:ind w:left="720"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3A04"/>
    <w:rsid w:val="000D4476"/>
    <w:rsid w:val="001073EB"/>
    <w:rsid w:val="00120952"/>
    <w:rsid w:val="00132C4A"/>
    <w:rsid w:val="001F7A04"/>
    <w:rsid w:val="002153A9"/>
    <w:rsid w:val="00240E3D"/>
    <w:rsid w:val="00253B46"/>
    <w:rsid w:val="003B5181"/>
    <w:rsid w:val="003B6AB9"/>
    <w:rsid w:val="00403626"/>
    <w:rsid w:val="00441981"/>
    <w:rsid w:val="004E72DA"/>
    <w:rsid w:val="00515C0B"/>
    <w:rsid w:val="005219FD"/>
    <w:rsid w:val="0058410C"/>
    <w:rsid w:val="005A3CEA"/>
    <w:rsid w:val="005E766C"/>
    <w:rsid w:val="00650FE9"/>
    <w:rsid w:val="006640F1"/>
    <w:rsid w:val="00743640"/>
    <w:rsid w:val="00751EC5"/>
    <w:rsid w:val="0075239F"/>
    <w:rsid w:val="007772C1"/>
    <w:rsid w:val="007C64AB"/>
    <w:rsid w:val="007D2DCE"/>
    <w:rsid w:val="00862BC4"/>
    <w:rsid w:val="008F3153"/>
    <w:rsid w:val="009B336F"/>
    <w:rsid w:val="009D6F5B"/>
    <w:rsid w:val="00AD042A"/>
    <w:rsid w:val="00AE1129"/>
    <w:rsid w:val="00AE605F"/>
    <w:rsid w:val="00AF1879"/>
    <w:rsid w:val="00B4273A"/>
    <w:rsid w:val="00B45998"/>
    <w:rsid w:val="00B925CC"/>
    <w:rsid w:val="00BA78F5"/>
    <w:rsid w:val="00BF3270"/>
    <w:rsid w:val="00BF5F89"/>
    <w:rsid w:val="00CC6C3D"/>
    <w:rsid w:val="00D021C5"/>
    <w:rsid w:val="00D3339C"/>
    <w:rsid w:val="00D67149"/>
    <w:rsid w:val="00D871ED"/>
    <w:rsid w:val="00E26B18"/>
    <w:rsid w:val="00E45521"/>
    <w:rsid w:val="00EA15C7"/>
    <w:rsid w:val="00F379EE"/>
    <w:rsid w:val="00F4729D"/>
    <w:rsid w:val="00F932C9"/>
    <w:rsid w:val="00F93A04"/>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BD0C6D"/>
  <w15:chartTrackingRefBased/>
  <w15:docId w15:val="{BE54653F-B4AE-4008-8328-38254E80A4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ZW"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F93A0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93A0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93A0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93A0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93A0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93A0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93A0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93A0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93A0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93A0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93A0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93A0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93A0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93A0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93A0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93A0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93A0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93A04"/>
    <w:rPr>
      <w:rFonts w:eastAsiaTheme="majorEastAsia" w:cstheme="majorBidi"/>
      <w:color w:val="272727" w:themeColor="text1" w:themeTint="D8"/>
    </w:rPr>
  </w:style>
  <w:style w:type="paragraph" w:styleId="Title">
    <w:name w:val="Title"/>
    <w:basedOn w:val="Normal"/>
    <w:next w:val="Normal"/>
    <w:link w:val="TitleChar"/>
    <w:uiPriority w:val="10"/>
    <w:qFormat/>
    <w:rsid w:val="00F93A0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93A0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93A0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93A0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93A04"/>
    <w:pPr>
      <w:spacing w:before="160"/>
      <w:jc w:val="center"/>
    </w:pPr>
    <w:rPr>
      <w:i/>
      <w:iCs/>
      <w:color w:val="404040" w:themeColor="text1" w:themeTint="BF"/>
    </w:rPr>
  </w:style>
  <w:style w:type="character" w:customStyle="1" w:styleId="QuoteChar">
    <w:name w:val="Quote Char"/>
    <w:basedOn w:val="DefaultParagraphFont"/>
    <w:link w:val="Quote"/>
    <w:uiPriority w:val="29"/>
    <w:rsid w:val="00F93A04"/>
    <w:rPr>
      <w:i/>
      <w:iCs/>
      <w:color w:val="404040" w:themeColor="text1" w:themeTint="BF"/>
    </w:rPr>
  </w:style>
  <w:style w:type="paragraph" w:styleId="ListParagraph">
    <w:name w:val="List Paragraph"/>
    <w:basedOn w:val="Normal"/>
    <w:uiPriority w:val="34"/>
    <w:qFormat/>
    <w:rsid w:val="00F93A04"/>
    <w:pPr>
      <w:ind w:left="720"/>
      <w:contextualSpacing/>
    </w:pPr>
  </w:style>
  <w:style w:type="character" w:styleId="IntenseEmphasis">
    <w:name w:val="Intense Emphasis"/>
    <w:basedOn w:val="DefaultParagraphFont"/>
    <w:uiPriority w:val="21"/>
    <w:qFormat/>
    <w:rsid w:val="00F93A04"/>
    <w:rPr>
      <w:i/>
      <w:iCs/>
      <w:color w:val="2F5496" w:themeColor="accent1" w:themeShade="BF"/>
    </w:rPr>
  </w:style>
  <w:style w:type="paragraph" w:styleId="IntenseQuote">
    <w:name w:val="Intense Quote"/>
    <w:basedOn w:val="Normal"/>
    <w:next w:val="Normal"/>
    <w:link w:val="IntenseQuoteChar"/>
    <w:uiPriority w:val="30"/>
    <w:qFormat/>
    <w:rsid w:val="00F93A0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93A04"/>
    <w:rPr>
      <w:i/>
      <w:iCs/>
      <w:color w:val="2F5496" w:themeColor="accent1" w:themeShade="BF"/>
    </w:rPr>
  </w:style>
  <w:style w:type="character" w:styleId="IntenseReference">
    <w:name w:val="Intense Reference"/>
    <w:basedOn w:val="DefaultParagraphFont"/>
    <w:uiPriority w:val="32"/>
    <w:qFormat/>
    <w:rsid w:val="00F93A04"/>
    <w:rPr>
      <w:b/>
      <w:bCs/>
      <w:smallCaps/>
      <w:color w:val="2F5496" w:themeColor="accent1" w:themeShade="BF"/>
      <w:spacing w:val="5"/>
    </w:rPr>
  </w:style>
  <w:style w:type="paragraph" w:styleId="Header">
    <w:name w:val="header"/>
    <w:basedOn w:val="Normal"/>
    <w:link w:val="HeaderChar"/>
    <w:uiPriority w:val="99"/>
    <w:unhideWhenUsed/>
    <w:rsid w:val="00F93A04"/>
    <w:pPr>
      <w:tabs>
        <w:tab w:val="center" w:pos="4513"/>
        <w:tab w:val="right" w:pos="9026"/>
      </w:tabs>
      <w:spacing w:after="0" w:line="240" w:lineRule="auto"/>
    </w:pPr>
  </w:style>
  <w:style w:type="character" w:customStyle="1" w:styleId="HeaderChar">
    <w:name w:val="Header Char"/>
    <w:basedOn w:val="DefaultParagraphFont"/>
    <w:link w:val="Header"/>
    <w:uiPriority w:val="99"/>
    <w:rsid w:val="00F93A04"/>
  </w:style>
  <w:style w:type="paragraph" w:styleId="Footer">
    <w:name w:val="footer"/>
    <w:basedOn w:val="Normal"/>
    <w:link w:val="FooterChar"/>
    <w:uiPriority w:val="99"/>
    <w:unhideWhenUsed/>
    <w:rsid w:val="00F93A04"/>
    <w:pPr>
      <w:tabs>
        <w:tab w:val="center" w:pos="4513"/>
        <w:tab w:val="right" w:pos="9026"/>
      </w:tabs>
      <w:spacing w:after="0" w:line="240" w:lineRule="auto"/>
    </w:pPr>
  </w:style>
  <w:style w:type="character" w:customStyle="1" w:styleId="FooterChar">
    <w:name w:val="Footer Char"/>
    <w:basedOn w:val="DefaultParagraphFont"/>
    <w:link w:val="Footer"/>
    <w:uiPriority w:val="99"/>
    <w:rsid w:val="00F93A04"/>
  </w:style>
  <w:style w:type="paragraph" w:styleId="NoSpacing">
    <w:name w:val="No Spacing"/>
    <w:uiPriority w:val="1"/>
    <w:qFormat/>
    <w:rsid w:val="00403626"/>
    <w:pPr>
      <w:spacing w:after="0" w:line="240" w:lineRule="auto"/>
    </w:pPr>
  </w:style>
  <w:style w:type="paragraph" w:customStyle="1" w:styleId="Default">
    <w:name w:val="Default"/>
    <w:rsid w:val="002153A9"/>
    <w:pPr>
      <w:autoSpaceDE w:val="0"/>
      <w:autoSpaceDN w:val="0"/>
      <w:adjustRightInd w:val="0"/>
      <w:spacing w:after="0" w:line="240" w:lineRule="auto"/>
    </w:pPr>
    <w:rPr>
      <w:rFonts w:ascii="Times New Roman" w:hAnsi="Times New Roman" w:cs="Times New Roman"/>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2048</Words>
  <Characters>11680</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JOSEPH CHILIMBE</dc:creator>
  <cp:keywords/>
  <dc:description/>
  <cp:lastModifiedBy>JSC</cp:lastModifiedBy>
  <cp:revision>2</cp:revision>
  <cp:lastPrinted>2025-06-18T16:45:00Z</cp:lastPrinted>
  <dcterms:created xsi:type="dcterms:W3CDTF">2025-06-20T10:38:00Z</dcterms:created>
  <dcterms:modified xsi:type="dcterms:W3CDTF">2025-06-20T10:38:00Z</dcterms:modified>
</cp:coreProperties>
</file>