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E3" w:rsidRPr="003E7EE7" w:rsidRDefault="007F31E3" w:rsidP="007F31E3">
      <w:pPr>
        <w:spacing w:line="360" w:lineRule="auto"/>
        <w:jc w:val="both"/>
        <w:rPr>
          <w:rFonts w:cs="Tahoma"/>
          <w:b/>
        </w:rPr>
      </w:pPr>
      <w:proofErr w:type="gramStart"/>
      <w:r w:rsidRPr="003E7EE7">
        <w:rPr>
          <w:rFonts w:cs="Tahoma"/>
          <w:b/>
        </w:rPr>
        <w:t>IN THE LABOUR COURT O</w:t>
      </w:r>
      <w:r w:rsidR="003E7EE7">
        <w:rPr>
          <w:rFonts w:cs="Tahoma"/>
          <w:b/>
        </w:rPr>
        <w:t>F ZIMBABWE</w:t>
      </w:r>
      <w:r w:rsidR="003E7EE7">
        <w:rPr>
          <w:rFonts w:cs="Tahoma"/>
          <w:b/>
        </w:rPr>
        <w:tab/>
        <w:t xml:space="preserve">    </w:t>
      </w:r>
      <w:r w:rsidRPr="003E7EE7">
        <w:rPr>
          <w:rFonts w:cs="Tahoma"/>
          <w:b/>
        </w:rPr>
        <w:t>JUDGMENT NO.</w:t>
      </w:r>
      <w:proofErr w:type="gramEnd"/>
      <w:r w:rsidRPr="003E7EE7">
        <w:rPr>
          <w:rFonts w:cs="Tahoma"/>
          <w:b/>
        </w:rPr>
        <w:t xml:space="preserve"> LC/H/</w:t>
      </w:r>
      <w:r w:rsidR="00B1067A">
        <w:rPr>
          <w:rFonts w:cs="Tahoma"/>
          <w:b/>
        </w:rPr>
        <w:t>484</w:t>
      </w:r>
      <w:r w:rsidRPr="003E7EE7">
        <w:rPr>
          <w:rFonts w:cs="Tahoma"/>
          <w:b/>
        </w:rPr>
        <w:t>/16</w:t>
      </w:r>
    </w:p>
    <w:p w:rsidR="007F31E3" w:rsidRPr="003E7EE7" w:rsidRDefault="007F31E3" w:rsidP="007F31E3">
      <w:pPr>
        <w:spacing w:line="360" w:lineRule="auto"/>
        <w:jc w:val="both"/>
        <w:rPr>
          <w:rFonts w:cs="Tahoma"/>
          <w:b/>
        </w:rPr>
      </w:pPr>
      <w:r w:rsidRPr="003E7EE7">
        <w:rPr>
          <w:rFonts w:cs="Tahoma"/>
          <w:b/>
        </w:rPr>
        <w:t xml:space="preserve">HARARE, </w:t>
      </w:r>
      <w:r w:rsidR="00935DB7">
        <w:rPr>
          <w:rFonts w:cs="Tahoma"/>
          <w:b/>
        </w:rPr>
        <w:t xml:space="preserve">29 JUNE </w:t>
      </w:r>
      <w:r w:rsidR="00BF6DC2">
        <w:rPr>
          <w:rFonts w:cs="Tahoma"/>
          <w:b/>
        </w:rPr>
        <w:t>2016</w:t>
      </w:r>
      <w:r w:rsidR="00BF6DC2">
        <w:rPr>
          <w:rFonts w:cs="Tahoma"/>
          <w:b/>
        </w:rPr>
        <w:tab/>
      </w:r>
      <w:r w:rsidR="00BF6DC2">
        <w:rPr>
          <w:rFonts w:cs="Tahoma"/>
          <w:b/>
        </w:rPr>
        <w:tab/>
      </w:r>
      <w:r w:rsidR="00BF6DC2">
        <w:rPr>
          <w:rFonts w:cs="Tahoma"/>
          <w:b/>
        </w:rPr>
        <w:tab/>
      </w:r>
      <w:r w:rsidR="00BF6DC2">
        <w:rPr>
          <w:rFonts w:cs="Tahoma"/>
          <w:b/>
        </w:rPr>
        <w:tab/>
        <w:t xml:space="preserve">     </w:t>
      </w:r>
      <w:r w:rsidRPr="003E7EE7">
        <w:rPr>
          <w:rFonts w:cs="Tahoma"/>
          <w:b/>
        </w:rPr>
        <w:t>CASE NO. LC/H/</w:t>
      </w:r>
      <w:r w:rsidR="00620B2E">
        <w:rPr>
          <w:rFonts w:cs="Tahoma"/>
          <w:b/>
        </w:rPr>
        <w:t>APP/</w:t>
      </w:r>
      <w:r w:rsidR="00BF6DC2">
        <w:rPr>
          <w:rFonts w:cs="Tahoma"/>
          <w:b/>
        </w:rPr>
        <w:t>373/16</w:t>
      </w:r>
    </w:p>
    <w:p w:rsidR="007F31E3" w:rsidRPr="003E7EE7" w:rsidRDefault="007F31E3" w:rsidP="007F31E3">
      <w:pPr>
        <w:spacing w:line="360" w:lineRule="auto"/>
        <w:jc w:val="both"/>
        <w:rPr>
          <w:rFonts w:cs="Tahoma"/>
          <w:b/>
        </w:rPr>
      </w:pPr>
      <w:bookmarkStart w:id="0" w:name="_GoBack"/>
      <w:bookmarkEnd w:id="0"/>
      <w:r w:rsidRPr="003E7EE7">
        <w:rPr>
          <w:rFonts w:cs="Tahoma"/>
          <w:b/>
        </w:rPr>
        <w:t xml:space="preserve">AND </w:t>
      </w:r>
      <w:r w:rsidR="00B1067A">
        <w:rPr>
          <w:rFonts w:cs="Tahoma"/>
          <w:b/>
        </w:rPr>
        <w:t>19 AUGUST</w:t>
      </w:r>
      <w:r w:rsidRPr="003E7EE7">
        <w:rPr>
          <w:rFonts w:cs="Tahoma"/>
          <w:b/>
        </w:rPr>
        <w:t xml:space="preserve"> 2016</w:t>
      </w:r>
      <w:r w:rsidRPr="003E7EE7">
        <w:rPr>
          <w:rFonts w:cs="Tahoma"/>
          <w:b/>
        </w:rPr>
        <w:tab/>
      </w:r>
      <w:r w:rsidRPr="003E7EE7">
        <w:rPr>
          <w:rFonts w:cs="Tahoma"/>
          <w:b/>
        </w:rPr>
        <w:tab/>
      </w:r>
      <w:r w:rsidRPr="003E7EE7">
        <w:rPr>
          <w:rFonts w:cs="Tahoma"/>
          <w:b/>
        </w:rPr>
        <w:tab/>
      </w:r>
      <w:r w:rsidRPr="003E7EE7">
        <w:rPr>
          <w:rFonts w:cs="Tahoma"/>
          <w:b/>
        </w:rPr>
        <w:tab/>
      </w:r>
      <w:r w:rsidRPr="003E7EE7">
        <w:rPr>
          <w:rFonts w:cs="Tahoma"/>
          <w:b/>
        </w:rPr>
        <w:tab/>
      </w:r>
      <w:r w:rsidRPr="003E7EE7">
        <w:rPr>
          <w:rFonts w:cs="Tahoma"/>
          <w:b/>
        </w:rPr>
        <w:tab/>
        <w:t xml:space="preserve"> </w:t>
      </w:r>
    </w:p>
    <w:p w:rsidR="007F31E3" w:rsidRPr="003E7EE7" w:rsidRDefault="007F31E3" w:rsidP="007F31E3">
      <w:pPr>
        <w:spacing w:line="360" w:lineRule="auto"/>
        <w:jc w:val="both"/>
        <w:rPr>
          <w:rFonts w:cs="Tahoma"/>
        </w:rPr>
      </w:pPr>
      <w:r w:rsidRPr="003E7EE7">
        <w:rPr>
          <w:rFonts w:cs="Tahoma"/>
        </w:rPr>
        <w:t>In the matter between:-</w:t>
      </w:r>
    </w:p>
    <w:p w:rsidR="007F31E3" w:rsidRPr="003E7EE7" w:rsidRDefault="007F31E3" w:rsidP="007F31E3">
      <w:pPr>
        <w:spacing w:line="360" w:lineRule="auto"/>
        <w:jc w:val="both"/>
        <w:rPr>
          <w:rFonts w:cs="Tahoma"/>
        </w:rPr>
      </w:pPr>
    </w:p>
    <w:p w:rsidR="007F31E3" w:rsidRPr="003E7EE7" w:rsidRDefault="00BF6DC2" w:rsidP="007F31E3">
      <w:pPr>
        <w:spacing w:line="360" w:lineRule="auto"/>
        <w:jc w:val="both"/>
        <w:rPr>
          <w:rFonts w:cs="Tahoma"/>
          <w:b/>
        </w:rPr>
      </w:pPr>
      <w:r>
        <w:rPr>
          <w:rFonts w:cs="Tahoma"/>
          <w:b/>
        </w:rPr>
        <w:t>DADIRAYI NYAMASHUKA</w:t>
      </w:r>
      <w:r w:rsidR="007F31E3" w:rsidRPr="003E7EE7">
        <w:rPr>
          <w:rFonts w:cs="Tahoma"/>
          <w:b/>
        </w:rPr>
        <w:tab/>
      </w:r>
      <w:r w:rsidR="007F31E3" w:rsidRPr="003E7EE7">
        <w:rPr>
          <w:rFonts w:cs="Tahoma"/>
          <w:b/>
        </w:rPr>
        <w:tab/>
      </w:r>
      <w:r w:rsidR="007F31E3" w:rsidRPr="003E7EE7">
        <w:rPr>
          <w:rFonts w:cs="Tahoma"/>
          <w:b/>
        </w:rPr>
        <w:tab/>
      </w:r>
      <w:r w:rsidR="007F31E3" w:rsidRPr="003E7EE7">
        <w:rPr>
          <w:rFonts w:cs="Tahoma"/>
          <w:b/>
        </w:rPr>
        <w:tab/>
        <w:t>Applicant</w:t>
      </w:r>
    </w:p>
    <w:p w:rsidR="007F31E3" w:rsidRPr="003E7EE7" w:rsidRDefault="007F31E3" w:rsidP="007F31E3">
      <w:pPr>
        <w:spacing w:line="360" w:lineRule="auto"/>
        <w:jc w:val="both"/>
        <w:rPr>
          <w:rFonts w:cs="Tahoma"/>
        </w:rPr>
      </w:pPr>
      <w:r w:rsidRPr="003E7EE7">
        <w:rPr>
          <w:rFonts w:cs="Tahoma"/>
        </w:rPr>
        <w:t>And</w:t>
      </w:r>
    </w:p>
    <w:p w:rsidR="007F31E3" w:rsidRPr="003E7EE7" w:rsidRDefault="001505CD" w:rsidP="007F31E3">
      <w:pPr>
        <w:spacing w:line="360" w:lineRule="auto"/>
        <w:jc w:val="both"/>
        <w:rPr>
          <w:rFonts w:cs="Tahoma"/>
          <w:b/>
        </w:rPr>
      </w:pPr>
      <w:r>
        <w:rPr>
          <w:rFonts w:cs="Tahoma"/>
          <w:b/>
        </w:rPr>
        <w:t>ZCBC-CARITAS ZIMBABWE</w:t>
      </w:r>
      <w:r w:rsidR="007F31E3" w:rsidRPr="003E7EE7">
        <w:rPr>
          <w:rFonts w:cs="Tahoma"/>
          <w:b/>
        </w:rPr>
        <w:tab/>
      </w:r>
      <w:r w:rsidR="007F31E3" w:rsidRPr="003E7EE7">
        <w:rPr>
          <w:rFonts w:cs="Tahoma"/>
          <w:b/>
        </w:rPr>
        <w:tab/>
      </w:r>
      <w:r w:rsidR="007F31E3" w:rsidRPr="003E7EE7">
        <w:rPr>
          <w:rFonts w:cs="Tahoma"/>
          <w:b/>
        </w:rPr>
        <w:tab/>
      </w:r>
      <w:r w:rsidR="007F31E3" w:rsidRPr="003E7EE7">
        <w:rPr>
          <w:rFonts w:cs="Tahoma"/>
          <w:b/>
        </w:rPr>
        <w:tab/>
        <w:t>Respondent</w:t>
      </w:r>
    </w:p>
    <w:p w:rsidR="007F31E3" w:rsidRPr="003E7EE7" w:rsidRDefault="007F31E3" w:rsidP="007F31E3">
      <w:pPr>
        <w:spacing w:line="360" w:lineRule="auto"/>
        <w:jc w:val="both"/>
        <w:rPr>
          <w:rFonts w:cs="Tahoma"/>
          <w:b/>
        </w:rPr>
      </w:pPr>
    </w:p>
    <w:p w:rsidR="007F31E3" w:rsidRPr="003E7EE7" w:rsidRDefault="007F31E3" w:rsidP="007F31E3">
      <w:pPr>
        <w:spacing w:line="360" w:lineRule="auto"/>
        <w:jc w:val="both"/>
        <w:rPr>
          <w:rFonts w:cs="Tahoma"/>
        </w:rPr>
      </w:pPr>
      <w:r w:rsidRPr="003E7EE7">
        <w:rPr>
          <w:rFonts w:cs="Tahoma"/>
        </w:rPr>
        <w:t xml:space="preserve">Before The Honourable E. </w:t>
      </w:r>
      <w:proofErr w:type="spellStart"/>
      <w:r w:rsidRPr="003E7EE7">
        <w:rPr>
          <w:rFonts w:cs="Tahoma"/>
        </w:rPr>
        <w:t>Muchawa</w:t>
      </w:r>
      <w:proofErr w:type="spellEnd"/>
      <w:r w:rsidRPr="003E7EE7">
        <w:rPr>
          <w:rFonts w:cs="Tahoma"/>
        </w:rPr>
        <w:t>, Judge</w:t>
      </w:r>
    </w:p>
    <w:p w:rsidR="007F31E3" w:rsidRPr="003E7EE7" w:rsidRDefault="007F31E3" w:rsidP="007F31E3">
      <w:pPr>
        <w:spacing w:line="360" w:lineRule="auto"/>
        <w:jc w:val="both"/>
        <w:rPr>
          <w:rFonts w:cs="Tahoma"/>
        </w:rPr>
      </w:pPr>
    </w:p>
    <w:p w:rsidR="007F31E3" w:rsidRPr="003E7EE7" w:rsidRDefault="007F31E3" w:rsidP="007F31E3">
      <w:pPr>
        <w:spacing w:line="360" w:lineRule="auto"/>
        <w:ind w:left="2880" w:hanging="2880"/>
        <w:jc w:val="both"/>
        <w:rPr>
          <w:rFonts w:cs="Tahoma"/>
          <w:b/>
        </w:rPr>
      </w:pPr>
      <w:r w:rsidRPr="003E7EE7">
        <w:rPr>
          <w:rFonts w:cs="Tahoma"/>
          <w:b/>
        </w:rPr>
        <w:t>For Applicant</w:t>
      </w:r>
      <w:r w:rsidR="009F0A1A">
        <w:rPr>
          <w:rFonts w:cs="Tahoma"/>
          <w:b/>
        </w:rPr>
        <w:tab/>
      </w:r>
      <w:r w:rsidR="001505CD">
        <w:rPr>
          <w:rFonts w:cs="Tahoma"/>
          <w:b/>
        </w:rPr>
        <w:t xml:space="preserve">Michael </w:t>
      </w:r>
      <w:proofErr w:type="spellStart"/>
      <w:r w:rsidR="009F0A1A">
        <w:rPr>
          <w:rFonts w:cs="Tahoma"/>
          <w:b/>
        </w:rPr>
        <w:t>Mnemo</w:t>
      </w:r>
      <w:proofErr w:type="spellEnd"/>
      <w:r w:rsidR="009F0A1A">
        <w:rPr>
          <w:rFonts w:cs="Tahoma"/>
          <w:b/>
        </w:rPr>
        <w:t xml:space="preserve"> (Legal Practitioner)</w:t>
      </w:r>
      <w:r w:rsidRPr="003E7EE7">
        <w:rPr>
          <w:rFonts w:cs="Tahoma"/>
          <w:b/>
        </w:rPr>
        <w:tab/>
      </w:r>
    </w:p>
    <w:p w:rsidR="007F31E3" w:rsidRPr="003E7EE7" w:rsidRDefault="007F31E3" w:rsidP="007F31E3">
      <w:pPr>
        <w:spacing w:line="360" w:lineRule="auto"/>
        <w:ind w:left="2880" w:hanging="2880"/>
        <w:jc w:val="both"/>
        <w:rPr>
          <w:rFonts w:cs="Tahoma"/>
          <w:b/>
        </w:rPr>
      </w:pPr>
      <w:r w:rsidRPr="003E7EE7">
        <w:rPr>
          <w:rFonts w:cs="Tahoma"/>
          <w:b/>
        </w:rPr>
        <w:t>For Respondent</w:t>
      </w:r>
      <w:r w:rsidR="009F0A1A">
        <w:rPr>
          <w:rFonts w:cs="Tahoma"/>
          <w:b/>
        </w:rPr>
        <w:tab/>
      </w:r>
      <w:proofErr w:type="spellStart"/>
      <w:r w:rsidR="009F0A1A">
        <w:rPr>
          <w:rFonts w:cs="Tahoma"/>
          <w:b/>
        </w:rPr>
        <w:t>Tatenda</w:t>
      </w:r>
      <w:proofErr w:type="spellEnd"/>
      <w:r w:rsidR="009F0A1A">
        <w:rPr>
          <w:rFonts w:cs="Tahoma"/>
          <w:b/>
        </w:rPr>
        <w:t xml:space="preserve"> </w:t>
      </w:r>
      <w:proofErr w:type="spellStart"/>
      <w:r w:rsidR="009F0A1A">
        <w:rPr>
          <w:rFonts w:cs="Tahoma"/>
          <w:b/>
        </w:rPr>
        <w:t>Manh</w:t>
      </w:r>
      <w:r w:rsidR="0041627D">
        <w:rPr>
          <w:rFonts w:cs="Tahoma"/>
          <w:b/>
        </w:rPr>
        <w:t>anzva</w:t>
      </w:r>
      <w:proofErr w:type="spellEnd"/>
      <w:r w:rsidR="0041627D">
        <w:rPr>
          <w:rFonts w:cs="Tahoma"/>
          <w:b/>
        </w:rPr>
        <w:t xml:space="preserve"> (Legal Practitioner)</w:t>
      </w:r>
      <w:r w:rsidRPr="003E7EE7">
        <w:rPr>
          <w:rFonts w:cs="Tahoma"/>
          <w:b/>
        </w:rPr>
        <w:tab/>
      </w:r>
    </w:p>
    <w:p w:rsidR="007F31E3" w:rsidRPr="003E7EE7" w:rsidRDefault="007F31E3" w:rsidP="007F31E3">
      <w:pPr>
        <w:spacing w:line="360" w:lineRule="auto"/>
        <w:ind w:left="2880" w:hanging="2880"/>
        <w:jc w:val="both"/>
        <w:rPr>
          <w:rFonts w:cs="Tahoma"/>
          <w:b/>
        </w:rPr>
      </w:pPr>
    </w:p>
    <w:p w:rsidR="007F31E3" w:rsidRPr="003E7EE7" w:rsidRDefault="007F31E3" w:rsidP="007F31E3">
      <w:pPr>
        <w:spacing w:line="360" w:lineRule="auto"/>
        <w:jc w:val="both"/>
        <w:rPr>
          <w:rFonts w:cs="Tahoma"/>
          <w:b/>
        </w:rPr>
      </w:pPr>
      <w:r w:rsidRPr="003E7EE7">
        <w:rPr>
          <w:rFonts w:cs="Tahoma"/>
          <w:b/>
        </w:rPr>
        <w:t>MUCHAWA, J:</w:t>
      </w:r>
    </w:p>
    <w:p w:rsidR="0023250B" w:rsidRDefault="0023250B" w:rsidP="0084700A">
      <w:pPr>
        <w:spacing w:line="360" w:lineRule="auto"/>
        <w:jc w:val="both"/>
      </w:pPr>
    </w:p>
    <w:p w:rsidR="00EA298F" w:rsidRDefault="00EA298F" w:rsidP="008E4796">
      <w:pPr>
        <w:spacing w:line="360" w:lineRule="auto"/>
        <w:jc w:val="both"/>
      </w:pPr>
      <w:r>
        <w:tab/>
        <w:t>This is an application made in terms of section 93 (7</w:t>
      </w:r>
      <w:proofErr w:type="gramStart"/>
      <w:r>
        <w:t>)(</w:t>
      </w:r>
      <w:proofErr w:type="gramEnd"/>
      <w:r>
        <w:t>b)(ii) of the Labour Act [</w:t>
      </w:r>
      <w:r w:rsidR="008E4796">
        <w:t>Chapter 28:01].</w:t>
      </w:r>
    </w:p>
    <w:p w:rsidR="008E4796" w:rsidRDefault="008E4796" w:rsidP="0084700A">
      <w:pPr>
        <w:jc w:val="both"/>
      </w:pPr>
    </w:p>
    <w:p w:rsidR="008E4796" w:rsidRDefault="008E4796" w:rsidP="00DF5CB7">
      <w:pPr>
        <w:spacing w:line="360" w:lineRule="auto"/>
        <w:ind w:firstLine="720"/>
        <w:jc w:val="both"/>
      </w:pPr>
      <w:r>
        <w:t>The applicant was employed by the 1</w:t>
      </w:r>
      <w:r w:rsidRPr="008E4796">
        <w:rPr>
          <w:vertAlign w:val="superscript"/>
        </w:rPr>
        <w:t>st</w:t>
      </w:r>
      <w:r>
        <w:t xml:space="preserve"> respondent as a finance and administration officer.  She was initially unprocedurally</w:t>
      </w:r>
      <w:r w:rsidR="00DF5CB7">
        <w:t xml:space="preserve"> dismissed on the 25</w:t>
      </w:r>
      <w:r w:rsidR="00DF5CB7" w:rsidRPr="00DF5CB7">
        <w:rPr>
          <w:vertAlign w:val="superscript"/>
        </w:rPr>
        <w:t>th</w:t>
      </w:r>
      <w:r w:rsidR="00DF5CB7">
        <w:t xml:space="preserve"> of July 2014 without being properly charged </w:t>
      </w:r>
      <w:proofErr w:type="gramStart"/>
      <w:r w:rsidR="00DF5CB7">
        <w:t>nor</w:t>
      </w:r>
      <w:proofErr w:type="gramEnd"/>
      <w:r w:rsidR="00DF5CB7">
        <w:t xml:space="preserve"> a hearing having been conducted.</w:t>
      </w:r>
    </w:p>
    <w:p w:rsidR="00CE3214" w:rsidRDefault="00CE3214" w:rsidP="0084700A">
      <w:pPr>
        <w:ind w:firstLine="720"/>
        <w:jc w:val="both"/>
      </w:pPr>
    </w:p>
    <w:p w:rsidR="00CE3214" w:rsidRDefault="00CE3214" w:rsidP="00DF5CB7">
      <w:pPr>
        <w:spacing w:line="360" w:lineRule="auto"/>
        <w:ind w:firstLine="720"/>
        <w:jc w:val="both"/>
      </w:pPr>
      <w:r>
        <w:t>On the 1</w:t>
      </w:r>
      <w:r w:rsidRPr="00CE3214">
        <w:rPr>
          <w:vertAlign w:val="superscript"/>
        </w:rPr>
        <w:t>st</w:t>
      </w:r>
      <w:r>
        <w:t xml:space="preserve"> of August 2014, the applicant lodged a complaint of unfair dismissal with the Labour Office.  Inexplicably this first complaint was not allocated to a labour officer.  The applicant lodged a fresh </w:t>
      </w:r>
      <w:r w:rsidR="00A82D20">
        <w:t>complaint</w:t>
      </w:r>
      <w:r>
        <w:t xml:space="preserve"> on the 5</w:t>
      </w:r>
      <w:r w:rsidRPr="00CE3214">
        <w:rPr>
          <w:vertAlign w:val="superscript"/>
        </w:rPr>
        <w:t>th</w:t>
      </w:r>
      <w:r>
        <w:t xml:space="preserve"> of November 2015.  The issues raised were unfair dismissal and unfair labour practice relating to </w:t>
      </w:r>
      <w:r w:rsidR="00A82D20">
        <w:t>the</w:t>
      </w:r>
      <w:r>
        <w:t xml:space="preserve"> alleged failure by the 1</w:t>
      </w:r>
      <w:r w:rsidRPr="00CE3214">
        <w:rPr>
          <w:vertAlign w:val="superscript"/>
        </w:rPr>
        <w:t>st</w:t>
      </w:r>
      <w:r>
        <w:t xml:space="preserve"> respondent to pay the full salary, to pay cash in lieu of leave and to remit full pension contributions to Old Mutual.</w:t>
      </w:r>
    </w:p>
    <w:p w:rsidR="00960642" w:rsidRDefault="00960642" w:rsidP="00533C2C">
      <w:pPr>
        <w:ind w:firstLine="720"/>
        <w:jc w:val="both"/>
      </w:pPr>
    </w:p>
    <w:p w:rsidR="00960642" w:rsidRDefault="00960642" w:rsidP="00DF5CB7">
      <w:pPr>
        <w:spacing w:line="360" w:lineRule="auto"/>
        <w:ind w:firstLine="720"/>
        <w:jc w:val="both"/>
      </w:pPr>
      <w:r>
        <w:t>The prayer of the applicant was stated as follows;</w:t>
      </w:r>
    </w:p>
    <w:p w:rsidR="00960642" w:rsidRDefault="00960642" w:rsidP="0084700A">
      <w:pPr>
        <w:ind w:firstLine="720"/>
        <w:jc w:val="both"/>
      </w:pPr>
    </w:p>
    <w:p w:rsidR="00960642" w:rsidRPr="00533C2C" w:rsidRDefault="00960642" w:rsidP="00533C2C">
      <w:pPr>
        <w:spacing w:line="276" w:lineRule="auto"/>
        <w:ind w:left="720"/>
        <w:jc w:val="both"/>
        <w:rPr>
          <w:sz w:val="22"/>
          <w:szCs w:val="22"/>
        </w:rPr>
      </w:pPr>
      <w:r w:rsidRPr="00533C2C">
        <w:rPr>
          <w:sz w:val="22"/>
          <w:szCs w:val="22"/>
        </w:rPr>
        <w:lastRenderedPageBreak/>
        <w:t>“Wherefore claimant prays that she be reinstated to her position with</w:t>
      </w:r>
      <w:r w:rsidR="005E1471">
        <w:rPr>
          <w:sz w:val="22"/>
          <w:szCs w:val="22"/>
        </w:rPr>
        <w:t>out</w:t>
      </w:r>
      <w:r w:rsidRPr="00533C2C">
        <w:rPr>
          <w:sz w:val="22"/>
          <w:szCs w:val="22"/>
        </w:rPr>
        <w:t xml:space="preserve"> any </w:t>
      </w:r>
      <w:r w:rsidR="009A2930" w:rsidRPr="00533C2C">
        <w:rPr>
          <w:sz w:val="22"/>
          <w:szCs w:val="22"/>
        </w:rPr>
        <w:t xml:space="preserve">loss of </w:t>
      </w:r>
      <w:r w:rsidR="00EA4A76" w:rsidRPr="00533C2C">
        <w:rPr>
          <w:sz w:val="22"/>
          <w:szCs w:val="22"/>
        </w:rPr>
        <w:t>salary</w:t>
      </w:r>
      <w:r w:rsidR="009F5487" w:rsidRPr="00533C2C">
        <w:rPr>
          <w:sz w:val="22"/>
          <w:szCs w:val="22"/>
        </w:rPr>
        <w:t xml:space="preserve"> and benefits as well as the payments of her outstanding salaries and unpaid </w:t>
      </w:r>
      <w:r w:rsidR="00202E91" w:rsidRPr="00533C2C">
        <w:rPr>
          <w:sz w:val="22"/>
          <w:szCs w:val="22"/>
        </w:rPr>
        <w:t>contributions</w:t>
      </w:r>
      <w:r w:rsidR="009F5487" w:rsidRPr="00533C2C">
        <w:rPr>
          <w:sz w:val="22"/>
          <w:szCs w:val="22"/>
        </w:rPr>
        <w:t xml:space="preserve"> towards her pension fund</w:t>
      </w:r>
      <w:r w:rsidR="00202E91" w:rsidRPr="00533C2C">
        <w:rPr>
          <w:sz w:val="22"/>
          <w:szCs w:val="22"/>
        </w:rPr>
        <w:t>.</w:t>
      </w:r>
      <w:r w:rsidR="00533C2C" w:rsidRPr="00533C2C">
        <w:rPr>
          <w:sz w:val="22"/>
          <w:szCs w:val="22"/>
        </w:rPr>
        <w:t>”</w:t>
      </w:r>
    </w:p>
    <w:p w:rsidR="00A97BF1" w:rsidRDefault="00A97BF1" w:rsidP="00533C2C">
      <w:pPr>
        <w:ind w:firstLine="720"/>
        <w:jc w:val="both"/>
      </w:pPr>
    </w:p>
    <w:p w:rsidR="00A97BF1" w:rsidRDefault="00CA2598" w:rsidP="00DF5CB7">
      <w:pPr>
        <w:spacing w:line="360" w:lineRule="auto"/>
        <w:ind w:firstLine="720"/>
        <w:jc w:val="both"/>
      </w:pPr>
      <w:r>
        <w:t>A hearing was held on the 5</w:t>
      </w:r>
      <w:r w:rsidRPr="00CA2598">
        <w:rPr>
          <w:vertAlign w:val="superscript"/>
        </w:rPr>
        <w:t>th</w:t>
      </w:r>
      <w:r>
        <w:t xml:space="preserve"> of November 2015 and the matter was postponed to 17 December 2015 to enable the applicant to make its replication.  After</w:t>
      </w:r>
      <w:r w:rsidR="00F46B14">
        <w:t xml:space="preserve"> continuation of the matter on 17 December 2015, the 2</w:t>
      </w:r>
      <w:r w:rsidR="00F46B14" w:rsidRPr="00F46B14">
        <w:rPr>
          <w:vertAlign w:val="superscript"/>
        </w:rPr>
        <w:t>nd</w:t>
      </w:r>
      <w:r w:rsidR="00F46B14">
        <w:t xml:space="preserve"> respondent,</w:t>
      </w:r>
      <w:r w:rsidR="007D720D">
        <w:t xml:space="preserve"> who is</w:t>
      </w:r>
      <w:r w:rsidR="00F46B14">
        <w:t xml:space="preserve"> the Labour Officer </w:t>
      </w:r>
      <w:proofErr w:type="gramStart"/>
      <w:r w:rsidR="00F46B14">
        <w:t>dealing</w:t>
      </w:r>
      <w:proofErr w:type="gramEnd"/>
      <w:r w:rsidR="00F46B14">
        <w:t xml:space="preserve"> with the matter, ordered that parties</w:t>
      </w:r>
      <w:r w:rsidR="00501AC8">
        <w:t xml:space="preserve"> submit written submissions in terms of an</w:t>
      </w:r>
      <w:r w:rsidR="00101F0E">
        <w:t xml:space="preserve"> agreed time frame.  After the applicant had submitted its statement of claim, the 1</w:t>
      </w:r>
      <w:r w:rsidR="00101F0E" w:rsidRPr="00101F0E">
        <w:rPr>
          <w:vertAlign w:val="superscript"/>
        </w:rPr>
        <w:t>st</w:t>
      </w:r>
      <w:r w:rsidR="00101F0E">
        <w:t xml:space="preserve"> respondent’s legal practitioners assumed </w:t>
      </w:r>
      <w:r w:rsidR="007A3381">
        <w:t>agency and wrote to the labour officer to suspend proceedings pending discussions aimed at resolving the matter amicably.</w:t>
      </w:r>
    </w:p>
    <w:p w:rsidR="00AA1948" w:rsidRDefault="00AA1948" w:rsidP="00533C2C">
      <w:pPr>
        <w:ind w:firstLine="720"/>
        <w:jc w:val="both"/>
      </w:pPr>
    </w:p>
    <w:p w:rsidR="00AA1948" w:rsidRDefault="00AA1948" w:rsidP="00DF5CB7">
      <w:pPr>
        <w:spacing w:line="360" w:lineRule="auto"/>
        <w:ind w:firstLine="720"/>
        <w:jc w:val="both"/>
      </w:pPr>
      <w:r>
        <w:t>The first respondent addressed another letter to the labour officer on the 8</w:t>
      </w:r>
      <w:r w:rsidRPr="00AA1948">
        <w:rPr>
          <w:vertAlign w:val="superscript"/>
        </w:rPr>
        <w:t>th</w:t>
      </w:r>
      <w:r>
        <w:t xml:space="preserve"> February 2016 withdrawing the earlier letter hence placing the</w:t>
      </w:r>
      <w:r w:rsidR="0023250B">
        <w:t xml:space="preserve"> proceedings back before the arbitrator.  It was communicated that the 1</w:t>
      </w:r>
      <w:r w:rsidR="0023250B" w:rsidRPr="0023250B">
        <w:rPr>
          <w:vertAlign w:val="superscript"/>
        </w:rPr>
        <w:t>st</w:t>
      </w:r>
      <w:r w:rsidR="0023250B">
        <w:t xml:space="preserve"> respondent’s res</w:t>
      </w:r>
      <w:r w:rsidR="00A9019F">
        <w:t>ponse would be filed by the 26</w:t>
      </w:r>
      <w:r w:rsidR="00A9019F" w:rsidRPr="00A9019F">
        <w:rPr>
          <w:vertAlign w:val="superscript"/>
        </w:rPr>
        <w:t>th</w:t>
      </w:r>
      <w:r w:rsidR="00A9019F">
        <w:t xml:space="preserve"> February 2016.</w:t>
      </w:r>
    </w:p>
    <w:p w:rsidR="00A9019F" w:rsidRDefault="00A9019F" w:rsidP="00533C2C">
      <w:pPr>
        <w:ind w:firstLine="720"/>
        <w:jc w:val="both"/>
      </w:pPr>
    </w:p>
    <w:p w:rsidR="00A9019F" w:rsidRDefault="00A9019F" w:rsidP="00DF5CB7">
      <w:pPr>
        <w:spacing w:line="360" w:lineRule="auto"/>
        <w:ind w:firstLine="720"/>
        <w:jc w:val="both"/>
      </w:pPr>
      <w:r>
        <w:t>On the 26</w:t>
      </w:r>
      <w:r w:rsidRPr="00A9019F">
        <w:rPr>
          <w:vertAlign w:val="superscript"/>
        </w:rPr>
        <w:t>th</w:t>
      </w:r>
      <w:r>
        <w:t xml:space="preserve"> of February, the 1</w:t>
      </w:r>
      <w:r w:rsidRPr="00A9019F">
        <w:rPr>
          <w:vertAlign w:val="superscript"/>
        </w:rPr>
        <w:t>st</w:t>
      </w:r>
      <w:r>
        <w:t xml:space="preserve"> respondent wrote directly to the applicant.  The </w:t>
      </w:r>
      <w:r w:rsidR="00F1772B">
        <w:t xml:space="preserve">letter was a notice of reinstatement advising that </w:t>
      </w:r>
      <w:r w:rsidR="003B12D4">
        <w:t>the</w:t>
      </w:r>
      <w:r w:rsidR="00F1772B">
        <w:t xml:space="preserve"> applicant had been reinstated to her position of Finance and Administration Officer with her full pay and benefits with effect from </w:t>
      </w:r>
      <w:proofErr w:type="gramStart"/>
      <w:r w:rsidR="00F1772B">
        <w:t>I</w:t>
      </w:r>
      <w:proofErr w:type="gramEnd"/>
      <w:r w:rsidR="00F1772B">
        <w:t xml:space="preserve"> Feb</w:t>
      </w:r>
      <w:r w:rsidR="003B12D4">
        <w:t>ruary 2016.  It was also s</w:t>
      </w:r>
      <w:r w:rsidR="00777059">
        <w:t>tated that the 1</w:t>
      </w:r>
      <w:r w:rsidR="00777059" w:rsidRPr="00777059">
        <w:rPr>
          <w:vertAlign w:val="superscript"/>
        </w:rPr>
        <w:t>st</w:t>
      </w:r>
      <w:r w:rsidR="00777059">
        <w:t xml:space="preserve"> respondent is obliged to pay her back </w:t>
      </w:r>
      <w:r w:rsidR="00B06715">
        <w:t>pay and benefits for the period August 2014 to January 2016 and that particulars of such would be discussed upon resumption of duties.</w:t>
      </w:r>
    </w:p>
    <w:p w:rsidR="00B06715" w:rsidRDefault="00B06715" w:rsidP="00533C2C">
      <w:pPr>
        <w:ind w:firstLine="720"/>
        <w:jc w:val="both"/>
      </w:pPr>
    </w:p>
    <w:p w:rsidR="00B06715" w:rsidRDefault="0046256A" w:rsidP="00DF5CB7">
      <w:pPr>
        <w:spacing w:line="360" w:lineRule="auto"/>
        <w:ind w:firstLine="720"/>
        <w:jc w:val="both"/>
      </w:pPr>
      <w:r>
        <w:t>The applicant’s legal practitioners queried in a letter why this notice had come directly from the 1</w:t>
      </w:r>
      <w:r w:rsidRPr="0046256A">
        <w:rPr>
          <w:vertAlign w:val="superscript"/>
        </w:rPr>
        <w:t>st</w:t>
      </w:r>
      <w:r>
        <w:t xml:space="preserve"> respondent who had legal representation.</w:t>
      </w:r>
    </w:p>
    <w:p w:rsidR="005A376A" w:rsidRDefault="005A376A" w:rsidP="00533C2C">
      <w:pPr>
        <w:ind w:firstLine="720"/>
        <w:jc w:val="both"/>
      </w:pPr>
    </w:p>
    <w:p w:rsidR="009F20C7" w:rsidRDefault="005A376A" w:rsidP="00DF5CB7">
      <w:pPr>
        <w:spacing w:line="360" w:lineRule="auto"/>
        <w:ind w:firstLine="720"/>
        <w:jc w:val="both"/>
      </w:pPr>
      <w:r>
        <w:t>The applicant did not heed the call to resume duties.  The 1</w:t>
      </w:r>
      <w:r w:rsidRPr="005A376A">
        <w:rPr>
          <w:vertAlign w:val="superscript"/>
        </w:rPr>
        <w:t>st</w:t>
      </w:r>
      <w:r>
        <w:t xml:space="preserve"> respondent, on the 16</w:t>
      </w:r>
      <w:r w:rsidRPr="005A376A">
        <w:rPr>
          <w:vertAlign w:val="superscript"/>
        </w:rPr>
        <w:t>th</w:t>
      </w:r>
      <w:r>
        <w:t xml:space="preserve"> of March 2016 then</w:t>
      </w:r>
      <w:r w:rsidR="009F20C7">
        <w:t xml:space="preserve"> suspended the applicant from work on the charges of </w:t>
      </w:r>
    </w:p>
    <w:p w:rsidR="005A376A" w:rsidRDefault="006E0E24" w:rsidP="0099579D">
      <w:pPr>
        <w:pStyle w:val="ListParagraph"/>
        <w:numPr>
          <w:ilvl w:val="0"/>
          <w:numId w:val="1"/>
        </w:numPr>
        <w:spacing w:line="360" w:lineRule="auto"/>
        <w:jc w:val="both"/>
      </w:pPr>
      <w:r>
        <w:t>a</w:t>
      </w:r>
      <w:r w:rsidR="0099579D">
        <w:t>bsence from work for 5 or more consecutive working days without authority or reasonable excuse,</w:t>
      </w:r>
    </w:p>
    <w:p w:rsidR="0099579D" w:rsidRDefault="006E0E24" w:rsidP="0099579D">
      <w:pPr>
        <w:pStyle w:val="ListParagraph"/>
        <w:numPr>
          <w:ilvl w:val="0"/>
          <w:numId w:val="1"/>
        </w:numPr>
        <w:spacing w:line="360" w:lineRule="auto"/>
        <w:jc w:val="both"/>
      </w:pPr>
      <w:r>
        <w:t>a</w:t>
      </w:r>
      <w:r w:rsidR="00FE64A9">
        <w:t xml:space="preserve">ctual or attempted theft, embezzlement or fraud or, alternatively </w:t>
      </w:r>
      <w:r>
        <w:t>,</w:t>
      </w:r>
    </w:p>
    <w:p w:rsidR="006E0E24" w:rsidRDefault="006E0E24" w:rsidP="0099579D">
      <w:pPr>
        <w:pStyle w:val="ListParagraph"/>
        <w:numPr>
          <w:ilvl w:val="0"/>
          <w:numId w:val="1"/>
        </w:numPr>
        <w:spacing w:line="360" w:lineRule="auto"/>
        <w:jc w:val="both"/>
      </w:pPr>
      <w:r>
        <w:t>gross negligence in the performance of duties, and</w:t>
      </w:r>
    </w:p>
    <w:p w:rsidR="00B71FBE" w:rsidRDefault="00B71FBE" w:rsidP="0099579D">
      <w:pPr>
        <w:pStyle w:val="ListParagraph"/>
        <w:numPr>
          <w:ilvl w:val="0"/>
          <w:numId w:val="1"/>
        </w:numPr>
        <w:spacing w:line="360" w:lineRule="auto"/>
        <w:jc w:val="both"/>
      </w:pPr>
      <w:proofErr w:type="gramStart"/>
      <w:r>
        <w:t>willful</w:t>
      </w:r>
      <w:proofErr w:type="gramEnd"/>
      <w:r>
        <w:t xml:space="preserve"> and unlawful destruction of the employer’s property.</w:t>
      </w:r>
    </w:p>
    <w:p w:rsidR="00B71FBE" w:rsidRDefault="00B71FBE" w:rsidP="00533C2C">
      <w:pPr>
        <w:jc w:val="both"/>
      </w:pPr>
    </w:p>
    <w:p w:rsidR="00A36040" w:rsidRDefault="00B71FBE" w:rsidP="00B71FBE">
      <w:pPr>
        <w:spacing w:line="360" w:lineRule="auto"/>
        <w:jc w:val="both"/>
      </w:pPr>
      <w:r>
        <w:t>The applicant’s legal practitioner</w:t>
      </w:r>
      <w:r w:rsidR="00A36040">
        <w:t xml:space="preserve">s objected in a letter to this </w:t>
      </w:r>
      <w:r w:rsidR="00680A6A">
        <w:t>insisting</w:t>
      </w:r>
      <w:r w:rsidR="00A36040">
        <w:t xml:space="preserve"> that the matter had to be resolved through the Labour Officer.</w:t>
      </w:r>
    </w:p>
    <w:p w:rsidR="00A36040" w:rsidRDefault="00A36040" w:rsidP="00533C2C">
      <w:pPr>
        <w:jc w:val="both"/>
      </w:pPr>
    </w:p>
    <w:p w:rsidR="00897EA6" w:rsidRDefault="00A36040" w:rsidP="00C45DD2">
      <w:pPr>
        <w:spacing w:line="360" w:lineRule="auto"/>
        <w:ind w:firstLine="720"/>
        <w:jc w:val="both"/>
      </w:pPr>
      <w:r>
        <w:t xml:space="preserve">The </w:t>
      </w:r>
      <w:r w:rsidR="00C45DD2">
        <w:t>1</w:t>
      </w:r>
      <w:r w:rsidR="00C45DD2" w:rsidRPr="00C45DD2">
        <w:rPr>
          <w:vertAlign w:val="superscript"/>
        </w:rPr>
        <w:t>st</w:t>
      </w:r>
      <w:r w:rsidR="00C45DD2">
        <w:t xml:space="preserve"> respondent’s legal practitioners requested a response to the charges and gave notification of a hearing to be held on the 7</w:t>
      </w:r>
      <w:r w:rsidR="00C45DD2" w:rsidRPr="00C45DD2">
        <w:rPr>
          <w:vertAlign w:val="superscript"/>
        </w:rPr>
        <w:t>th</w:t>
      </w:r>
      <w:r w:rsidR="00C45DD2">
        <w:t xml:space="preserve"> of </w:t>
      </w:r>
      <w:r w:rsidR="003974D5">
        <w:t xml:space="preserve">April 2016 in respect to the charges.  They also indicated that there was no basis for the applicant to insist on the matter being resolved through </w:t>
      </w:r>
      <w:r w:rsidR="00897EA6">
        <w:t>the Labour Officer, the 2</w:t>
      </w:r>
      <w:r w:rsidR="00897EA6" w:rsidRPr="00897EA6">
        <w:rPr>
          <w:vertAlign w:val="superscript"/>
        </w:rPr>
        <w:t>nd</w:t>
      </w:r>
      <w:r w:rsidR="00897EA6">
        <w:t xml:space="preserve"> respondent as they had already granted the applicant the relief she was seeking.</w:t>
      </w:r>
    </w:p>
    <w:p w:rsidR="003F22D3" w:rsidRDefault="003F22D3" w:rsidP="00533C2C">
      <w:pPr>
        <w:ind w:firstLine="720"/>
        <w:jc w:val="both"/>
      </w:pPr>
    </w:p>
    <w:p w:rsidR="003F22D3" w:rsidRDefault="003F22D3" w:rsidP="00C45DD2">
      <w:pPr>
        <w:spacing w:line="360" w:lineRule="auto"/>
        <w:ind w:firstLine="720"/>
        <w:jc w:val="both"/>
      </w:pPr>
      <w:r>
        <w:t>This current application is made on the basis that the 1</w:t>
      </w:r>
      <w:r w:rsidRPr="003F22D3">
        <w:rPr>
          <w:vertAlign w:val="superscript"/>
        </w:rPr>
        <w:t>st</w:t>
      </w:r>
      <w:r>
        <w:t xml:space="preserve"> respondent </w:t>
      </w:r>
      <w:r w:rsidR="00057AB7">
        <w:t>usurped the powers</w:t>
      </w:r>
      <w:r w:rsidR="00086B68">
        <w:t xml:space="preserve"> of the 2</w:t>
      </w:r>
      <w:r w:rsidR="00086B68" w:rsidRPr="00086B68">
        <w:rPr>
          <w:vertAlign w:val="superscript"/>
        </w:rPr>
        <w:t>nd</w:t>
      </w:r>
      <w:r w:rsidR="00086B68">
        <w:t xml:space="preserve"> respondent and sought to circumvent the process of conciliation by reinstating the applicant.</w:t>
      </w:r>
    </w:p>
    <w:p w:rsidR="00086B68" w:rsidRDefault="00086B68" w:rsidP="00613774">
      <w:pPr>
        <w:ind w:firstLine="720"/>
        <w:jc w:val="both"/>
      </w:pPr>
    </w:p>
    <w:p w:rsidR="00086B68" w:rsidRDefault="00086B68" w:rsidP="00C45DD2">
      <w:pPr>
        <w:spacing w:line="360" w:lineRule="auto"/>
        <w:ind w:firstLine="720"/>
        <w:jc w:val="both"/>
      </w:pPr>
      <w:r>
        <w:t xml:space="preserve">The second ground for the application is that the Labour Officer </w:t>
      </w:r>
      <w:r w:rsidR="008545AD">
        <w:t xml:space="preserve">failed to finalise the matter within the specified period for conciliation despite the extension agreed upon and further failed </w:t>
      </w:r>
      <w:r w:rsidR="0038493C">
        <w:t>to issue a certificate of no settlement at the expiry of the time period, or to make any ruling.</w:t>
      </w:r>
    </w:p>
    <w:p w:rsidR="0038493C" w:rsidRDefault="0038493C" w:rsidP="00613774">
      <w:pPr>
        <w:ind w:firstLine="720"/>
        <w:jc w:val="both"/>
      </w:pPr>
    </w:p>
    <w:p w:rsidR="0038493C" w:rsidRDefault="0038493C" w:rsidP="00C45DD2">
      <w:pPr>
        <w:spacing w:line="360" w:lineRule="auto"/>
        <w:ind w:firstLine="720"/>
        <w:jc w:val="both"/>
      </w:pPr>
      <w:r>
        <w:t>I deal with these issues below starting with the 2</w:t>
      </w:r>
      <w:r w:rsidRPr="0038493C">
        <w:rPr>
          <w:vertAlign w:val="superscript"/>
        </w:rPr>
        <w:t>nd</w:t>
      </w:r>
      <w:r>
        <w:t xml:space="preserve"> one.</w:t>
      </w:r>
    </w:p>
    <w:p w:rsidR="0038493C" w:rsidRDefault="0038493C" w:rsidP="00613774">
      <w:pPr>
        <w:jc w:val="both"/>
      </w:pPr>
    </w:p>
    <w:p w:rsidR="0038493C" w:rsidRPr="0072730B" w:rsidRDefault="0038493C" w:rsidP="0038493C">
      <w:pPr>
        <w:spacing w:line="360" w:lineRule="auto"/>
        <w:jc w:val="both"/>
        <w:rPr>
          <w:u w:val="single"/>
        </w:rPr>
      </w:pPr>
      <w:r w:rsidRPr="0072730B">
        <w:rPr>
          <w:u w:val="single"/>
        </w:rPr>
        <w:t xml:space="preserve">Whether or not a “certificate of no </w:t>
      </w:r>
      <w:r w:rsidR="00DC3826" w:rsidRPr="0072730B">
        <w:rPr>
          <w:u w:val="single"/>
        </w:rPr>
        <w:t>settlement” was</w:t>
      </w:r>
      <w:r w:rsidRPr="0072730B">
        <w:rPr>
          <w:u w:val="single"/>
        </w:rPr>
        <w:t xml:space="preserve"> issued</w:t>
      </w:r>
    </w:p>
    <w:p w:rsidR="00DC3826" w:rsidRDefault="00DC3826" w:rsidP="00613774">
      <w:pPr>
        <w:jc w:val="both"/>
      </w:pPr>
    </w:p>
    <w:p w:rsidR="00DC3826" w:rsidRDefault="00DC3826" w:rsidP="0038493C">
      <w:pPr>
        <w:spacing w:line="360" w:lineRule="auto"/>
        <w:jc w:val="both"/>
      </w:pPr>
      <w:r>
        <w:tab/>
        <w:t>The 1</w:t>
      </w:r>
      <w:r w:rsidRPr="00DC3826">
        <w:rPr>
          <w:vertAlign w:val="superscript"/>
        </w:rPr>
        <w:t>st</w:t>
      </w:r>
      <w:r>
        <w:t xml:space="preserve"> respondent’s averment that </w:t>
      </w:r>
      <w:r w:rsidR="00CE4A6F">
        <w:t>as 17 December 2015, the 2</w:t>
      </w:r>
      <w:r w:rsidR="00CE4A6F" w:rsidRPr="00CE4A6F">
        <w:rPr>
          <w:vertAlign w:val="superscript"/>
        </w:rPr>
        <w:t>nd</w:t>
      </w:r>
      <w:r w:rsidR="00CE4A6F">
        <w:t xml:space="preserve"> respondent issued a certificate</w:t>
      </w:r>
      <w:r w:rsidR="00BC3565">
        <w:t xml:space="preserve"> of no settlement in terms of section 93 (3) of the Labour Act is supported by the certificate of No Settlement </w:t>
      </w:r>
      <w:r w:rsidR="00F55DCE">
        <w:t>Form L-R.2, reference 2965/15 produced before me.</w:t>
      </w:r>
    </w:p>
    <w:p w:rsidR="006F18A7" w:rsidRDefault="006F18A7" w:rsidP="00613774">
      <w:pPr>
        <w:jc w:val="both"/>
      </w:pPr>
    </w:p>
    <w:p w:rsidR="006F18A7" w:rsidRDefault="006F18A7" w:rsidP="0038493C">
      <w:pPr>
        <w:spacing w:line="360" w:lineRule="auto"/>
        <w:jc w:val="both"/>
      </w:pPr>
      <w:r>
        <w:tab/>
        <w:t>This explains the sequence of events in casu.  Clearly there was an attempt to conciliate on the</w:t>
      </w:r>
      <w:r w:rsidR="00394DC9">
        <w:t xml:space="preserve"> 5</w:t>
      </w:r>
      <w:r w:rsidR="00394DC9" w:rsidRPr="00394DC9">
        <w:rPr>
          <w:vertAlign w:val="superscript"/>
        </w:rPr>
        <w:t>th</w:t>
      </w:r>
      <w:r w:rsidR="00394DC9">
        <w:t xml:space="preserve"> of November 2015 where both parties made oral submissions.  It then makes sense that the agreement </w:t>
      </w:r>
      <w:r w:rsidR="00D95D8B">
        <w:t xml:space="preserve">to file written submissions was meant to enable the Labour Officer to determine the matter in terms of Section 93 (5) (c) </w:t>
      </w:r>
      <w:r w:rsidR="00CD23BE">
        <w:t>of the Labour Act (as amended).</w:t>
      </w:r>
    </w:p>
    <w:p w:rsidR="00CD23BE" w:rsidRDefault="00CD23BE" w:rsidP="00613774">
      <w:pPr>
        <w:jc w:val="both"/>
      </w:pPr>
    </w:p>
    <w:p w:rsidR="00CD23BE" w:rsidRDefault="00CD23BE" w:rsidP="00C66DB5">
      <w:pPr>
        <w:spacing w:line="360" w:lineRule="auto"/>
        <w:ind w:firstLine="720"/>
        <w:jc w:val="both"/>
      </w:pPr>
      <w:r>
        <w:lastRenderedPageBreak/>
        <w:t xml:space="preserve">There is no form LR 3 filled </w:t>
      </w:r>
      <w:r w:rsidR="00633B4B">
        <w:t xml:space="preserve">in </w:t>
      </w:r>
      <w:r>
        <w:t xml:space="preserve">by the parties to support the applicant’s contention that the parties agreed to extend the period of conciliation in terms of Section 3 (4) of </w:t>
      </w:r>
      <w:r w:rsidR="00C66DB5">
        <w:t>SI 217/03</w:t>
      </w:r>
      <w:r w:rsidR="001B4E21">
        <w:t>.</w:t>
      </w:r>
    </w:p>
    <w:p w:rsidR="001B4E21" w:rsidRDefault="001B4E21" w:rsidP="00613774">
      <w:pPr>
        <w:ind w:firstLine="720"/>
        <w:jc w:val="both"/>
      </w:pPr>
    </w:p>
    <w:p w:rsidR="001B4E21" w:rsidRDefault="001B4E21" w:rsidP="00C66DB5">
      <w:pPr>
        <w:spacing w:line="360" w:lineRule="auto"/>
        <w:ind w:firstLine="720"/>
        <w:jc w:val="both"/>
      </w:pPr>
      <w:r>
        <w:t>I find therefore that the 2</w:t>
      </w:r>
      <w:r w:rsidRPr="001B4E21">
        <w:rPr>
          <w:vertAlign w:val="superscript"/>
        </w:rPr>
        <w:t>nd</w:t>
      </w:r>
      <w:r>
        <w:t xml:space="preserve"> respondent did in fact issue a certificate of no settlement.</w:t>
      </w:r>
    </w:p>
    <w:p w:rsidR="00A8393B" w:rsidRDefault="00A8393B" w:rsidP="00613774">
      <w:pPr>
        <w:ind w:firstLine="720"/>
        <w:jc w:val="both"/>
      </w:pPr>
    </w:p>
    <w:p w:rsidR="00A8393B" w:rsidRDefault="00A8393B" w:rsidP="00C66DB5">
      <w:pPr>
        <w:spacing w:line="360" w:lineRule="auto"/>
        <w:ind w:firstLine="720"/>
        <w:jc w:val="both"/>
      </w:pPr>
      <w:r>
        <w:t>An application in terms of section 93 (7) (b) (ii) is made where a  Labour Officer refuses to issue a certificate of no settlement in relation to any dispute or unfair labour practice after the exp</w:t>
      </w:r>
      <w:r w:rsidR="00185149">
        <w:t>iry of the period allowed</w:t>
      </w:r>
      <w:r w:rsidR="0042454A">
        <w:t xml:space="preserve"> for conciliation or any extension of that period.</w:t>
      </w:r>
    </w:p>
    <w:p w:rsidR="0042454A" w:rsidRDefault="0042454A" w:rsidP="00613774">
      <w:pPr>
        <w:ind w:firstLine="720"/>
        <w:jc w:val="both"/>
      </w:pPr>
    </w:p>
    <w:p w:rsidR="00880B52" w:rsidRDefault="00880B52" w:rsidP="00C66DB5">
      <w:pPr>
        <w:spacing w:line="360" w:lineRule="auto"/>
        <w:ind w:firstLine="720"/>
        <w:jc w:val="both"/>
      </w:pPr>
      <w:r>
        <w:t>This application fails on this basis.  I wish however to deal with the</w:t>
      </w:r>
      <w:r w:rsidR="0072730B">
        <w:t xml:space="preserve"> second ground raised as a cautionary measure.</w:t>
      </w:r>
    </w:p>
    <w:p w:rsidR="0072730B" w:rsidRDefault="0072730B" w:rsidP="00613774">
      <w:pPr>
        <w:jc w:val="both"/>
      </w:pPr>
    </w:p>
    <w:p w:rsidR="0072730B" w:rsidRPr="00630EC1" w:rsidRDefault="0072730B" w:rsidP="0072730B">
      <w:pPr>
        <w:spacing w:line="360" w:lineRule="auto"/>
        <w:jc w:val="both"/>
        <w:rPr>
          <w:u w:val="single"/>
        </w:rPr>
      </w:pPr>
      <w:r w:rsidRPr="00630EC1">
        <w:rPr>
          <w:u w:val="single"/>
        </w:rPr>
        <w:t xml:space="preserve">Whether the reinstatement </w:t>
      </w:r>
      <w:r w:rsidR="00633B4B">
        <w:rPr>
          <w:u w:val="single"/>
        </w:rPr>
        <w:t>of</w:t>
      </w:r>
      <w:r w:rsidRPr="00630EC1">
        <w:rPr>
          <w:u w:val="single"/>
        </w:rPr>
        <w:t xml:space="preserve"> the applicant </w:t>
      </w:r>
      <w:r w:rsidR="00B82393" w:rsidRPr="00630EC1">
        <w:rPr>
          <w:u w:val="single"/>
        </w:rPr>
        <w:t>was improper</w:t>
      </w:r>
    </w:p>
    <w:p w:rsidR="00B82393" w:rsidRDefault="00B82393" w:rsidP="00613774">
      <w:pPr>
        <w:jc w:val="both"/>
      </w:pPr>
    </w:p>
    <w:p w:rsidR="00B82393" w:rsidRDefault="00B82393" w:rsidP="00630EC1">
      <w:pPr>
        <w:spacing w:line="360" w:lineRule="auto"/>
        <w:ind w:firstLine="720"/>
        <w:jc w:val="both"/>
      </w:pPr>
      <w:r>
        <w:t>The applicant’s case is that it was improper for the 1</w:t>
      </w:r>
      <w:r w:rsidRPr="00B82393">
        <w:rPr>
          <w:vertAlign w:val="superscript"/>
        </w:rPr>
        <w:t>st</w:t>
      </w:r>
      <w:r>
        <w:t xml:space="preserve"> respondent </w:t>
      </w:r>
      <w:r w:rsidR="00624466">
        <w:t>to reinstate the applicant as it did</w:t>
      </w:r>
      <w:r w:rsidR="00633B4B">
        <w:t>,</w:t>
      </w:r>
      <w:r w:rsidR="00624466">
        <w:t xml:space="preserve"> yet the matter was before the Labour Officer.  It </w:t>
      </w:r>
      <w:r w:rsidR="00473E7F">
        <w:t xml:space="preserve">is argued that </w:t>
      </w:r>
      <w:r w:rsidR="00BF5F5B">
        <w:t>by doing so, the 1</w:t>
      </w:r>
      <w:r w:rsidR="00BF5F5B" w:rsidRPr="00BF5F5B">
        <w:rPr>
          <w:vertAlign w:val="superscript"/>
        </w:rPr>
        <w:t>st</w:t>
      </w:r>
      <w:r w:rsidR="00BF5F5B">
        <w:t xml:space="preserve"> respondent usurped the powers of the Labour Officer as it could not lawfully</w:t>
      </w:r>
      <w:r w:rsidR="00633B4B">
        <w:t xml:space="preserve"> settle</w:t>
      </w:r>
      <w:r w:rsidR="00630EC1">
        <w:t xml:space="preserve"> the matter outside the jurisdiction of 1</w:t>
      </w:r>
      <w:r w:rsidR="00630EC1" w:rsidRPr="00630EC1">
        <w:rPr>
          <w:vertAlign w:val="superscript"/>
        </w:rPr>
        <w:t>st</w:t>
      </w:r>
      <w:r w:rsidR="00630EC1">
        <w:t xml:space="preserve"> respondent.</w:t>
      </w:r>
    </w:p>
    <w:p w:rsidR="00660BDF" w:rsidRDefault="00660BDF" w:rsidP="00613774">
      <w:pPr>
        <w:ind w:firstLine="720"/>
        <w:jc w:val="both"/>
      </w:pPr>
    </w:p>
    <w:p w:rsidR="00660BDF" w:rsidRDefault="00660BDF" w:rsidP="00630EC1">
      <w:pPr>
        <w:spacing w:line="360" w:lineRule="auto"/>
        <w:ind w:firstLine="720"/>
        <w:jc w:val="both"/>
      </w:pPr>
      <w:r>
        <w:t>It is further argued that the letter of reinstatement is vague and not clear on the unfair labour practice issues.</w:t>
      </w:r>
    </w:p>
    <w:p w:rsidR="00660BDF" w:rsidRDefault="00660BDF" w:rsidP="00613774">
      <w:pPr>
        <w:ind w:firstLine="720"/>
        <w:jc w:val="both"/>
      </w:pPr>
    </w:p>
    <w:p w:rsidR="00660BDF" w:rsidRDefault="00442DC1" w:rsidP="00630EC1">
      <w:pPr>
        <w:spacing w:line="360" w:lineRule="auto"/>
        <w:ind w:firstLine="720"/>
        <w:jc w:val="both"/>
      </w:pPr>
      <w:r>
        <w:t>The 1</w:t>
      </w:r>
      <w:r w:rsidRPr="00442DC1">
        <w:rPr>
          <w:vertAlign w:val="superscript"/>
        </w:rPr>
        <w:t>st</w:t>
      </w:r>
      <w:r>
        <w:t xml:space="preserve"> respondent</w:t>
      </w:r>
      <w:r w:rsidR="00476AB2">
        <w:t xml:space="preserve"> argues that there is nothing inappropriate about the reinstatement as it was the remedy the applicant was seeking before the Labour Officer.</w:t>
      </w:r>
    </w:p>
    <w:p w:rsidR="001C09F9" w:rsidRDefault="001C09F9" w:rsidP="00613774">
      <w:pPr>
        <w:ind w:firstLine="720"/>
        <w:jc w:val="both"/>
      </w:pPr>
    </w:p>
    <w:p w:rsidR="001C09F9" w:rsidRDefault="001C09F9" w:rsidP="00630EC1">
      <w:pPr>
        <w:spacing w:line="360" w:lineRule="auto"/>
        <w:ind w:firstLine="720"/>
        <w:jc w:val="both"/>
      </w:pPr>
      <w:r>
        <w:t xml:space="preserve">I agree that it would be absurd if this court was to prohibit that which the law permits.  </w:t>
      </w:r>
      <w:proofErr w:type="gramStart"/>
      <w:r w:rsidRPr="00962726">
        <w:rPr>
          <w:i/>
        </w:rPr>
        <w:t xml:space="preserve">Zimbabwe Railways Artisans Union &amp; </w:t>
      </w:r>
      <w:proofErr w:type="spellStart"/>
      <w:r w:rsidRPr="00962726">
        <w:rPr>
          <w:i/>
        </w:rPr>
        <w:t>Ors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r w:rsidRPr="00962726">
        <w:rPr>
          <w:i/>
        </w:rPr>
        <w:t xml:space="preserve">National </w:t>
      </w:r>
      <w:r w:rsidR="00F308A1" w:rsidRPr="00962726">
        <w:rPr>
          <w:i/>
        </w:rPr>
        <w:t>Railways of Zimbabwe</w:t>
      </w:r>
      <w:r w:rsidR="00F308A1">
        <w:t xml:space="preserve"> HH 189-03.</w:t>
      </w:r>
      <w:proofErr w:type="gramEnd"/>
    </w:p>
    <w:p w:rsidR="004D7058" w:rsidRDefault="004D7058" w:rsidP="00613774">
      <w:pPr>
        <w:ind w:firstLine="720"/>
        <w:jc w:val="both"/>
      </w:pPr>
    </w:p>
    <w:p w:rsidR="004D7058" w:rsidRDefault="004D7058" w:rsidP="00630EC1">
      <w:pPr>
        <w:spacing w:line="360" w:lineRule="auto"/>
        <w:ind w:firstLine="720"/>
        <w:jc w:val="both"/>
      </w:pPr>
      <w:r>
        <w:lastRenderedPageBreak/>
        <w:t xml:space="preserve">Reinstatement is what the applicant was seeking and it </w:t>
      </w:r>
      <w:r w:rsidR="005E379D">
        <w:t>is what was given to her.  Further, reinstatement is considered as the primary remedy</w:t>
      </w:r>
      <w:r w:rsidR="002C3326">
        <w:t xml:space="preserve"> for unfair dismissal.  </w:t>
      </w:r>
      <w:proofErr w:type="gramStart"/>
      <w:r w:rsidR="002C3326">
        <w:t xml:space="preserve">See </w:t>
      </w:r>
      <w:r w:rsidR="002C3326" w:rsidRPr="001C0424">
        <w:rPr>
          <w:i/>
        </w:rPr>
        <w:t>Art Corporation</w:t>
      </w:r>
      <w:r w:rsidR="002C3326">
        <w:t xml:space="preserve"> v </w:t>
      </w:r>
      <w:proofErr w:type="spellStart"/>
      <w:r w:rsidR="002C3326" w:rsidRPr="001C0424">
        <w:rPr>
          <w:i/>
        </w:rPr>
        <w:t>Moyana</w:t>
      </w:r>
      <w:proofErr w:type="spellEnd"/>
      <w:r w:rsidR="002C3326" w:rsidRPr="001C0424">
        <w:rPr>
          <w:i/>
        </w:rPr>
        <w:t xml:space="preserve"> </w:t>
      </w:r>
      <w:r w:rsidR="002C3326">
        <w:t xml:space="preserve">1989 (1) </w:t>
      </w:r>
      <w:r w:rsidR="00A96DE9">
        <w:t>ZLR 304 (5).</w:t>
      </w:r>
      <w:proofErr w:type="gramEnd"/>
    </w:p>
    <w:p w:rsidR="00A96DE9" w:rsidRDefault="00A96DE9" w:rsidP="001C0424">
      <w:pPr>
        <w:ind w:firstLine="720"/>
        <w:jc w:val="both"/>
      </w:pPr>
    </w:p>
    <w:p w:rsidR="00A96DE9" w:rsidRDefault="00A96DE9" w:rsidP="00630EC1">
      <w:pPr>
        <w:spacing w:line="360" w:lineRule="auto"/>
        <w:ind w:firstLine="720"/>
        <w:jc w:val="both"/>
      </w:pPr>
      <w:r>
        <w:t xml:space="preserve">The letter of reinstatement on record page 30 </w:t>
      </w:r>
      <w:r w:rsidR="00A93B13">
        <w:t>clearly states,</w:t>
      </w:r>
    </w:p>
    <w:p w:rsidR="00A93B13" w:rsidRDefault="00A93B13" w:rsidP="001C0424">
      <w:pPr>
        <w:ind w:firstLine="720"/>
        <w:jc w:val="both"/>
      </w:pPr>
    </w:p>
    <w:p w:rsidR="002920F8" w:rsidRPr="001C0424" w:rsidRDefault="00A93B13" w:rsidP="001C0424">
      <w:pPr>
        <w:spacing w:line="276" w:lineRule="auto"/>
        <w:ind w:left="720"/>
        <w:jc w:val="both"/>
        <w:rPr>
          <w:sz w:val="22"/>
          <w:szCs w:val="22"/>
        </w:rPr>
      </w:pPr>
      <w:r w:rsidRPr="001C0424">
        <w:rPr>
          <w:sz w:val="22"/>
          <w:szCs w:val="22"/>
        </w:rPr>
        <w:t xml:space="preserve">“By copy of this letter you are advised that </w:t>
      </w:r>
      <w:r w:rsidR="00E55792" w:rsidRPr="001C0424">
        <w:rPr>
          <w:sz w:val="22"/>
          <w:szCs w:val="22"/>
        </w:rPr>
        <w:t xml:space="preserve">you have been reinstated to the position of Finance and Administration Officer with your full pay and </w:t>
      </w:r>
      <w:r w:rsidR="002920F8" w:rsidRPr="001C0424">
        <w:rPr>
          <w:sz w:val="22"/>
          <w:szCs w:val="22"/>
        </w:rPr>
        <w:t>benefits wi</w:t>
      </w:r>
      <w:r w:rsidR="00DC7829">
        <w:rPr>
          <w:sz w:val="22"/>
          <w:szCs w:val="22"/>
        </w:rPr>
        <w:t>th effect from 1 February 2016.</w:t>
      </w:r>
    </w:p>
    <w:p w:rsidR="002920F8" w:rsidRDefault="002920F8" w:rsidP="001C0424">
      <w:pPr>
        <w:ind w:firstLine="720"/>
        <w:jc w:val="both"/>
      </w:pPr>
    </w:p>
    <w:p w:rsidR="002920F8" w:rsidRPr="00DC7829" w:rsidRDefault="00DD5FAF" w:rsidP="00DC7829">
      <w:pPr>
        <w:spacing w:line="276" w:lineRule="auto"/>
        <w:ind w:left="720"/>
        <w:jc w:val="both"/>
        <w:rPr>
          <w:sz w:val="22"/>
          <w:szCs w:val="22"/>
        </w:rPr>
      </w:pPr>
      <w:r w:rsidRPr="00DC7829">
        <w:rPr>
          <w:sz w:val="22"/>
          <w:szCs w:val="22"/>
        </w:rPr>
        <w:t xml:space="preserve">The organisation is obliged to pay your back pay and benefits for the period August 2014 to January 2016 </w:t>
      </w:r>
      <w:r w:rsidR="00D02B79" w:rsidRPr="00DC7829">
        <w:rPr>
          <w:sz w:val="22"/>
          <w:szCs w:val="22"/>
        </w:rPr>
        <w:t>particulars of which shall be discussed when you come to the office to resume your duties.</w:t>
      </w:r>
      <w:r w:rsidR="00DC7829">
        <w:rPr>
          <w:sz w:val="22"/>
          <w:szCs w:val="22"/>
        </w:rPr>
        <w:t>”</w:t>
      </w:r>
    </w:p>
    <w:p w:rsidR="00D02B79" w:rsidRDefault="00D02B79" w:rsidP="001C0424">
      <w:pPr>
        <w:ind w:firstLine="720"/>
        <w:jc w:val="both"/>
      </w:pPr>
    </w:p>
    <w:p w:rsidR="00D02B79" w:rsidRDefault="00D02B79" w:rsidP="002920F8">
      <w:pPr>
        <w:spacing w:line="360" w:lineRule="auto"/>
        <w:ind w:firstLine="720"/>
        <w:jc w:val="both"/>
      </w:pPr>
      <w:r>
        <w:t>There is authority from the Supreme Court that a</w:t>
      </w:r>
      <w:r w:rsidR="00F154CA">
        <w:t xml:space="preserve">n employer is </w:t>
      </w:r>
      <w:r w:rsidR="0089008A">
        <w:t>not</w:t>
      </w:r>
      <w:r w:rsidR="00F154CA">
        <w:t xml:space="preserve"> barred from proceeding with a fresh disciplinary hearing upon realizing there are procedural irregularities and after reinstating the employee.  Disciplinary proceedings </w:t>
      </w:r>
      <w:r w:rsidR="008F02FB">
        <w:t>tainted</w:t>
      </w:r>
      <w:r w:rsidR="00CF4868">
        <w:t xml:space="preserve"> with irregularities can be set aside and commenced afresh.  </w:t>
      </w:r>
      <w:proofErr w:type="gramStart"/>
      <w:r w:rsidR="00CF4868">
        <w:t xml:space="preserve">See </w:t>
      </w:r>
      <w:r w:rsidR="00CF4868" w:rsidRPr="00CC60FB">
        <w:rPr>
          <w:i/>
        </w:rPr>
        <w:t>Standard Chartered</w:t>
      </w:r>
      <w:r w:rsidR="00CF4868">
        <w:t xml:space="preserve"> </w:t>
      </w:r>
      <w:r w:rsidR="00CF4868" w:rsidRPr="00CC60FB">
        <w:rPr>
          <w:i/>
        </w:rPr>
        <w:t>Bank of Zimbabwe Ltd</w:t>
      </w:r>
      <w:r w:rsidR="00CF4868">
        <w:t xml:space="preserve"> v </w:t>
      </w:r>
      <w:proofErr w:type="spellStart"/>
      <w:r w:rsidR="00CF4868" w:rsidRPr="00CC60FB">
        <w:rPr>
          <w:i/>
        </w:rPr>
        <w:t>Matsika</w:t>
      </w:r>
      <w:proofErr w:type="spellEnd"/>
      <w:r w:rsidR="00CF4868">
        <w:t xml:space="preserve"> 1996 (1) ZLR 123 (5), </w:t>
      </w:r>
      <w:proofErr w:type="spellStart"/>
      <w:r w:rsidR="00CF4868" w:rsidRPr="00CC60FB">
        <w:rPr>
          <w:i/>
        </w:rPr>
        <w:t>Dalny</w:t>
      </w:r>
      <w:proofErr w:type="spellEnd"/>
      <w:r w:rsidR="00CF4868" w:rsidRPr="00CC60FB">
        <w:rPr>
          <w:i/>
        </w:rPr>
        <w:t xml:space="preserve"> Mine</w:t>
      </w:r>
      <w:r w:rsidR="00CF4868">
        <w:t xml:space="preserve"> v </w:t>
      </w:r>
      <w:r w:rsidR="00CF4868" w:rsidRPr="00CC60FB">
        <w:rPr>
          <w:i/>
        </w:rPr>
        <w:t>Banda</w:t>
      </w:r>
      <w:r w:rsidR="00CF4868">
        <w:t xml:space="preserve"> SC</w:t>
      </w:r>
      <w:r w:rsidR="00333804">
        <w:t xml:space="preserve">-39-99 and </w:t>
      </w:r>
      <w:r w:rsidR="00333804" w:rsidRPr="00003821">
        <w:rPr>
          <w:i/>
        </w:rPr>
        <w:t>Mackenzie</w:t>
      </w:r>
      <w:r w:rsidR="00003821">
        <w:t xml:space="preserve"> v </w:t>
      </w:r>
      <w:r w:rsidR="00003821" w:rsidRPr="00003821">
        <w:rPr>
          <w:i/>
        </w:rPr>
        <w:t>Rio Tinto Zimbabwe</w:t>
      </w:r>
      <w:r w:rsidR="00003821">
        <w:t xml:space="preserve"> SC 144/04.</w:t>
      </w:r>
      <w:proofErr w:type="gramEnd"/>
    </w:p>
    <w:p w:rsidR="00003821" w:rsidRDefault="00003821" w:rsidP="00E106D3">
      <w:pPr>
        <w:ind w:firstLine="720"/>
        <w:jc w:val="both"/>
      </w:pPr>
    </w:p>
    <w:p w:rsidR="00003821" w:rsidRDefault="00003821" w:rsidP="002920F8">
      <w:pPr>
        <w:spacing w:line="360" w:lineRule="auto"/>
        <w:ind w:firstLine="720"/>
        <w:jc w:val="both"/>
      </w:pPr>
      <w:r>
        <w:t xml:space="preserve">Though the facts in the above </w:t>
      </w:r>
      <w:r w:rsidR="00585BEA">
        <w:t>cases relate to matters remitted by a court or tribunal, I believe</w:t>
      </w:r>
      <w:r w:rsidR="00F139B1">
        <w:t xml:space="preserve"> the principle applies with equal force even where a party, </w:t>
      </w:r>
      <w:proofErr w:type="spellStart"/>
      <w:r w:rsidR="00F139B1" w:rsidRPr="008A7FF2">
        <w:rPr>
          <w:i/>
        </w:rPr>
        <w:t>mero</w:t>
      </w:r>
      <w:proofErr w:type="spellEnd"/>
      <w:r w:rsidR="00F139B1" w:rsidRPr="008A7FF2">
        <w:rPr>
          <w:i/>
        </w:rPr>
        <w:t xml:space="preserve"> </w:t>
      </w:r>
      <w:proofErr w:type="spellStart"/>
      <w:r w:rsidR="00F139B1" w:rsidRPr="008A7FF2">
        <w:rPr>
          <w:i/>
        </w:rPr>
        <w:t>motu</w:t>
      </w:r>
      <w:proofErr w:type="spellEnd"/>
      <w:r w:rsidR="00F139B1">
        <w:t xml:space="preserve"> sets aside the tainted proceedings and commences</w:t>
      </w:r>
      <w:r w:rsidR="008A7FF2">
        <w:t xml:space="preserve"> them afresh.</w:t>
      </w:r>
    </w:p>
    <w:p w:rsidR="005942E6" w:rsidRDefault="005942E6" w:rsidP="005942E6">
      <w:pPr>
        <w:ind w:firstLine="720"/>
        <w:jc w:val="both"/>
      </w:pPr>
    </w:p>
    <w:p w:rsidR="008C4EB2" w:rsidRDefault="008C4EB2" w:rsidP="002920F8">
      <w:pPr>
        <w:spacing w:line="360" w:lineRule="auto"/>
        <w:ind w:firstLine="720"/>
        <w:jc w:val="both"/>
      </w:pPr>
      <w:r>
        <w:t>There is no merit in the applicant’s further argument that the letter of reinstatement should</w:t>
      </w:r>
      <w:r w:rsidR="00D802F6">
        <w:t xml:space="preserve"> have come through the lawyers and not directly from the 1</w:t>
      </w:r>
      <w:r w:rsidR="00D802F6" w:rsidRPr="00D802F6">
        <w:rPr>
          <w:vertAlign w:val="superscript"/>
        </w:rPr>
        <w:t>st</w:t>
      </w:r>
      <w:r w:rsidR="00D802F6">
        <w:t xml:space="preserve"> respondent.  This is because the 1</w:t>
      </w:r>
      <w:r w:rsidR="00D802F6" w:rsidRPr="00D802F6">
        <w:rPr>
          <w:vertAlign w:val="superscript"/>
        </w:rPr>
        <w:t>st</w:t>
      </w:r>
      <w:r w:rsidR="00D802F6">
        <w:t xml:space="preserve"> respondent was the applicant’s </w:t>
      </w:r>
      <w:r w:rsidR="00247025">
        <w:t>employer and was the right persona to reinstate.</w:t>
      </w:r>
    </w:p>
    <w:p w:rsidR="00247025" w:rsidRDefault="00247025" w:rsidP="002920F8">
      <w:pPr>
        <w:spacing w:line="360" w:lineRule="auto"/>
        <w:ind w:firstLine="720"/>
        <w:jc w:val="both"/>
      </w:pPr>
    </w:p>
    <w:p w:rsidR="00247025" w:rsidRDefault="00247025" w:rsidP="00E106D3">
      <w:pPr>
        <w:spacing w:line="360" w:lineRule="auto"/>
        <w:jc w:val="both"/>
      </w:pPr>
      <w:r>
        <w:t>In the circumstances, the application be and is hereby dismissed for lack of merit.</w:t>
      </w:r>
    </w:p>
    <w:p w:rsidR="00BC50FF" w:rsidRDefault="00BC50FF" w:rsidP="00BC50FF">
      <w:pPr>
        <w:spacing w:line="360" w:lineRule="auto"/>
        <w:jc w:val="both"/>
      </w:pPr>
    </w:p>
    <w:p w:rsidR="00BC50FF" w:rsidRDefault="00BC50FF" w:rsidP="00BC50FF">
      <w:pPr>
        <w:spacing w:line="360" w:lineRule="auto"/>
        <w:jc w:val="both"/>
      </w:pPr>
    </w:p>
    <w:p w:rsidR="00BC50FF" w:rsidRDefault="00BC50FF" w:rsidP="00BC50FF">
      <w:pPr>
        <w:spacing w:line="360" w:lineRule="auto"/>
        <w:jc w:val="both"/>
      </w:pPr>
      <w:proofErr w:type="spellStart"/>
      <w:r w:rsidRPr="00E106D3">
        <w:rPr>
          <w:i/>
        </w:rPr>
        <w:t>Dururu</w:t>
      </w:r>
      <w:proofErr w:type="spellEnd"/>
      <w:r w:rsidRPr="00E106D3">
        <w:rPr>
          <w:i/>
        </w:rPr>
        <w:t xml:space="preserve"> </w:t>
      </w:r>
      <w:proofErr w:type="gramStart"/>
      <w:r w:rsidRPr="00E106D3">
        <w:rPr>
          <w:i/>
        </w:rPr>
        <w:t>A</w:t>
      </w:r>
      <w:proofErr w:type="gramEnd"/>
      <w:r w:rsidRPr="00E106D3">
        <w:rPr>
          <w:i/>
        </w:rPr>
        <w:t xml:space="preserve"> &amp; Associates</w:t>
      </w:r>
      <w:r>
        <w:t>, applicant’s legal practitioners</w:t>
      </w:r>
    </w:p>
    <w:p w:rsidR="006E0E24" w:rsidRDefault="00BC50FF" w:rsidP="0007654B">
      <w:pPr>
        <w:spacing w:line="360" w:lineRule="auto"/>
        <w:jc w:val="both"/>
      </w:pPr>
      <w:proofErr w:type="spellStart"/>
      <w:r w:rsidRPr="00E106D3">
        <w:rPr>
          <w:i/>
        </w:rPr>
        <w:t>Messrs</w:t>
      </w:r>
      <w:proofErr w:type="spellEnd"/>
      <w:r w:rsidRPr="00E106D3">
        <w:rPr>
          <w:i/>
        </w:rPr>
        <w:t xml:space="preserve"> Sawyer &amp; </w:t>
      </w:r>
      <w:proofErr w:type="spellStart"/>
      <w:r w:rsidRPr="00E106D3">
        <w:rPr>
          <w:i/>
        </w:rPr>
        <w:t>Mkushi</w:t>
      </w:r>
      <w:proofErr w:type="spellEnd"/>
      <w:r w:rsidR="00E106D3">
        <w:t>, respondent’s legal practitioners</w:t>
      </w:r>
    </w:p>
    <w:sectPr w:rsidR="006E0E24" w:rsidSect="00690CC1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945" w:rsidRDefault="00D15945" w:rsidP="00FB2681">
      <w:r>
        <w:separator/>
      </w:r>
    </w:p>
  </w:endnote>
  <w:endnote w:type="continuationSeparator" w:id="0">
    <w:p w:rsidR="00D15945" w:rsidRDefault="00D15945" w:rsidP="00FB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96289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4868" w:rsidRDefault="00CF48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E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4868" w:rsidRDefault="00CF48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945" w:rsidRDefault="00D15945" w:rsidP="00FB2681">
      <w:r>
        <w:separator/>
      </w:r>
    </w:p>
  </w:footnote>
  <w:footnote w:type="continuationSeparator" w:id="0">
    <w:p w:rsidR="00D15945" w:rsidRDefault="00D15945" w:rsidP="00FB2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868" w:rsidRPr="00FB2681" w:rsidRDefault="00CF4868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A54197">
      <w:rPr>
        <w:lang w:val="en-ZW"/>
      </w:rPr>
      <w:t>484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20904"/>
    <w:multiLevelType w:val="hybridMultilevel"/>
    <w:tmpl w:val="7750A49C"/>
    <w:lvl w:ilvl="0" w:tplc="463E0D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E3"/>
    <w:rsid w:val="00003821"/>
    <w:rsid w:val="00057AB7"/>
    <w:rsid w:val="0007654B"/>
    <w:rsid w:val="00086B68"/>
    <w:rsid w:val="00101F0E"/>
    <w:rsid w:val="00137F6D"/>
    <w:rsid w:val="001505CD"/>
    <w:rsid w:val="00185149"/>
    <w:rsid w:val="001B4E21"/>
    <w:rsid w:val="001C0424"/>
    <w:rsid w:val="001C09F9"/>
    <w:rsid w:val="00202E91"/>
    <w:rsid w:val="0023250B"/>
    <w:rsid w:val="00240E37"/>
    <w:rsid w:val="00247025"/>
    <w:rsid w:val="002920F8"/>
    <w:rsid w:val="002C3326"/>
    <w:rsid w:val="00333804"/>
    <w:rsid w:val="0038493C"/>
    <w:rsid w:val="00386BF0"/>
    <w:rsid w:val="00394DC9"/>
    <w:rsid w:val="003974D5"/>
    <w:rsid w:val="003B12D4"/>
    <w:rsid w:val="003E7EE7"/>
    <w:rsid w:val="003F22D3"/>
    <w:rsid w:val="0041627D"/>
    <w:rsid w:val="0042454A"/>
    <w:rsid w:val="00442DC1"/>
    <w:rsid w:val="0046256A"/>
    <w:rsid w:val="00473E7F"/>
    <w:rsid w:val="00476AB2"/>
    <w:rsid w:val="004D7058"/>
    <w:rsid w:val="004E5284"/>
    <w:rsid w:val="00501AC8"/>
    <w:rsid w:val="00533C2C"/>
    <w:rsid w:val="00534DC1"/>
    <w:rsid w:val="00585BEA"/>
    <w:rsid w:val="005942E6"/>
    <w:rsid w:val="005A376A"/>
    <w:rsid w:val="005E1471"/>
    <w:rsid w:val="005E379D"/>
    <w:rsid w:val="00613774"/>
    <w:rsid w:val="00620B2E"/>
    <w:rsid w:val="00624466"/>
    <w:rsid w:val="00630EC1"/>
    <w:rsid w:val="00633B4B"/>
    <w:rsid w:val="00660BDF"/>
    <w:rsid w:val="00680A6A"/>
    <w:rsid w:val="00690CC1"/>
    <w:rsid w:val="006E0E24"/>
    <w:rsid w:val="006F18A7"/>
    <w:rsid w:val="0072730B"/>
    <w:rsid w:val="00777059"/>
    <w:rsid w:val="007A3381"/>
    <w:rsid w:val="007D720D"/>
    <w:rsid w:val="007F31E3"/>
    <w:rsid w:val="0084700A"/>
    <w:rsid w:val="008545AD"/>
    <w:rsid w:val="00880B52"/>
    <w:rsid w:val="0089008A"/>
    <w:rsid w:val="00897EA6"/>
    <w:rsid w:val="008A7FF2"/>
    <w:rsid w:val="008C4EB2"/>
    <w:rsid w:val="008E4796"/>
    <w:rsid w:val="008F02FB"/>
    <w:rsid w:val="00902F28"/>
    <w:rsid w:val="00935DB7"/>
    <w:rsid w:val="00960642"/>
    <w:rsid w:val="00962726"/>
    <w:rsid w:val="0099579D"/>
    <w:rsid w:val="009A2930"/>
    <w:rsid w:val="009F0A1A"/>
    <w:rsid w:val="009F20C7"/>
    <w:rsid w:val="009F5487"/>
    <w:rsid w:val="00A36040"/>
    <w:rsid w:val="00A54197"/>
    <w:rsid w:val="00A82D20"/>
    <w:rsid w:val="00A8393B"/>
    <w:rsid w:val="00A9019F"/>
    <w:rsid w:val="00A93B13"/>
    <w:rsid w:val="00A96DE9"/>
    <w:rsid w:val="00A97BF1"/>
    <w:rsid w:val="00AA1948"/>
    <w:rsid w:val="00B06715"/>
    <w:rsid w:val="00B1067A"/>
    <w:rsid w:val="00B71FBE"/>
    <w:rsid w:val="00B82393"/>
    <w:rsid w:val="00B95A53"/>
    <w:rsid w:val="00BC3565"/>
    <w:rsid w:val="00BC50FF"/>
    <w:rsid w:val="00BF5F5B"/>
    <w:rsid w:val="00BF6DC2"/>
    <w:rsid w:val="00C45DD2"/>
    <w:rsid w:val="00C66DB5"/>
    <w:rsid w:val="00CA2598"/>
    <w:rsid w:val="00CC60FB"/>
    <w:rsid w:val="00CD23BE"/>
    <w:rsid w:val="00CE3214"/>
    <w:rsid w:val="00CE4A6F"/>
    <w:rsid w:val="00CF4868"/>
    <w:rsid w:val="00D02B79"/>
    <w:rsid w:val="00D15945"/>
    <w:rsid w:val="00D802F6"/>
    <w:rsid w:val="00D95D8B"/>
    <w:rsid w:val="00DC3826"/>
    <w:rsid w:val="00DC7829"/>
    <w:rsid w:val="00DD5FAF"/>
    <w:rsid w:val="00DF5CB7"/>
    <w:rsid w:val="00E106D3"/>
    <w:rsid w:val="00E55792"/>
    <w:rsid w:val="00E75C07"/>
    <w:rsid w:val="00EA0145"/>
    <w:rsid w:val="00EA298F"/>
    <w:rsid w:val="00EA4A76"/>
    <w:rsid w:val="00F030F9"/>
    <w:rsid w:val="00F139B1"/>
    <w:rsid w:val="00F154CA"/>
    <w:rsid w:val="00F1772B"/>
    <w:rsid w:val="00F308A1"/>
    <w:rsid w:val="00F46B14"/>
    <w:rsid w:val="00F55DCE"/>
    <w:rsid w:val="00FB2681"/>
    <w:rsid w:val="00FE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1E3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6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681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26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681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957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1E3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6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681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26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681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95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FC43E-2FBC-43B8-BF8C-7D415A704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37</cp:revision>
  <dcterms:created xsi:type="dcterms:W3CDTF">2016-08-03T06:46:00Z</dcterms:created>
  <dcterms:modified xsi:type="dcterms:W3CDTF">2016-08-11T13:09:00Z</dcterms:modified>
</cp:coreProperties>
</file>