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4E" w:rsidRDefault="00433A4E" w:rsidP="00433A4E">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AC6247">
        <w:rPr>
          <w:b/>
          <w:sz w:val="22"/>
          <w:szCs w:val="22"/>
        </w:rPr>
        <w:t>471</w:t>
      </w:r>
      <w:r>
        <w:rPr>
          <w:b/>
          <w:sz w:val="22"/>
          <w:szCs w:val="22"/>
        </w:rPr>
        <w:t>/2014</w:t>
      </w:r>
    </w:p>
    <w:p w:rsidR="00433A4E" w:rsidRDefault="00433A4E" w:rsidP="00433A4E">
      <w:pPr>
        <w:spacing w:line="360" w:lineRule="auto"/>
        <w:jc w:val="both"/>
        <w:rPr>
          <w:b/>
          <w:sz w:val="22"/>
          <w:szCs w:val="22"/>
        </w:rPr>
      </w:pPr>
      <w:r>
        <w:rPr>
          <w:b/>
          <w:sz w:val="22"/>
          <w:szCs w:val="22"/>
        </w:rPr>
        <w:t>HARARE, 15 JULY 2014                                                        CASE NO. LC/H/164/14</w:t>
      </w:r>
    </w:p>
    <w:p w:rsidR="00AC6247" w:rsidRDefault="00AC6247" w:rsidP="00433A4E">
      <w:pPr>
        <w:spacing w:line="360" w:lineRule="auto"/>
        <w:jc w:val="both"/>
        <w:rPr>
          <w:b/>
          <w:sz w:val="22"/>
          <w:szCs w:val="22"/>
        </w:rPr>
      </w:pPr>
      <w:r>
        <w:rPr>
          <w:b/>
          <w:sz w:val="22"/>
          <w:szCs w:val="22"/>
        </w:rPr>
        <w:t>AND 01 AUGUST 2014</w:t>
      </w:r>
    </w:p>
    <w:p w:rsidR="00433A4E" w:rsidRDefault="00433A4E" w:rsidP="00433A4E">
      <w:pPr>
        <w:spacing w:line="360" w:lineRule="auto"/>
        <w:jc w:val="both"/>
        <w:rPr>
          <w:b/>
          <w:sz w:val="22"/>
          <w:szCs w:val="22"/>
        </w:rPr>
      </w:pPr>
    </w:p>
    <w:p w:rsidR="00AC6247" w:rsidRDefault="00AC6247" w:rsidP="00433A4E">
      <w:pPr>
        <w:spacing w:line="360" w:lineRule="auto"/>
        <w:jc w:val="both"/>
      </w:pPr>
    </w:p>
    <w:p w:rsidR="00433A4E" w:rsidRDefault="00433A4E" w:rsidP="00433A4E">
      <w:pPr>
        <w:spacing w:line="360" w:lineRule="auto"/>
        <w:jc w:val="both"/>
        <w:rPr>
          <w:b/>
        </w:rPr>
      </w:pPr>
      <w:r>
        <w:rPr>
          <w:b/>
        </w:rPr>
        <w:t>D. PADARE &amp; 176 OTHERS</w:t>
      </w:r>
      <w:r>
        <w:rPr>
          <w:b/>
        </w:rPr>
        <w:tab/>
      </w:r>
      <w:r>
        <w:rPr>
          <w:b/>
        </w:rPr>
        <w:tab/>
      </w:r>
      <w:r>
        <w:rPr>
          <w:b/>
        </w:rPr>
        <w:tab/>
      </w:r>
      <w:r>
        <w:rPr>
          <w:b/>
        </w:rPr>
        <w:tab/>
      </w:r>
      <w:r>
        <w:rPr>
          <w:b/>
        </w:rPr>
        <w:tab/>
        <w:t>Appellant</w:t>
      </w:r>
      <w:r w:rsidR="00124E31">
        <w:rPr>
          <w:b/>
        </w:rPr>
        <w:t>s</w:t>
      </w:r>
    </w:p>
    <w:p w:rsidR="00433A4E" w:rsidRDefault="00433A4E" w:rsidP="00433A4E">
      <w:pPr>
        <w:spacing w:line="360" w:lineRule="auto"/>
        <w:jc w:val="both"/>
        <w:rPr>
          <w:b/>
        </w:rPr>
      </w:pPr>
    </w:p>
    <w:p w:rsidR="00433A4E" w:rsidRDefault="00433A4E" w:rsidP="00433A4E">
      <w:pPr>
        <w:spacing w:line="360" w:lineRule="auto"/>
        <w:jc w:val="both"/>
        <w:rPr>
          <w:b/>
        </w:rPr>
      </w:pPr>
      <w:r>
        <w:rPr>
          <w:b/>
        </w:rPr>
        <w:t xml:space="preserve">SURFACE </w:t>
      </w:r>
      <w:r w:rsidR="00AE3A11">
        <w:rPr>
          <w:b/>
        </w:rPr>
        <w:t>INVESTMENTS (</w:t>
      </w:r>
      <w:r>
        <w:rPr>
          <w:b/>
        </w:rPr>
        <w:t>PVT) LTD</w:t>
      </w:r>
      <w:r>
        <w:rPr>
          <w:b/>
        </w:rPr>
        <w:tab/>
      </w:r>
      <w:r>
        <w:rPr>
          <w:b/>
        </w:rPr>
        <w:tab/>
      </w:r>
      <w:r>
        <w:rPr>
          <w:b/>
        </w:rPr>
        <w:tab/>
      </w:r>
      <w:r>
        <w:rPr>
          <w:b/>
        </w:rPr>
        <w:tab/>
        <w:t>Respondent</w:t>
      </w:r>
    </w:p>
    <w:p w:rsidR="00433A4E" w:rsidRDefault="00433A4E" w:rsidP="00433A4E">
      <w:pPr>
        <w:spacing w:line="360" w:lineRule="auto"/>
        <w:jc w:val="both"/>
        <w:rPr>
          <w:b/>
        </w:rPr>
      </w:pPr>
    </w:p>
    <w:p w:rsidR="003B0884" w:rsidRDefault="003B0884" w:rsidP="00433A4E">
      <w:pPr>
        <w:spacing w:line="360" w:lineRule="auto"/>
        <w:jc w:val="both"/>
        <w:rPr>
          <w:b/>
        </w:rPr>
      </w:pPr>
    </w:p>
    <w:p w:rsidR="00433A4E" w:rsidRDefault="00433A4E" w:rsidP="00433A4E">
      <w:pPr>
        <w:spacing w:line="360" w:lineRule="auto"/>
        <w:jc w:val="both"/>
        <w:outlineLvl w:val="0"/>
      </w:pPr>
      <w:r w:rsidRPr="00BA331A">
        <w:rPr>
          <w:b/>
        </w:rPr>
        <w:t xml:space="preserve">Before The </w:t>
      </w:r>
      <w:r w:rsidR="00AE3A11" w:rsidRPr="00BA331A">
        <w:rPr>
          <w:b/>
        </w:rPr>
        <w:t>Honorable</w:t>
      </w:r>
      <w:r>
        <w:t xml:space="preserve"> </w:t>
      </w:r>
      <w:r w:rsidRPr="00EC57B0">
        <w:rPr>
          <w:b/>
        </w:rPr>
        <w:t>G. Musariri, Judge</w:t>
      </w:r>
      <w:r>
        <w:rPr>
          <w:b/>
        </w:rPr>
        <w:t>:</w:t>
      </w:r>
    </w:p>
    <w:p w:rsidR="00433A4E" w:rsidRDefault="00433A4E" w:rsidP="00433A4E">
      <w:pPr>
        <w:spacing w:line="360" w:lineRule="auto"/>
        <w:jc w:val="both"/>
      </w:pPr>
    </w:p>
    <w:p w:rsidR="00433A4E" w:rsidRDefault="00433A4E" w:rsidP="00433A4E">
      <w:pPr>
        <w:spacing w:line="360" w:lineRule="auto"/>
        <w:jc w:val="both"/>
        <w:rPr>
          <w:b/>
        </w:rPr>
      </w:pPr>
      <w:r>
        <w:rPr>
          <w:b/>
        </w:rPr>
        <w:t>For Appellant</w:t>
      </w:r>
      <w:r w:rsidR="00124E31">
        <w:rPr>
          <w:b/>
        </w:rPr>
        <w:t>s</w:t>
      </w:r>
      <w:r>
        <w:rPr>
          <w:b/>
        </w:rPr>
        <w:t xml:space="preserve"> </w:t>
      </w:r>
      <w:r>
        <w:rPr>
          <w:b/>
        </w:rPr>
        <w:tab/>
      </w:r>
      <w:r>
        <w:rPr>
          <w:b/>
        </w:rPr>
        <w:tab/>
        <w:t>Ms P. Beta, Unionist</w:t>
      </w:r>
    </w:p>
    <w:p w:rsidR="00433A4E" w:rsidRDefault="00433A4E" w:rsidP="00433A4E">
      <w:pPr>
        <w:jc w:val="both"/>
        <w:rPr>
          <w:b/>
        </w:rPr>
      </w:pPr>
      <w:r>
        <w:rPr>
          <w:b/>
        </w:rPr>
        <w:tab/>
      </w:r>
    </w:p>
    <w:p w:rsidR="00433A4E" w:rsidRDefault="00433A4E" w:rsidP="00433A4E">
      <w:pPr>
        <w:spacing w:line="360" w:lineRule="auto"/>
        <w:jc w:val="both"/>
        <w:rPr>
          <w:b/>
        </w:rPr>
      </w:pPr>
      <w:r>
        <w:rPr>
          <w:b/>
        </w:rPr>
        <w:t>For Respondent</w:t>
      </w:r>
      <w:r>
        <w:rPr>
          <w:b/>
        </w:rPr>
        <w:tab/>
      </w:r>
      <w:r>
        <w:rPr>
          <w:b/>
        </w:rPr>
        <w:tab/>
        <w:t>Mr. B. Museba, Attorney</w:t>
      </w:r>
    </w:p>
    <w:p w:rsidR="00433A4E" w:rsidRDefault="00433A4E" w:rsidP="00433A4E">
      <w:pPr>
        <w:spacing w:line="360" w:lineRule="auto"/>
        <w:jc w:val="both"/>
        <w:rPr>
          <w:b/>
          <w:sz w:val="28"/>
          <w:szCs w:val="28"/>
        </w:rPr>
      </w:pPr>
    </w:p>
    <w:p w:rsidR="00433A4E" w:rsidRDefault="00433A4E" w:rsidP="00433A4E">
      <w:pPr>
        <w:spacing w:line="360" w:lineRule="auto"/>
        <w:jc w:val="both"/>
        <w:outlineLvl w:val="0"/>
        <w:rPr>
          <w:b/>
        </w:rPr>
      </w:pPr>
      <w:r>
        <w:rPr>
          <w:b/>
        </w:rPr>
        <w:t>MUSARIRI, G:</w:t>
      </w:r>
    </w:p>
    <w:p w:rsidR="00433A4E" w:rsidRDefault="00433A4E" w:rsidP="00433A4E">
      <w:pPr>
        <w:spacing w:line="276" w:lineRule="auto"/>
      </w:pPr>
    </w:p>
    <w:p w:rsidR="00433A4E" w:rsidRDefault="00433A4E" w:rsidP="00433A4E">
      <w:pPr>
        <w:spacing w:line="360" w:lineRule="auto"/>
        <w:jc w:val="both"/>
      </w:pPr>
      <w:r>
        <w:t xml:space="preserve">At the onset of oral argument, Respondent raised two points </w:t>
      </w:r>
      <w:r w:rsidRPr="00AE3A11">
        <w:rPr>
          <w:i/>
        </w:rPr>
        <w:t>in limine</w:t>
      </w:r>
      <w:r>
        <w:t xml:space="preserve"> which Appellant opposed.</w:t>
      </w:r>
    </w:p>
    <w:p w:rsidR="00433A4E" w:rsidRDefault="00433A4E" w:rsidP="00AE3A11">
      <w:pPr>
        <w:spacing w:line="276" w:lineRule="auto"/>
        <w:jc w:val="both"/>
      </w:pPr>
    </w:p>
    <w:p w:rsidR="00433A4E" w:rsidRDefault="00AE3A11" w:rsidP="00A45F33">
      <w:pPr>
        <w:spacing w:line="360" w:lineRule="auto"/>
        <w:jc w:val="both"/>
      </w:pPr>
      <w:r>
        <w:t xml:space="preserve">1. </w:t>
      </w:r>
      <w:r w:rsidRPr="00AE3A11">
        <w:rPr>
          <w:u w:val="single"/>
        </w:rPr>
        <w:t>That</w:t>
      </w:r>
      <w:r w:rsidR="00433A4E" w:rsidRPr="00AE3A11">
        <w:rPr>
          <w:u w:val="single"/>
        </w:rPr>
        <w:t xml:space="preserve"> D. Padare had no locus standi to institute legal proceedings on b</w:t>
      </w:r>
      <w:r w:rsidR="00124E31" w:rsidRPr="00AE3A11">
        <w:rPr>
          <w:u w:val="single"/>
        </w:rPr>
        <w:t xml:space="preserve">ehalf of the </w:t>
      </w:r>
      <w:r w:rsidRPr="00AE3A11">
        <w:rPr>
          <w:u w:val="single"/>
        </w:rPr>
        <w:t xml:space="preserve">    </w:t>
      </w:r>
      <w:r w:rsidR="00124E31" w:rsidRPr="00AE3A11">
        <w:rPr>
          <w:u w:val="single"/>
        </w:rPr>
        <w:t>other Appellants</w:t>
      </w:r>
      <w:r w:rsidR="00124E31">
        <w:t>.</w:t>
      </w:r>
    </w:p>
    <w:p w:rsidR="00124E31" w:rsidRDefault="00124E31" w:rsidP="00AE3A11">
      <w:pPr>
        <w:pStyle w:val="ListParagraph"/>
        <w:spacing w:line="276" w:lineRule="auto"/>
        <w:jc w:val="both"/>
      </w:pPr>
    </w:p>
    <w:p w:rsidR="00AC6247" w:rsidRDefault="00124E31" w:rsidP="00124E31">
      <w:pPr>
        <w:spacing w:line="360" w:lineRule="auto"/>
        <w:jc w:val="both"/>
      </w:pPr>
      <w:r>
        <w:t>Proceedings in this matter were instituted by way of a Notice of Appeal.  The original copy is filed of record.  It was date-stamped on 24</w:t>
      </w:r>
      <w:r w:rsidRPr="00124E31">
        <w:rPr>
          <w:vertAlign w:val="superscript"/>
        </w:rPr>
        <w:t>th</w:t>
      </w:r>
      <w:r>
        <w:t xml:space="preserve"> February 2014.  It has a space for the signature of the person noting the appeal.  It is common cause that the person who signed on that space is Ms P. Beta who appeared in this Court as the representative of the Appellants.  She works for the Appellants’ trade </w:t>
      </w:r>
      <w:r w:rsidR="00AE3A11">
        <w:t>union that</w:t>
      </w:r>
      <w:r>
        <w:t xml:space="preserve"> is Detergents, Edible Oils </w:t>
      </w:r>
      <w:r w:rsidR="00AE3A11">
        <w:t>and</w:t>
      </w:r>
      <w:r>
        <w:t xml:space="preserve"> Fats </w:t>
      </w:r>
      <w:r w:rsidR="00AE3A11">
        <w:t>Workers</w:t>
      </w:r>
      <w:r>
        <w:t xml:space="preserve"> Union.  In terms of section 92 (b) of the </w:t>
      </w:r>
      <w:r w:rsidRPr="003B0884">
        <w:rPr>
          <w:u w:val="single"/>
        </w:rPr>
        <w:t>Labour Act</w:t>
      </w:r>
      <w:r>
        <w:t xml:space="preserve"> [Chapter 28:01] (thereafter called the Act) a party may be represented in Court by an </w:t>
      </w:r>
      <w:r w:rsidR="00AE3A11">
        <w:t>official</w:t>
      </w:r>
      <w:r>
        <w:t xml:space="preserve"> of his trade </w:t>
      </w:r>
      <w:r w:rsidR="00AE3A11">
        <w:t>union. Thus</w:t>
      </w:r>
      <w:r>
        <w:t xml:space="preserve"> it is not Padare who instituted proceedings in this Court on behalf of the other Appellants</w:t>
      </w:r>
      <w:r w:rsidR="00A45F33">
        <w:t xml:space="preserve">.  Rather the situation is </w:t>
      </w:r>
    </w:p>
    <w:p w:rsidR="00AC6247" w:rsidRDefault="00AC6247" w:rsidP="00124E31">
      <w:pPr>
        <w:spacing w:line="360" w:lineRule="auto"/>
        <w:jc w:val="both"/>
      </w:pPr>
    </w:p>
    <w:p w:rsidR="00AC6247" w:rsidRDefault="00AC6247" w:rsidP="00124E31">
      <w:pPr>
        <w:spacing w:line="360" w:lineRule="auto"/>
        <w:jc w:val="both"/>
      </w:pPr>
    </w:p>
    <w:p w:rsidR="00AC6247" w:rsidRDefault="00AC6247" w:rsidP="00124E31">
      <w:pPr>
        <w:spacing w:line="360" w:lineRule="auto"/>
        <w:jc w:val="both"/>
      </w:pPr>
    </w:p>
    <w:p w:rsidR="00124E31" w:rsidRDefault="003B0884" w:rsidP="00124E31">
      <w:pPr>
        <w:spacing w:line="360" w:lineRule="auto"/>
        <w:jc w:val="both"/>
      </w:pPr>
      <w:r>
        <w:t>a</w:t>
      </w:r>
      <w:r w:rsidR="00A45F33">
        <w:t>ki</w:t>
      </w:r>
      <w:r>
        <w:t>n to an attorney instituting an</w:t>
      </w:r>
      <w:r w:rsidR="00A45F33">
        <w:t xml:space="preserve"> appeal for several Appellants.  The matter is </w:t>
      </w:r>
      <w:r w:rsidR="00AE3A11">
        <w:t>distinguishable</w:t>
      </w:r>
      <w:r w:rsidR="00A45F33">
        <w:t xml:space="preserve"> from the cases </w:t>
      </w:r>
      <w:r w:rsidR="00AE3A11">
        <w:t>cited</w:t>
      </w:r>
      <w:r w:rsidR="00A45F33">
        <w:t xml:space="preserve"> by Respondent whereby one of the Appellants purports to act on behalf of the rest of them.</w:t>
      </w:r>
    </w:p>
    <w:p w:rsidR="00A45F33" w:rsidRDefault="00A45F33" w:rsidP="00AE3A11">
      <w:pPr>
        <w:spacing w:line="276" w:lineRule="auto"/>
        <w:jc w:val="both"/>
      </w:pPr>
    </w:p>
    <w:p w:rsidR="00A45F33" w:rsidRDefault="00A45F33" w:rsidP="00A45F33">
      <w:pPr>
        <w:spacing w:line="360" w:lineRule="auto"/>
        <w:jc w:val="both"/>
      </w:pPr>
      <w:r>
        <w:t xml:space="preserve">2.  </w:t>
      </w:r>
      <w:r w:rsidRPr="00AE3A11">
        <w:rPr>
          <w:u w:val="single"/>
        </w:rPr>
        <w:t>That the appeal does not raise point/s of law</w:t>
      </w:r>
    </w:p>
    <w:p w:rsidR="00A45F33" w:rsidRDefault="00A45F33" w:rsidP="00AE3A11">
      <w:pPr>
        <w:spacing w:line="276" w:lineRule="auto"/>
        <w:jc w:val="both"/>
      </w:pPr>
    </w:p>
    <w:p w:rsidR="00A45F33" w:rsidRDefault="00A45F33" w:rsidP="00A45F33">
      <w:pPr>
        <w:spacing w:line="360" w:lineRule="auto"/>
        <w:jc w:val="both"/>
      </w:pPr>
      <w:r>
        <w:t>This matter involves an appeal against an arbitration award.  Section 98 (10) of the Act provides that an appeal against such an award is only available on points of law.  Appellants’ Grounds of Appeal are four-fold.  However I will focus on the 3</w:t>
      </w:r>
      <w:r w:rsidRPr="00A45F33">
        <w:rPr>
          <w:vertAlign w:val="superscript"/>
        </w:rPr>
        <w:t>rd</w:t>
      </w:r>
      <w:r>
        <w:t xml:space="preserve"> point.  It was worded thus,</w:t>
      </w:r>
    </w:p>
    <w:p w:rsidR="00A45F33" w:rsidRDefault="00A45F33" w:rsidP="00AE3A11">
      <w:pPr>
        <w:spacing w:line="276" w:lineRule="auto"/>
        <w:jc w:val="both"/>
      </w:pPr>
    </w:p>
    <w:p w:rsidR="00A45F33" w:rsidRDefault="00A45F33" w:rsidP="00AE3A11">
      <w:pPr>
        <w:spacing w:line="276" w:lineRule="auto"/>
        <w:ind w:left="720"/>
        <w:jc w:val="both"/>
      </w:pPr>
      <w:r>
        <w:t>“</w:t>
      </w:r>
      <w:r w:rsidRPr="00AE3A11">
        <w:rPr>
          <w:i/>
          <w:sz w:val="22"/>
          <w:szCs w:val="22"/>
        </w:rPr>
        <w:t>The Honourable Arbitrator erred on a point of law by concluding that the Appellants’ contracts were lawfully terminated</w:t>
      </w:r>
      <w:r>
        <w:t>.”</w:t>
      </w:r>
    </w:p>
    <w:p w:rsidR="00A45F33" w:rsidRDefault="00A45F33" w:rsidP="00A45F33">
      <w:pPr>
        <w:spacing w:line="360" w:lineRule="auto"/>
        <w:jc w:val="both"/>
      </w:pPr>
    </w:p>
    <w:p w:rsidR="00A45F33" w:rsidRDefault="00A45F33" w:rsidP="00A45F33">
      <w:pPr>
        <w:spacing w:line="360" w:lineRule="auto"/>
        <w:jc w:val="both"/>
      </w:pPr>
      <w:r>
        <w:t xml:space="preserve">It is common cause that the contracts were </w:t>
      </w:r>
      <w:r w:rsidR="00866459">
        <w:t>terminated.  However whether or not they were lawfully terminated is a question of law.  It entails the identification of the applicable rule of law.  It further entails the application of that law to the facts which is a question of both fact and law.  On that basis I am satisfied that Appellants’ appeal raises a point of law.</w:t>
      </w:r>
    </w:p>
    <w:p w:rsidR="00866459" w:rsidRDefault="00866459" w:rsidP="00AE3A11">
      <w:pPr>
        <w:spacing w:line="276" w:lineRule="auto"/>
        <w:jc w:val="both"/>
      </w:pPr>
    </w:p>
    <w:p w:rsidR="00866459" w:rsidRDefault="00866459" w:rsidP="00A45F33">
      <w:pPr>
        <w:spacing w:line="360" w:lineRule="auto"/>
        <w:jc w:val="both"/>
      </w:pPr>
      <w:r>
        <w:t xml:space="preserve">However the citation of the parties needs amendment.  Some of the Appellants are unnamed and others have withdrawn from the matter.  </w:t>
      </w:r>
      <w:r w:rsidR="00AE3A11">
        <w:t>Appellants’</w:t>
      </w:r>
      <w:r>
        <w:t xml:space="preserve"> representative sought to apply for amendment in the course of her response to Respondent’s points </w:t>
      </w:r>
      <w:r w:rsidRPr="00AE3A11">
        <w:rPr>
          <w:i/>
        </w:rPr>
        <w:t>in limine</w:t>
      </w:r>
      <w:r>
        <w:t>.  That was an unsatisfactory way to rectify matters.  A proper application for amendment is required.</w:t>
      </w:r>
    </w:p>
    <w:p w:rsidR="00124E31" w:rsidRDefault="00124E31" w:rsidP="00AE3A11">
      <w:pPr>
        <w:spacing w:line="276" w:lineRule="auto"/>
        <w:jc w:val="both"/>
      </w:pPr>
    </w:p>
    <w:p w:rsidR="00AE3A11" w:rsidRDefault="00AE3A11" w:rsidP="00AE3A11">
      <w:pPr>
        <w:spacing w:line="276" w:lineRule="auto"/>
        <w:jc w:val="both"/>
      </w:pPr>
    </w:p>
    <w:p w:rsidR="00AE3A11" w:rsidRDefault="00AE3A11" w:rsidP="00433A4E">
      <w:pPr>
        <w:spacing w:line="360" w:lineRule="auto"/>
        <w:jc w:val="both"/>
      </w:pPr>
    </w:p>
    <w:p w:rsidR="00AE3A11" w:rsidRDefault="00AE3A11" w:rsidP="00433A4E">
      <w:pPr>
        <w:spacing w:line="360" w:lineRule="auto"/>
        <w:jc w:val="both"/>
      </w:pPr>
    </w:p>
    <w:p w:rsidR="003B0884" w:rsidRDefault="003B0884" w:rsidP="00433A4E">
      <w:pPr>
        <w:spacing w:line="360" w:lineRule="auto"/>
        <w:jc w:val="both"/>
        <w:rPr>
          <w:b/>
        </w:rPr>
      </w:pPr>
    </w:p>
    <w:p w:rsidR="003B0884" w:rsidRDefault="003B0884" w:rsidP="00433A4E">
      <w:pPr>
        <w:spacing w:line="360" w:lineRule="auto"/>
        <w:jc w:val="both"/>
        <w:rPr>
          <w:b/>
        </w:rPr>
      </w:pPr>
    </w:p>
    <w:p w:rsidR="003B0884" w:rsidRDefault="003B0884" w:rsidP="00433A4E">
      <w:pPr>
        <w:spacing w:line="360" w:lineRule="auto"/>
        <w:jc w:val="both"/>
        <w:rPr>
          <w:b/>
        </w:rPr>
      </w:pPr>
    </w:p>
    <w:p w:rsidR="003B0884" w:rsidRDefault="003B0884" w:rsidP="00433A4E">
      <w:pPr>
        <w:spacing w:line="360" w:lineRule="auto"/>
        <w:jc w:val="both"/>
        <w:rPr>
          <w:b/>
        </w:rPr>
      </w:pPr>
    </w:p>
    <w:p w:rsidR="003B0884" w:rsidRDefault="003B0884" w:rsidP="00433A4E">
      <w:pPr>
        <w:spacing w:line="360" w:lineRule="auto"/>
        <w:jc w:val="both"/>
        <w:rPr>
          <w:b/>
        </w:rPr>
      </w:pPr>
    </w:p>
    <w:p w:rsidR="003B0884" w:rsidRDefault="003B0884" w:rsidP="00433A4E">
      <w:pPr>
        <w:spacing w:line="360" w:lineRule="auto"/>
        <w:jc w:val="both"/>
        <w:rPr>
          <w:b/>
        </w:rPr>
      </w:pPr>
    </w:p>
    <w:p w:rsidR="003B0884" w:rsidRDefault="003B0884" w:rsidP="00433A4E">
      <w:pPr>
        <w:spacing w:line="360" w:lineRule="auto"/>
        <w:jc w:val="both"/>
        <w:rPr>
          <w:b/>
        </w:rPr>
      </w:pPr>
    </w:p>
    <w:p w:rsidR="00433A4E" w:rsidRPr="006B5B14" w:rsidRDefault="00433A4E" w:rsidP="00433A4E">
      <w:pPr>
        <w:spacing w:line="360" w:lineRule="auto"/>
        <w:jc w:val="both"/>
        <w:rPr>
          <w:b/>
        </w:rPr>
      </w:pPr>
      <w:r w:rsidRPr="006B5B14">
        <w:rPr>
          <w:b/>
        </w:rPr>
        <w:t>Wherefore it is ordered that,</w:t>
      </w:r>
    </w:p>
    <w:p w:rsidR="00433A4E" w:rsidRPr="006B5B14" w:rsidRDefault="00433A4E" w:rsidP="00AE3A11">
      <w:pPr>
        <w:spacing w:line="276" w:lineRule="auto"/>
        <w:jc w:val="both"/>
        <w:rPr>
          <w:b/>
        </w:rPr>
      </w:pPr>
    </w:p>
    <w:p w:rsidR="00433A4E" w:rsidRDefault="00866459" w:rsidP="00AE3A11">
      <w:pPr>
        <w:pStyle w:val="ListParagraph"/>
        <w:numPr>
          <w:ilvl w:val="0"/>
          <w:numId w:val="1"/>
        </w:numPr>
        <w:spacing w:line="360" w:lineRule="auto"/>
        <w:jc w:val="both"/>
        <w:rPr>
          <w:b/>
        </w:rPr>
      </w:pPr>
      <w:r>
        <w:rPr>
          <w:b/>
        </w:rPr>
        <w:t xml:space="preserve">Respondent’s points </w:t>
      </w:r>
      <w:r w:rsidRPr="00AE3A11">
        <w:rPr>
          <w:b/>
          <w:i/>
        </w:rPr>
        <w:t>in limine</w:t>
      </w:r>
      <w:r>
        <w:rPr>
          <w:b/>
        </w:rPr>
        <w:t xml:space="preserve"> are hereby dismissed;</w:t>
      </w:r>
    </w:p>
    <w:p w:rsidR="00AE3A11" w:rsidRPr="006B5B14" w:rsidRDefault="00AE3A11" w:rsidP="00AE3A11">
      <w:pPr>
        <w:pStyle w:val="ListParagraph"/>
        <w:spacing w:line="276" w:lineRule="auto"/>
        <w:jc w:val="both"/>
        <w:rPr>
          <w:b/>
        </w:rPr>
      </w:pPr>
    </w:p>
    <w:p w:rsidR="00433A4E" w:rsidRPr="00AE3A11" w:rsidRDefault="00866459" w:rsidP="00AE3A11">
      <w:pPr>
        <w:pStyle w:val="ListParagraph"/>
        <w:numPr>
          <w:ilvl w:val="0"/>
          <w:numId w:val="1"/>
        </w:numPr>
        <w:spacing w:line="360" w:lineRule="auto"/>
        <w:jc w:val="both"/>
        <w:rPr>
          <w:b/>
        </w:rPr>
      </w:pPr>
      <w:r w:rsidRPr="00AE3A11">
        <w:rPr>
          <w:b/>
        </w:rPr>
        <w:t>Appellants are given leave to apply for amendment of the citation of the parties; and</w:t>
      </w:r>
    </w:p>
    <w:p w:rsidR="00866459" w:rsidRPr="00866459" w:rsidRDefault="00866459" w:rsidP="00AE3A11">
      <w:pPr>
        <w:pStyle w:val="ListParagraph"/>
        <w:spacing w:line="276" w:lineRule="auto"/>
        <w:rPr>
          <w:b/>
        </w:rPr>
      </w:pPr>
    </w:p>
    <w:p w:rsidR="00866459" w:rsidRPr="006B5B14" w:rsidRDefault="00866459" w:rsidP="00AE3A11">
      <w:pPr>
        <w:pStyle w:val="ListParagraph"/>
        <w:numPr>
          <w:ilvl w:val="0"/>
          <w:numId w:val="1"/>
        </w:numPr>
        <w:spacing w:line="360" w:lineRule="auto"/>
        <w:jc w:val="both"/>
        <w:rPr>
          <w:b/>
        </w:rPr>
      </w:pPr>
      <w:r>
        <w:rPr>
          <w:b/>
        </w:rPr>
        <w:t>Each party shall bear its own costs.</w:t>
      </w:r>
    </w:p>
    <w:p w:rsidR="00433A4E" w:rsidRDefault="00433A4E" w:rsidP="00433A4E">
      <w:pPr>
        <w:pStyle w:val="ListParagraph"/>
      </w:pPr>
    </w:p>
    <w:p w:rsidR="00433A4E" w:rsidRDefault="00433A4E" w:rsidP="00433A4E">
      <w:pPr>
        <w:spacing w:line="360" w:lineRule="auto"/>
        <w:jc w:val="both"/>
      </w:pPr>
    </w:p>
    <w:p w:rsidR="00433A4E" w:rsidRDefault="00433A4E" w:rsidP="00433A4E">
      <w:pPr>
        <w:spacing w:line="360" w:lineRule="auto"/>
        <w:jc w:val="both"/>
      </w:pPr>
    </w:p>
    <w:p w:rsidR="00433A4E" w:rsidRDefault="00433A4E" w:rsidP="00433A4E">
      <w:pPr>
        <w:spacing w:line="360" w:lineRule="auto"/>
        <w:jc w:val="both"/>
      </w:pPr>
    </w:p>
    <w:p w:rsidR="00433A4E" w:rsidRDefault="00433A4E" w:rsidP="00433A4E">
      <w:pPr>
        <w:spacing w:line="360" w:lineRule="auto"/>
        <w:jc w:val="both"/>
      </w:pPr>
    </w:p>
    <w:p w:rsidR="00433A4E" w:rsidRPr="006B5B14" w:rsidRDefault="00433A4E" w:rsidP="00433A4E">
      <w:pPr>
        <w:spacing w:line="360" w:lineRule="auto"/>
        <w:jc w:val="both"/>
        <w:rPr>
          <w:b/>
        </w:rPr>
      </w:pPr>
      <w:r>
        <w:tab/>
      </w:r>
      <w:r>
        <w:tab/>
      </w:r>
      <w:r>
        <w:tab/>
      </w:r>
      <w:r>
        <w:tab/>
      </w:r>
      <w:r>
        <w:tab/>
      </w:r>
      <w:r w:rsidRPr="006B5B14">
        <w:rPr>
          <w:b/>
        </w:rPr>
        <w:t>G.   M U S A R I R I</w:t>
      </w:r>
    </w:p>
    <w:p w:rsidR="00433A4E" w:rsidRDefault="00433A4E" w:rsidP="00433A4E">
      <w:pPr>
        <w:spacing w:line="360" w:lineRule="auto"/>
        <w:jc w:val="both"/>
      </w:pPr>
      <w:r w:rsidRPr="006B5B14">
        <w:rPr>
          <w:b/>
        </w:rPr>
        <w:tab/>
      </w:r>
      <w:r w:rsidRPr="006B5B14">
        <w:rPr>
          <w:b/>
        </w:rPr>
        <w:tab/>
      </w:r>
      <w:r w:rsidRPr="006B5B14">
        <w:rPr>
          <w:b/>
        </w:rPr>
        <w:tab/>
      </w:r>
      <w:r w:rsidRPr="006B5B14">
        <w:rPr>
          <w:b/>
        </w:rPr>
        <w:tab/>
      </w:r>
      <w:r w:rsidRPr="006B5B14">
        <w:rPr>
          <w:b/>
        </w:rPr>
        <w:tab/>
        <w:t>J. U. D. G. E.</w:t>
      </w:r>
    </w:p>
    <w:p w:rsidR="003C4620" w:rsidRDefault="003C4620" w:rsidP="00433A4E">
      <w:pPr>
        <w:jc w:val="both"/>
      </w:pPr>
    </w:p>
    <w:sectPr w:rsidR="003C4620" w:rsidSect="0086645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996" w:rsidRDefault="00310996" w:rsidP="00A45F33">
      <w:r>
        <w:separator/>
      </w:r>
    </w:p>
  </w:endnote>
  <w:endnote w:type="continuationSeparator" w:id="0">
    <w:p w:rsidR="00310996" w:rsidRDefault="00310996" w:rsidP="00A4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6986"/>
      <w:docPartObj>
        <w:docPartGallery w:val="Page Numbers (Bottom of Page)"/>
        <w:docPartUnique/>
      </w:docPartObj>
    </w:sdtPr>
    <w:sdtEndPr/>
    <w:sdtContent>
      <w:p w:rsidR="00866459" w:rsidRDefault="00310996">
        <w:pPr>
          <w:pStyle w:val="Footer"/>
          <w:jc w:val="center"/>
        </w:pPr>
        <w:r>
          <w:fldChar w:fldCharType="begin"/>
        </w:r>
        <w:r>
          <w:instrText xml:space="preserve"> PAGE   \* MERGEFORMAT </w:instrText>
        </w:r>
        <w:r>
          <w:fldChar w:fldCharType="separate"/>
        </w:r>
        <w:r w:rsidR="00A6474B">
          <w:rPr>
            <w:noProof/>
          </w:rPr>
          <w:t>3</w:t>
        </w:r>
        <w:r>
          <w:rPr>
            <w:noProof/>
          </w:rPr>
          <w:fldChar w:fldCharType="end"/>
        </w:r>
      </w:p>
    </w:sdtContent>
  </w:sdt>
  <w:p w:rsidR="00866459" w:rsidRDefault="0086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996" w:rsidRDefault="00310996" w:rsidP="00A45F33">
      <w:r>
        <w:separator/>
      </w:r>
    </w:p>
  </w:footnote>
  <w:footnote w:type="continuationSeparator" w:id="0">
    <w:p w:rsidR="00310996" w:rsidRDefault="00310996" w:rsidP="00A4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59" w:rsidRDefault="00866459">
    <w:pPr>
      <w:pStyle w:val="Header"/>
    </w:pPr>
    <w:r>
      <w:tab/>
    </w:r>
    <w:r>
      <w:tab/>
      <w:t>JUDGMENT NO. LC/H/</w:t>
    </w:r>
    <w:r w:rsidR="00AC6247">
      <w:t>471</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1C5"/>
    <w:multiLevelType w:val="hybridMultilevel"/>
    <w:tmpl w:val="494E83E4"/>
    <w:lvl w:ilvl="0" w:tplc="0B5E8FB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C9484C"/>
    <w:multiLevelType w:val="hybridMultilevel"/>
    <w:tmpl w:val="8D6254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C92661"/>
    <w:multiLevelType w:val="hybridMultilevel"/>
    <w:tmpl w:val="FB487DCA"/>
    <w:lvl w:ilvl="0" w:tplc="F1BC39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6AD3F89"/>
    <w:multiLevelType w:val="hybridMultilevel"/>
    <w:tmpl w:val="18D274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5A562C"/>
    <w:multiLevelType w:val="hybridMultilevel"/>
    <w:tmpl w:val="4ACE11B4"/>
    <w:lvl w:ilvl="0" w:tplc="6152FE2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D542B30"/>
    <w:multiLevelType w:val="hybridMultilevel"/>
    <w:tmpl w:val="576C61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89D7BEC"/>
    <w:multiLevelType w:val="hybridMultilevel"/>
    <w:tmpl w:val="79983B1E"/>
    <w:lvl w:ilvl="0" w:tplc="F58A6A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4E"/>
    <w:rsid w:val="00124E31"/>
    <w:rsid w:val="00310996"/>
    <w:rsid w:val="003B0884"/>
    <w:rsid w:val="003C4620"/>
    <w:rsid w:val="003F06EA"/>
    <w:rsid w:val="00433A4E"/>
    <w:rsid w:val="005C60BE"/>
    <w:rsid w:val="006567C0"/>
    <w:rsid w:val="007172AC"/>
    <w:rsid w:val="00812361"/>
    <w:rsid w:val="00866459"/>
    <w:rsid w:val="00A43865"/>
    <w:rsid w:val="00A45F33"/>
    <w:rsid w:val="00A6474B"/>
    <w:rsid w:val="00AC6247"/>
    <w:rsid w:val="00AE3A11"/>
    <w:rsid w:val="00CE0F42"/>
    <w:rsid w:val="00EE61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4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A4E"/>
    <w:pPr>
      <w:ind w:left="720"/>
      <w:contextualSpacing/>
    </w:pPr>
  </w:style>
  <w:style w:type="paragraph" w:styleId="Header">
    <w:name w:val="header"/>
    <w:basedOn w:val="Normal"/>
    <w:link w:val="HeaderChar"/>
    <w:uiPriority w:val="99"/>
    <w:semiHidden/>
    <w:unhideWhenUsed/>
    <w:rsid w:val="00433A4E"/>
    <w:pPr>
      <w:tabs>
        <w:tab w:val="center" w:pos="4513"/>
        <w:tab w:val="right" w:pos="9026"/>
      </w:tabs>
    </w:pPr>
  </w:style>
  <w:style w:type="character" w:customStyle="1" w:styleId="HeaderChar">
    <w:name w:val="Header Char"/>
    <w:basedOn w:val="DefaultParagraphFont"/>
    <w:link w:val="Header"/>
    <w:uiPriority w:val="99"/>
    <w:semiHidden/>
    <w:rsid w:val="00433A4E"/>
    <w:rPr>
      <w:rFonts w:ascii="Tahoma" w:eastAsia="Times New Roman" w:hAnsi="Tahoma" w:cs="Times New Roman"/>
      <w:sz w:val="24"/>
      <w:szCs w:val="24"/>
      <w:lang w:val="en-US"/>
    </w:rPr>
  </w:style>
  <w:style w:type="paragraph" w:styleId="Footer">
    <w:name w:val="footer"/>
    <w:basedOn w:val="Normal"/>
    <w:link w:val="FooterChar"/>
    <w:uiPriority w:val="99"/>
    <w:unhideWhenUsed/>
    <w:rsid w:val="00433A4E"/>
    <w:pPr>
      <w:tabs>
        <w:tab w:val="center" w:pos="4513"/>
        <w:tab w:val="right" w:pos="9026"/>
      </w:tabs>
    </w:pPr>
  </w:style>
  <w:style w:type="character" w:customStyle="1" w:styleId="FooterChar">
    <w:name w:val="Footer Char"/>
    <w:basedOn w:val="DefaultParagraphFont"/>
    <w:link w:val="Footer"/>
    <w:uiPriority w:val="99"/>
    <w:rsid w:val="00433A4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A4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A4E"/>
    <w:pPr>
      <w:ind w:left="720"/>
      <w:contextualSpacing/>
    </w:pPr>
  </w:style>
  <w:style w:type="paragraph" w:styleId="Header">
    <w:name w:val="header"/>
    <w:basedOn w:val="Normal"/>
    <w:link w:val="HeaderChar"/>
    <w:uiPriority w:val="99"/>
    <w:semiHidden/>
    <w:unhideWhenUsed/>
    <w:rsid w:val="00433A4E"/>
    <w:pPr>
      <w:tabs>
        <w:tab w:val="center" w:pos="4513"/>
        <w:tab w:val="right" w:pos="9026"/>
      </w:tabs>
    </w:pPr>
  </w:style>
  <w:style w:type="character" w:customStyle="1" w:styleId="HeaderChar">
    <w:name w:val="Header Char"/>
    <w:basedOn w:val="DefaultParagraphFont"/>
    <w:link w:val="Header"/>
    <w:uiPriority w:val="99"/>
    <w:semiHidden/>
    <w:rsid w:val="00433A4E"/>
    <w:rPr>
      <w:rFonts w:ascii="Tahoma" w:eastAsia="Times New Roman" w:hAnsi="Tahoma" w:cs="Times New Roman"/>
      <w:sz w:val="24"/>
      <w:szCs w:val="24"/>
      <w:lang w:val="en-US"/>
    </w:rPr>
  </w:style>
  <w:style w:type="paragraph" w:styleId="Footer">
    <w:name w:val="footer"/>
    <w:basedOn w:val="Normal"/>
    <w:link w:val="FooterChar"/>
    <w:uiPriority w:val="99"/>
    <w:unhideWhenUsed/>
    <w:rsid w:val="00433A4E"/>
    <w:pPr>
      <w:tabs>
        <w:tab w:val="center" w:pos="4513"/>
        <w:tab w:val="right" w:pos="9026"/>
      </w:tabs>
    </w:pPr>
  </w:style>
  <w:style w:type="character" w:customStyle="1" w:styleId="FooterChar">
    <w:name w:val="Footer Char"/>
    <w:basedOn w:val="DefaultParagraphFont"/>
    <w:link w:val="Footer"/>
    <w:uiPriority w:val="99"/>
    <w:rsid w:val="00433A4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75B6A-FAA4-4253-8AE6-5AB2C212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2014-07-18T10:03:00Z</cp:lastPrinted>
  <dcterms:created xsi:type="dcterms:W3CDTF">2017-04-06T08:32:00Z</dcterms:created>
  <dcterms:modified xsi:type="dcterms:W3CDTF">2017-04-06T08:32:00Z</dcterms:modified>
</cp:coreProperties>
</file>