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69" w:rsidRPr="00114A8E" w:rsidRDefault="000D0C82" w:rsidP="000D0C82">
      <w:pPr>
        <w:spacing w:after="0" w:line="240" w:lineRule="auto"/>
        <w:rPr>
          <w:rFonts w:ascii="Times New Roman" w:hAnsi="Times New Roman" w:cs="Times New Roman"/>
          <w:b/>
          <w:sz w:val="24"/>
          <w:szCs w:val="24"/>
        </w:rPr>
      </w:pPr>
      <w:r w:rsidRPr="00114A8E">
        <w:rPr>
          <w:rFonts w:ascii="Times New Roman" w:hAnsi="Times New Roman" w:cs="Times New Roman"/>
          <w:b/>
          <w:sz w:val="24"/>
          <w:szCs w:val="24"/>
        </w:rPr>
        <w:t>IN THE LABOUR COURT OF ZIMBABWE</w:t>
      </w:r>
      <w:r w:rsidRPr="00114A8E">
        <w:rPr>
          <w:rFonts w:ascii="Times New Roman" w:hAnsi="Times New Roman" w:cs="Times New Roman"/>
          <w:b/>
          <w:sz w:val="24"/>
          <w:szCs w:val="24"/>
        </w:rPr>
        <w:tab/>
      </w:r>
      <w:r w:rsidR="00DC39D4">
        <w:rPr>
          <w:rFonts w:ascii="Times New Roman" w:hAnsi="Times New Roman" w:cs="Times New Roman"/>
          <w:b/>
          <w:sz w:val="24"/>
          <w:szCs w:val="24"/>
        </w:rPr>
        <w:t xml:space="preserve">        JUDGMENT NO LC/H/486</w:t>
      </w:r>
      <w:r w:rsidRPr="00114A8E">
        <w:rPr>
          <w:rFonts w:ascii="Times New Roman" w:hAnsi="Times New Roman" w:cs="Times New Roman"/>
          <w:b/>
          <w:sz w:val="24"/>
          <w:szCs w:val="24"/>
        </w:rPr>
        <w:t>/2016</w:t>
      </w:r>
    </w:p>
    <w:p w:rsidR="000D0C82" w:rsidRPr="00114A8E" w:rsidRDefault="000D0C82" w:rsidP="000D0C82">
      <w:pPr>
        <w:spacing w:after="0" w:line="240" w:lineRule="auto"/>
        <w:rPr>
          <w:rFonts w:ascii="Times New Roman" w:hAnsi="Times New Roman" w:cs="Times New Roman"/>
          <w:b/>
          <w:sz w:val="24"/>
          <w:szCs w:val="24"/>
        </w:rPr>
      </w:pPr>
    </w:p>
    <w:p w:rsidR="000D0C82" w:rsidRDefault="000D0C82" w:rsidP="000D0C82">
      <w:pPr>
        <w:spacing w:after="0" w:line="240" w:lineRule="auto"/>
        <w:rPr>
          <w:rFonts w:ascii="Times New Roman" w:hAnsi="Times New Roman" w:cs="Times New Roman"/>
          <w:b/>
          <w:sz w:val="24"/>
          <w:szCs w:val="24"/>
        </w:rPr>
      </w:pPr>
      <w:r w:rsidRPr="00114A8E">
        <w:rPr>
          <w:rFonts w:ascii="Times New Roman" w:hAnsi="Times New Roman" w:cs="Times New Roman"/>
          <w:b/>
          <w:sz w:val="24"/>
          <w:szCs w:val="24"/>
        </w:rPr>
        <w:t>HARARE, 4 JULY 2016 &amp;</w:t>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t xml:space="preserve">         CASE NO LC/H/777/2014</w:t>
      </w:r>
    </w:p>
    <w:p w:rsidR="00DC39D4" w:rsidRDefault="00DC39D4" w:rsidP="000D0C82">
      <w:pPr>
        <w:spacing w:after="0" w:line="240" w:lineRule="auto"/>
        <w:rPr>
          <w:rFonts w:ascii="Times New Roman" w:hAnsi="Times New Roman" w:cs="Times New Roman"/>
          <w:b/>
          <w:sz w:val="24"/>
          <w:szCs w:val="24"/>
        </w:rPr>
      </w:pPr>
    </w:p>
    <w:p w:rsidR="00DC39D4" w:rsidRPr="00114A8E" w:rsidRDefault="00DC39D4" w:rsidP="000D0C82">
      <w:pPr>
        <w:spacing w:after="0" w:line="240" w:lineRule="auto"/>
        <w:rPr>
          <w:rFonts w:ascii="Times New Roman" w:hAnsi="Times New Roman" w:cs="Times New Roman"/>
          <w:b/>
          <w:sz w:val="24"/>
          <w:szCs w:val="24"/>
        </w:rPr>
      </w:pPr>
      <w:r>
        <w:rPr>
          <w:rFonts w:ascii="Times New Roman" w:hAnsi="Times New Roman" w:cs="Times New Roman"/>
          <w:b/>
          <w:sz w:val="24"/>
          <w:szCs w:val="24"/>
        </w:rPr>
        <w:t>19 AUGUST 2016</w:t>
      </w:r>
    </w:p>
    <w:p w:rsidR="000D0C82" w:rsidRPr="00114A8E" w:rsidRDefault="000D0C82" w:rsidP="000D0C82">
      <w:pPr>
        <w:spacing w:after="0" w:line="240" w:lineRule="auto"/>
        <w:rPr>
          <w:rFonts w:ascii="Times New Roman" w:hAnsi="Times New Roman" w:cs="Times New Roman"/>
          <w:b/>
          <w:sz w:val="24"/>
          <w:szCs w:val="24"/>
        </w:rPr>
      </w:pP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p>
    <w:p w:rsidR="000D0C82" w:rsidRPr="00114A8E" w:rsidRDefault="000D0C82" w:rsidP="000D0C82">
      <w:pPr>
        <w:spacing w:after="0" w:line="240" w:lineRule="auto"/>
        <w:rPr>
          <w:rFonts w:ascii="Times New Roman" w:hAnsi="Times New Roman" w:cs="Times New Roman"/>
          <w:b/>
          <w:sz w:val="24"/>
          <w:szCs w:val="24"/>
        </w:rPr>
      </w:pPr>
      <w:r w:rsidRPr="00114A8E">
        <w:rPr>
          <w:rFonts w:ascii="Times New Roman" w:hAnsi="Times New Roman" w:cs="Times New Roman"/>
          <w:b/>
          <w:sz w:val="24"/>
          <w:szCs w:val="24"/>
        </w:rPr>
        <w:t>D MANGENJE &amp; 35 OTHERS</w:t>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00114A8E">
        <w:rPr>
          <w:rFonts w:ascii="Times New Roman" w:hAnsi="Times New Roman" w:cs="Times New Roman"/>
          <w:b/>
          <w:sz w:val="24"/>
          <w:szCs w:val="24"/>
        </w:rPr>
        <w:tab/>
      </w:r>
      <w:r w:rsidRPr="00114A8E">
        <w:rPr>
          <w:rFonts w:ascii="Times New Roman" w:hAnsi="Times New Roman" w:cs="Times New Roman"/>
          <w:b/>
          <w:sz w:val="24"/>
          <w:szCs w:val="24"/>
        </w:rPr>
        <w:t>APPELLANTS</w:t>
      </w: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p>
    <w:p w:rsidR="000D0C82" w:rsidRPr="00114A8E" w:rsidRDefault="000D0C82" w:rsidP="000D0C82">
      <w:pPr>
        <w:spacing w:after="0" w:line="240" w:lineRule="auto"/>
        <w:rPr>
          <w:rFonts w:ascii="Times New Roman" w:hAnsi="Times New Roman" w:cs="Times New Roman"/>
          <w:b/>
          <w:sz w:val="24"/>
          <w:szCs w:val="24"/>
        </w:rPr>
      </w:pPr>
      <w:r w:rsidRPr="00114A8E">
        <w:rPr>
          <w:rFonts w:ascii="Times New Roman" w:hAnsi="Times New Roman" w:cs="Times New Roman"/>
          <w:b/>
          <w:sz w:val="24"/>
          <w:szCs w:val="24"/>
        </w:rPr>
        <w:t xml:space="preserve">ZIMBABWE ELECTRICITY TRANSMISSION </w:t>
      </w:r>
      <w:r w:rsidRPr="00114A8E">
        <w:rPr>
          <w:rFonts w:ascii="Times New Roman" w:hAnsi="Times New Roman" w:cs="Times New Roman"/>
          <w:b/>
          <w:sz w:val="24"/>
          <w:szCs w:val="24"/>
        </w:rPr>
        <w:tab/>
      </w:r>
      <w:r w:rsidRPr="00114A8E">
        <w:rPr>
          <w:rFonts w:ascii="Times New Roman" w:hAnsi="Times New Roman" w:cs="Times New Roman"/>
          <w:b/>
          <w:sz w:val="24"/>
          <w:szCs w:val="24"/>
        </w:rPr>
        <w:tab/>
      </w:r>
      <w:r w:rsidRPr="00114A8E">
        <w:rPr>
          <w:rFonts w:ascii="Times New Roman" w:hAnsi="Times New Roman" w:cs="Times New Roman"/>
          <w:b/>
          <w:sz w:val="24"/>
          <w:szCs w:val="24"/>
        </w:rPr>
        <w:tab/>
        <w:t>RESPONDENT</w:t>
      </w:r>
    </w:p>
    <w:p w:rsidR="000D0C82" w:rsidRPr="00114A8E" w:rsidRDefault="000D0C82" w:rsidP="000D0C82">
      <w:pPr>
        <w:spacing w:after="0" w:line="240" w:lineRule="auto"/>
        <w:rPr>
          <w:rFonts w:ascii="Times New Roman" w:hAnsi="Times New Roman" w:cs="Times New Roman"/>
          <w:b/>
          <w:sz w:val="24"/>
          <w:szCs w:val="24"/>
        </w:rPr>
      </w:pPr>
      <w:r w:rsidRPr="00114A8E">
        <w:rPr>
          <w:rFonts w:ascii="Times New Roman" w:hAnsi="Times New Roman" w:cs="Times New Roman"/>
          <w:b/>
          <w:sz w:val="24"/>
          <w:szCs w:val="24"/>
        </w:rPr>
        <w:t>AND DISTRIBUTION COMPANY (ZETDC)</w:t>
      </w:r>
    </w:p>
    <w:p w:rsidR="000D0C82" w:rsidRPr="00114A8E" w:rsidRDefault="000D0C82" w:rsidP="000D0C82">
      <w:pPr>
        <w:spacing w:after="0" w:line="240" w:lineRule="auto"/>
        <w:rPr>
          <w:rFonts w:ascii="Times New Roman" w:hAnsi="Times New Roman" w:cs="Times New Roman"/>
          <w:b/>
          <w:sz w:val="24"/>
          <w:szCs w:val="24"/>
        </w:rPr>
      </w:pP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Njenda</w:t>
      </w:r>
      <w:proofErr w:type="spellEnd"/>
      <w:r>
        <w:rPr>
          <w:rFonts w:ascii="Times New Roman" w:hAnsi="Times New Roman" w:cs="Times New Roman"/>
          <w:sz w:val="24"/>
          <w:szCs w:val="24"/>
        </w:rPr>
        <w:t xml:space="preserve"> (Trade Unionist)</w:t>
      </w: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w:t>
      </w:r>
    </w:p>
    <w:p w:rsidR="000D0C82" w:rsidRDefault="000D0C82" w:rsidP="000D0C82">
      <w:pPr>
        <w:spacing w:after="0" w:line="240" w:lineRule="auto"/>
        <w:rPr>
          <w:rFonts w:ascii="Times New Roman" w:hAnsi="Times New Roman" w:cs="Times New Roman"/>
          <w:sz w:val="24"/>
          <w:szCs w:val="24"/>
        </w:rPr>
      </w:pPr>
    </w:p>
    <w:p w:rsidR="000D0C82" w:rsidRDefault="000D0C82" w:rsidP="000D0C82">
      <w:pPr>
        <w:spacing w:after="0" w:line="240" w:lineRule="auto"/>
        <w:rPr>
          <w:rFonts w:ascii="Times New Roman" w:hAnsi="Times New Roman" w:cs="Times New Roman"/>
          <w:sz w:val="24"/>
          <w:szCs w:val="24"/>
        </w:rPr>
      </w:pPr>
    </w:p>
    <w:p w:rsidR="000D0C82" w:rsidRPr="00114A8E" w:rsidRDefault="000D0C82" w:rsidP="000D0C82">
      <w:pPr>
        <w:spacing w:after="0" w:line="240" w:lineRule="auto"/>
        <w:rPr>
          <w:rFonts w:ascii="Times New Roman" w:hAnsi="Times New Roman" w:cs="Times New Roman"/>
          <w:b/>
          <w:sz w:val="24"/>
          <w:szCs w:val="24"/>
        </w:rPr>
      </w:pPr>
      <w:r w:rsidRPr="00114A8E">
        <w:rPr>
          <w:rFonts w:ascii="Times New Roman" w:hAnsi="Times New Roman" w:cs="Times New Roman"/>
          <w:b/>
          <w:sz w:val="24"/>
          <w:szCs w:val="24"/>
        </w:rPr>
        <w:t>MURASI J:</w:t>
      </w:r>
    </w:p>
    <w:p w:rsidR="000D0C82" w:rsidRDefault="000D0C82" w:rsidP="000D0C82">
      <w:pPr>
        <w:spacing w:after="0" w:line="240" w:lineRule="auto"/>
        <w:rPr>
          <w:rFonts w:ascii="Times New Roman" w:hAnsi="Times New Roman" w:cs="Times New Roman"/>
          <w:sz w:val="24"/>
          <w:szCs w:val="24"/>
        </w:rPr>
      </w:pPr>
    </w:p>
    <w:p w:rsidR="000D0C82" w:rsidRDefault="000D0C82"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the decision of an arbitrator. The appellants were employed by the respondent on fixed term contracts. The appellants’ contracts were terminated by the respondent. A dispute arose in respect of the appellants’ entitlements in terms of the contracts of employment. The matter ended up in arbitration. The arbitrator dismissed the appellants’ claims. The appellants </w:t>
      </w:r>
      <w:r w:rsidR="00DC39D4">
        <w:rPr>
          <w:rFonts w:ascii="Times New Roman" w:hAnsi="Times New Roman" w:cs="Times New Roman"/>
          <w:sz w:val="24"/>
          <w:szCs w:val="24"/>
        </w:rPr>
        <w:t>a</w:t>
      </w:r>
      <w:r>
        <w:rPr>
          <w:rFonts w:ascii="Times New Roman" w:hAnsi="Times New Roman" w:cs="Times New Roman"/>
          <w:sz w:val="24"/>
          <w:szCs w:val="24"/>
        </w:rPr>
        <w:t>re dissatisfied with the award and have approached this court for relief.</w:t>
      </w:r>
    </w:p>
    <w:p w:rsidR="000D0C82" w:rsidRDefault="000D0C82"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are as follows:</w:t>
      </w:r>
    </w:p>
    <w:p w:rsidR="000D0C82" w:rsidRDefault="000D0C82" w:rsidP="00114A8E">
      <w:pPr>
        <w:spacing w:after="0" w:line="360" w:lineRule="auto"/>
        <w:jc w:val="both"/>
        <w:rPr>
          <w:rFonts w:ascii="Times New Roman" w:hAnsi="Times New Roman" w:cs="Times New Roman"/>
          <w:sz w:val="24"/>
          <w:szCs w:val="24"/>
        </w:rPr>
      </w:pPr>
    </w:p>
    <w:p w:rsidR="000D0C82" w:rsidRDefault="000D0C82" w:rsidP="00114A8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arbitrator erred at law in making a finding that the </w:t>
      </w:r>
      <w:proofErr w:type="gramStart"/>
      <w:r>
        <w:rPr>
          <w:rFonts w:ascii="Times New Roman" w:hAnsi="Times New Roman" w:cs="Times New Roman"/>
          <w:sz w:val="24"/>
          <w:szCs w:val="24"/>
        </w:rPr>
        <w:t>appellants (were) was</w:t>
      </w:r>
      <w:proofErr w:type="gramEnd"/>
      <w:r>
        <w:rPr>
          <w:rFonts w:ascii="Times New Roman" w:hAnsi="Times New Roman" w:cs="Times New Roman"/>
          <w:sz w:val="24"/>
          <w:szCs w:val="24"/>
        </w:rPr>
        <w:t xml:space="preserve"> not entitled to Housing and Non</w:t>
      </w:r>
      <w:r w:rsidR="00DC39D4">
        <w:rPr>
          <w:rFonts w:ascii="Times New Roman" w:hAnsi="Times New Roman" w:cs="Times New Roman"/>
          <w:sz w:val="24"/>
          <w:szCs w:val="24"/>
        </w:rPr>
        <w:t>-Pensionable</w:t>
      </w:r>
      <w:r>
        <w:rPr>
          <w:rFonts w:ascii="Times New Roman" w:hAnsi="Times New Roman" w:cs="Times New Roman"/>
          <w:sz w:val="24"/>
          <w:szCs w:val="24"/>
        </w:rPr>
        <w:t xml:space="preserve"> contrary to S I 50 of 2012.</w:t>
      </w:r>
    </w:p>
    <w:p w:rsidR="000D0C82" w:rsidRDefault="000D0C82" w:rsidP="00114A8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arbitrator erred at law in making a finding that the appellants’ claim was based on SI 1 of 2008 and that S I 1 of 2008 is the applicable instrument in this case.</w:t>
      </w:r>
    </w:p>
    <w:p w:rsidR="00D80D8F" w:rsidRDefault="00D80D8F" w:rsidP="00114A8E">
      <w:pPr>
        <w:spacing w:after="0" w:line="360" w:lineRule="auto"/>
        <w:jc w:val="both"/>
        <w:rPr>
          <w:rFonts w:ascii="Times New Roman" w:hAnsi="Times New Roman" w:cs="Times New Roman"/>
          <w:sz w:val="24"/>
          <w:szCs w:val="24"/>
        </w:rPr>
      </w:pPr>
    </w:p>
    <w:p w:rsidR="00D80D8F" w:rsidRDefault="00D80D8F"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sidRPr="00114A8E">
        <w:rPr>
          <w:rFonts w:ascii="Times New Roman" w:hAnsi="Times New Roman" w:cs="Times New Roman"/>
          <w:sz w:val="24"/>
          <w:szCs w:val="24"/>
          <w:u w:val="single"/>
        </w:rPr>
        <w:t>Njenda</w:t>
      </w:r>
      <w:proofErr w:type="spellEnd"/>
      <w:r>
        <w:rPr>
          <w:rFonts w:ascii="Times New Roman" w:hAnsi="Times New Roman" w:cs="Times New Roman"/>
          <w:sz w:val="24"/>
          <w:szCs w:val="24"/>
        </w:rPr>
        <w:t xml:space="preserve"> for the appellants submitted that the arbitrator was wrong in stating that the Statutory Instrument to be taken into account was SI 1 of 2008. He further stated that a reading of S I 50 of 2012 showed that the appellants were entitled to the housing allowances which were pegged as a percentage of the salary earned.</w:t>
      </w:r>
      <w:r w:rsidR="00DC39D4">
        <w:rPr>
          <w:rFonts w:ascii="Times New Roman" w:hAnsi="Times New Roman" w:cs="Times New Roman"/>
          <w:sz w:val="24"/>
          <w:szCs w:val="24"/>
        </w:rPr>
        <w:t xml:space="preserve"> He argued that the use of SI 1 of</w:t>
      </w:r>
      <w:r>
        <w:rPr>
          <w:rFonts w:ascii="Times New Roman" w:hAnsi="Times New Roman" w:cs="Times New Roman"/>
          <w:sz w:val="24"/>
          <w:szCs w:val="24"/>
        </w:rPr>
        <w:t xml:space="preserve"> 2008 by the arbitrator was wrong in the circumstances.</w:t>
      </w:r>
    </w:p>
    <w:p w:rsidR="00D80D8F" w:rsidRDefault="00D80D8F"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D80D8F">
        <w:rPr>
          <w:rFonts w:ascii="Times New Roman" w:hAnsi="Times New Roman" w:cs="Times New Roman"/>
          <w:i/>
          <w:sz w:val="24"/>
          <w:szCs w:val="24"/>
        </w:rPr>
        <w:t>Ma</w:t>
      </w:r>
      <w:r>
        <w:rPr>
          <w:rFonts w:ascii="Times New Roman" w:hAnsi="Times New Roman" w:cs="Times New Roman"/>
          <w:i/>
          <w:sz w:val="24"/>
          <w:szCs w:val="24"/>
        </w:rPr>
        <w:t>guchu</w:t>
      </w:r>
      <w:proofErr w:type="spellEnd"/>
      <w:r>
        <w:rPr>
          <w:rFonts w:ascii="Times New Roman" w:hAnsi="Times New Roman" w:cs="Times New Roman"/>
          <w:sz w:val="24"/>
          <w:szCs w:val="24"/>
        </w:rPr>
        <w:t xml:space="preserve"> for the respondent urged the court to take into consideration that SI 1 of 2008 was the parent CBA in the industry </w:t>
      </w:r>
      <w:r w:rsidR="00DC39D4">
        <w:rPr>
          <w:rFonts w:ascii="Times New Roman" w:hAnsi="Times New Roman" w:cs="Times New Roman"/>
          <w:sz w:val="24"/>
          <w:szCs w:val="24"/>
        </w:rPr>
        <w:t>and</w:t>
      </w:r>
      <w:r>
        <w:rPr>
          <w:rFonts w:ascii="Times New Roman" w:hAnsi="Times New Roman" w:cs="Times New Roman"/>
          <w:sz w:val="24"/>
          <w:szCs w:val="24"/>
        </w:rPr>
        <w:t xml:space="preserve"> any subsequent agreements should be read in tandem with the first CBA. In this regard, S I 50/2012 was supposed to be read together with SI 1 of 2008 as the latter gave the conditions and entitlements of the employees concerned. It was argued that SI 1 of 2008 did not give employees on contract entitlement to housing allowances and thus SI 50/2012 could not be read to mean that these employees were entitled to the housing allowances.</w:t>
      </w:r>
    </w:p>
    <w:p w:rsidR="00D80D8F" w:rsidRDefault="00D80D8F"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further submitted that section 10 of SI 1 of 2008 clearly gave the entitlements which the appellants were to receive and thus the arbitrator’s finding in this regard could not be faulted.</w:t>
      </w:r>
    </w:p>
    <w:p w:rsidR="00D80D8F" w:rsidRDefault="00D80D8F"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resolution of this matter hinges on a correct interpretation of the statutes concerned. Statutory Instrument 1 of 2008 is the CBA that the employers and the employees agreed to guide primarily their relationship. Section 3 (1) provides:</w:t>
      </w:r>
    </w:p>
    <w:p w:rsidR="00D80D8F" w:rsidRDefault="00D80D8F" w:rsidP="00114A8E">
      <w:pPr>
        <w:spacing w:after="0" w:line="240" w:lineRule="auto"/>
        <w:jc w:val="both"/>
        <w:rPr>
          <w:rFonts w:ascii="Times New Roman" w:hAnsi="Times New Roman" w:cs="Times New Roman"/>
          <w:sz w:val="24"/>
          <w:szCs w:val="24"/>
        </w:rPr>
      </w:pPr>
    </w:p>
    <w:p w:rsidR="00D80D8F" w:rsidRDefault="006B7224" w:rsidP="00114A8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regulations shall apply to—</w:t>
      </w:r>
    </w:p>
    <w:p w:rsidR="006B7224" w:rsidRDefault="006B7224" w:rsidP="00114A8E">
      <w:pPr>
        <w:spacing w:after="0" w:line="240" w:lineRule="auto"/>
        <w:ind w:left="720"/>
        <w:jc w:val="both"/>
        <w:rPr>
          <w:rFonts w:ascii="Times New Roman" w:hAnsi="Times New Roman" w:cs="Times New Roman"/>
          <w:sz w:val="24"/>
          <w:szCs w:val="24"/>
        </w:rPr>
      </w:pPr>
    </w:p>
    <w:p w:rsidR="006B7224" w:rsidRDefault="006B7224" w:rsidP="00114A8E">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605792">
        <w:rPr>
          <w:rFonts w:ascii="Times New Roman" w:hAnsi="Times New Roman" w:cs="Times New Roman"/>
          <w:sz w:val="24"/>
          <w:szCs w:val="24"/>
        </w:rPr>
        <w:t>ll contract and casual employees in the service of a company, only to the extent specified in Part III; and”</w:t>
      </w:r>
    </w:p>
    <w:p w:rsidR="000D0C82" w:rsidRDefault="000D0C82" w:rsidP="00114A8E">
      <w:pPr>
        <w:spacing w:after="0" w:line="360" w:lineRule="auto"/>
        <w:jc w:val="both"/>
        <w:rPr>
          <w:rFonts w:ascii="Times New Roman" w:hAnsi="Times New Roman" w:cs="Times New Roman"/>
          <w:sz w:val="24"/>
          <w:szCs w:val="24"/>
        </w:rPr>
      </w:pPr>
    </w:p>
    <w:p w:rsidR="00605792" w:rsidRDefault="00605792"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referred to the paragraph that deals with contract employees as it is common cause that the appellants were employed on fixed-term contracts. There is no dispute in that respect. In Part III, section 10 (5) of S I 1 of 2008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w:t>
      </w:r>
    </w:p>
    <w:p w:rsidR="00605792" w:rsidRDefault="00605792" w:rsidP="00114A8E">
      <w:pPr>
        <w:spacing w:after="0" w:line="240" w:lineRule="auto"/>
        <w:jc w:val="both"/>
        <w:rPr>
          <w:rFonts w:ascii="Times New Roman" w:hAnsi="Times New Roman" w:cs="Times New Roman"/>
          <w:sz w:val="24"/>
          <w:szCs w:val="24"/>
        </w:rPr>
      </w:pPr>
    </w:p>
    <w:p w:rsidR="00605792" w:rsidRDefault="00605792" w:rsidP="00114A8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“10 (5)</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avoidance of doubt, it is hereby expressly declared that—</w:t>
      </w:r>
    </w:p>
    <w:p w:rsidR="00605792" w:rsidRDefault="00605792" w:rsidP="00114A8E">
      <w:pPr>
        <w:spacing w:after="0" w:line="240" w:lineRule="auto"/>
        <w:ind w:left="720"/>
        <w:jc w:val="both"/>
        <w:rPr>
          <w:rFonts w:ascii="Times New Roman" w:hAnsi="Times New Roman" w:cs="Times New Roman"/>
          <w:sz w:val="24"/>
          <w:szCs w:val="24"/>
        </w:rPr>
      </w:pPr>
    </w:p>
    <w:p w:rsidR="00605792" w:rsidRDefault="00605792" w:rsidP="00114A8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provisions of Part VII relating to housing allowance, electricity allowance and full allowance; and</w:t>
      </w:r>
    </w:p>
    <w:p w:rsidR="00605792" w:rsidRDefault="00605792" w:rsidP="00114A8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605792" w:rsidRDefault="00605792" w:rsidP="00114A8E">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605792" w:rsidRDefault="00605792" w:rsidP="00114A8E">
      <w:pPr>
        <w:spacing w:after="0" w:line="240" w:lineRule="auto"/>
        <w:ind w:left="2160"/>
        <w:jc w:val="both"/>
        <w:rPr>
          <w:rFonts w:ascii="Times New Roman" w:hAnsi="Times New Roman" w:cs="Times New Roman"/>
          <w:sz w:val="24"/>
          <w:szCs w:val="24"/>
        </w:rPr>
      </w:pPr>
    </w:p>
    <w:p w:rsidR="00605792" w:rsidRDefault="00605792" w:rsidP="00114A8E">
      <w:pPr>
        <w:spacing w:after="0" w:line="240" w:lineRule="auto"/>
        <w:ind w:left="2160"/>
        <w:jc w:val="both"/>
        <w:rPr>
          <w:rFonts w:ascii="Times New Roman" w:hAnsi="Times New Roman" w:cs="Times New Roman"/>
          <w:sz w:val="24"/>
          <w:szCs w:val="24"/>
        </w:rPr>
      </w:pPr>
      <w:proofErr w:type="gramStart"/>
      <w:r w:rsidRPr="00605792">
        <w:rPr>
          <w:rFonts w:ascii="Times New Roman" w:hAnsi="Times New Roman" w:cs="Times New Roman"/>
          <w:sz w:val="24"/>
          <w:szCs w:val="24"/>
          <w:u w:val="single"/>
        </w:rPr>
        <w:t>shall</w:t>
      </w:r>
      <w:proofErr w:type="gramEnd"/>
      <w:r w:rsidRPr="00605792">
        <w:rPr>
          <w:rFonts w:ascii="Times New Roman" w:hAnsi="Times New Roman" w:cs="Times New Roman"/>
          <w:sz w:val="24"/>
          <w:szCs w:val="24"/>
          <w:u w:val="single"/>
        </w:rPr>
        <w:t xml:space="preserve"> not apply to a contract employee</w:t>
      </w:r>
      <w:r>
        <w:rPr>
          <w:rFonts w:ascii="Times New Roman" w:hAnsi="Times New Roman" w:cs="Times New Roman"/>
          <w:sz w:val="24"/>
          <w:szCs w:val="24"/>
        </w:rPr>
        <w:t>.”</w:t>
      </w:r>
    </w:p>
    <w:p w:rsidR="00605792" w:rsidRDefault="00605792" w:rsidP="00114A8E">
      <w:pPr>
        <w:spacing w:after="0" w:line="240" w:lineRule="auto"/>
        <w:jc w:val="both"/>
        <w:rPr>
          <w:rFonts w:ascii="Times New Roman" w:hAnsi="Times New Roman" w:cs="Times New Roman"/>
          <w:sz w:val="24"/>
          <w:szCs w:val="24"/>
        </w:rPr>
      </w:pPr>
    </w:p>
    <w:p w:rsidR="00A0217C" w:rsidRDefault="00605792"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section cited above clearly makes a contract employee ineligible to receive the allowances specified in Part VII of the statute. This includes the payment of a housing allowance. Put differently, on a literal and grammatical interpretation of section 10 (5) of S I 1 of 2008, and without any attendant absurdity, the section clearly disentitles a contract worker from receiving allowances as specified. The golden rule of statutory interpretation dictates that the words</w:t>
      </w:r>
      <w:r w:rsidR="00A0217C">
        <w:rPr>
          <w:rFonts w:ascii="Times New Roman" w:hAnsi="Times New Roman" w:cs="Times New Roman"/>
          <w:sz w:val="24"/>
          <w:szCs w:val="24"/>
        </w:rPr>
        <w:t xml:space="preserve"> of a statute must be given their ordinary grammatical meaning unless to do so would lead to an absurdity. I see no absurdity whatsoever in construing section 10 (5) of SI 1 of 2008.</w:t>
      </w:r>
    </w:p>
    <w:p w:rsidR="00114A8E" w:rsidRDefault="00A0217C"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is, does S I 50 of 2012 provide for payment of housing allowances to the appellants. Mr </w:t>
      </w:r>
      <w:proofErr w:type="spellStart"/>
      <w:r w:rsidRPr="00A0217C">
        <w:rPr>
          <w:rFonts w:ascii="Times New Roman" w:hAnsi="Times New Roman" w:cs="Times New Roman"/>
          <w:sz w:val="24"/>
          <w:szCs w:val="24"/>
          <w:u w:val="single"/>
        </w:rPr>
        <w:t>Njenda</w:t>
      </w:r>
      <w:proofErr w:type="spellEnd"/>
      <w:r>
        <w:rPr>
          <w:rFonts w:ascii="Times New Roman" w:hAnsi="Times New Roman" w:cs="Times New Roman"/>
          <w:sz w:val="24"/>
          <w:szCs w:val="24"/>
        </w:rPr>
        <w:t xml:space="preserve"> sought to argue that the word </w:t>
      </w:r>
      <w:r w:rsidR="00DC39D4">
        <w:rPr>
          <w:rFonts w:ascii="Times New Roman" w:hAnsi="Times New Roman" w:cs="Times New Roman"/>
          <w:sz w:val="24"/>
          <w:szCs w:val="24"/>
        </w:rPr>
        <w:t xml:space="preserve">“salary” should be interpreted </w:t>
      </w:r>
      <w:r>
        <w:rPr>
          <w:rFonts w:ascii="Times New Roman" w:hAnsi="Times New Roman" w:cs="Times New Roman"/>
          <w:sz w:val="24"/>
          <w:szCs w:val="24"/>
        </w:rPr>
        <w:t xml:space="preserve">to include allowances. The court inquired for the authority for this submission and Mr </w:t>
      </w:r>
      <w:proofErr w:type="spellStart"/>
      <w:r w:rsidRPr="00A0217C">
        <w:rPr>
          <w:rFonts w:ascii="Times New Roman" w:hAnsi="Times New Roman" w:cs="Times New Roman"/>
          <w:sz w:val="24"/>
          <w:szCs w:val="24"/>
          <w:u w:val="single"/>
        </w:rPr>
        <w:t>Njenda</w:t>
      </w:r>
      <w:proofErr w:type="spellEnd"/>
      <w:r>
        <w:rPr>
          <w:rFonts w:ascii="Times New Roman" w:hAnsi="Times New Roman" w:cs="Times New Roman"/>
          <w:sz w:val="24"/>
          <w:szCs w:val="24"/>
        </w:rPr>
        <w:t xml:space="preserve"> stated that this was from a dictionary meaning. I am of the view that if the Legislature had intended the word “salary” to be extended to mean allowances, it would have stated thus in express terms. SI 50/2012 does not give the categories of employees who are entitled to the allowances in terms of classification as permanent or contract employees. It gives the grades instead. If, as stated by 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it was intended to benefit contract employees,</w:t>
      </w:r>
      <w:r w:rsidR="00114A8E">
        <w:rPr>
          <w:rFonts w:ascii="Times New Roman" w:hAnsi="Times New Roman" w:cs="Times New Roman"/>
          <w:sz w:val="24"/>
          <w:szCs w:val="24"/>
        </w:rPr>
        <w:t xml:space="preserve"> S I 1 of 2008 would have been amended accordingly in section 10 thereof. It is my view that</w:t>
      </w:r>
      <w:r w:rsidR="00DC39D4">
        <w:rPr>
          <w:rFonts w:ascii="Times New Roman" w:hAnsi="Times New Roman" w:cs="Times New Roman"/>
          <w:sz w:val="24"/>
          <w:szCs w:val="24"/>
        </w:rPr>
        <w:t>,</w:t>
      </w:r>
      <w:bookmarkStart w:id="0" w:name="_GoBack"/>
      <w:bookmarkEnd w:id="0"/>
      <w:r w:rsidR="00114A8E">
        <w:rPr>
          <w:rFonts w:ascii="Times New Roman" w:hAnsi="Times New Roman" w:cs="Times New Roman"/>
          <w:sz w:val="24"/>
          <w:szCs w:val="24"/>
        </w:rPr>
        <w:t xml:space="preserve"> as it is trite, the Legislature is presumed to know about existing legislation. The appellants’ submissions that they stand entitled to the allowances should therefore fall by the wayside. The court is of the view that the decision of the arbitrator cannot be faulted in the circumstances.</w:t>
      </w:r>
      <w:r>
        <w:rPr>
          <w:rFonts w:ascii="Times New Roman" w:hAnsi="Times New Roman" w:cs="Times New Roman"/>
          <w:sz w:val="24"/>
          <w:szCs w:val="24"/>
        </w:rPr>
        <w:t xml:space="preserve"> </w:t>
      </w:r>
    </w:p>
    <w:p w:rsidR="00114A8E" w:rsidRDefault="00114A8E"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reasons the appeal ought to be dismissed.</w:t>
      </w:r>
    </w:p>
    <w:p w:rsidR="00114A8E" w:rsidRDefault="00114A8E" w:rsidP="00114A8E">
      <w:pPr>
        <w:spacing w:after="0" w:line="240" w:lineRule="auto"/>
        <w:ind w:firstLine="720"/>
        <w:jc w:val="both"/>
        <w:rPr>
          <w:rFonts w:ascii="Times New Roman" w:hAnsi="Times New Roman" w:cs="Times New Roman"/>
          <w:sz w:val="24"/>
          <w:szCs w:val="24"/>
        </w:rPr>
      </w:pPr>
    </w:p>
    <w:p w:rsidR="00114A8E" w:rsidRDefault="00114A8E" w:rsidP="00114A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114A8E" w:rsidRDefault="00114A8E" w:rsidP="00114A8E">
      <w:pPr>
        <w:spacing w:after="0" w:line="360" w:lineRule="auto"/>
        <w:jc w:val="both"/>
        <w:rPr>
          <w:rFonts w:ascii="Times New Roman" w:hAnsi="Times New Roman" w:cs="Times New Roman"/>
          <w:sz w:val="24"/>
          <w:szCs w:val="24"/>
        </w:rPr>
      </w:pPr>
    </w:p>
    <w:p w:rsidR="00114A8E" w:rsidRDefault="00114A8E" w:rsidP="00114A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devoid of merit, is accordingly dismissed.</w:t>
      </w:r>
    </w:p>
    <w:p w:rsidR="00114A8E" w:rsidRDefault="00114A8E" w:rsidP="00114A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114A8E" w:rsidRDefault="00114A8E" w:rsidP="00114A8E">
      <w:pPr>
        <w:spacing w:after="0" w:line="360" w:lineRule="auto"/>
        <w:jc w:val="both"/>
        <w:rPr>
          <w:rFonts w:ascii="Times New Roman" w:hAnsi="Times New Roman" w:cs="Times New Roman"/>
          <w:sz w:val="24"/>
          <w:szCs w:val="24"/>
        </w:rPr>
      </w:pPr>
    </w:p>
    <w:p w:rsidR="00114A8E" w:rsidRDefault="00114A8E" w:rsidP="00114A8E">
      <w:pPr>
        <w:spacing w:after="0" w:line="360" w:lineRule="auto"/>
        <w:jc w:val="both"/>
        <w:rPr>
          <w:rFonts w:ascii="Times New Roman" w:hAnsi="Times New Roman" w:cs="Times New Roman"/>
          <w:sz w:val="24"/>
          <w:szCs w:val="24"/>
        </w:rPr>
      </w:pPr>
    </w:p>
    <w:p w:rsidR="00114A8E" w:rsidRDefault="00114A8E" w:rsidP="00114A8E">
      <w:pPr>
        <w:spacing w:after="0" w:line="360" w:lineRule="auto"/>
        <w:rPr>
          <w:rFonts w:ascii="Times New Roman" w:hAnsi="Times New Roman" w:cs="Times New Roman"/>
          <w:sz w:val="24"/>
          <w:szCs w:val="24"/>
        </w:rPr>
      </w:pPr>
    </w:p>
    <w:p w:rsidR="00605792" w:rsidRPr="00114A8E" w:rsidRDefault="00114A8E" w:rsidP="00114A8E">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sidRPr="00114A8E">
        <w:rPr>
          <w:rFonts w:ascii="Times New Roman" w:hAnsi="Times New Roman" w:cs="Times New Roman"/>
          <w:i/>
          <w:sz w:val="24"/>
          <w:szCs w:val="24"/>
        </w:rPr>
        <w:t>Manikai</w:t>
      </w:r>
      <w:proofErr w:type="spellEnd"/>
      <w:r w:rsidRPr="00114A8E">
        <w:rPr>
          <w:rFonts w:ascii="Times New Roman" w:hAnsi="Times New Roman" w:cs="Times New Roman"/>
          <w:i/>
          <w:sz w:val="24"/>
          <w:szCs w:val="24"/>
        </w:rPr>
        <w:t xml:space="preserve"> &amp; </w:t>
      </w:r>
      <w:proofErr w:type="spellStart"/>
      <w:r w:rsidRPr="00114A8E">
        <w:rPr>
          <w:rFonts w:ascii="Times New Roman" w:hAnsi="Times New Roman" w:cs="Times New Roman"/>
          <w:i/>
          <w:sz w:val="24"/>
          <w:szCs w:val="24"/>
        </w:rPr>
        <w:t>Hwacha</w:t>
      </w:r>
      <w:proofErr w:type="spellEnd"/>
      <w:r>
        <w:rPr>
          <w:rFonts w:ascii="Times New Roman" w:hAnsi="Times New Roman" w:cs="Times New Roman"/>
          <w:i/>
          <w:sz w:val="24"/>
          <w:szCs w:val="24"/>
        </w:rPr>
        <w:t xml:space="preserve">, </w:t>
      </w:r>
      <w:r w:rsidRPr="00114A8E">
        <w:rPr>
          <w:rFonts w:ascii="Times New Roman" w:hAnsi="Times New Roman" w:cs="Times New Roman"/>
          <w:sz w:val="24"/>
          <w:szCs w:val="24"/>
        </w:rPr>
        <w:t>respondent</w:t>
      </w:r>
      <w:r>
        <w:rPr>
          <w:rFonts w:ascii="Times New Roman" w:hAnsi="Times New Roman" w:cs="Times New Roman"/>
          <w:sz w:val="24"/>
          <w:szCs w:val="24"/>
        </w:rPr>
        <w:t>’s legal practitioners</w:t>
      </w:r>
      <w:r w:rsidR="00605792" w:rsidRPr="00114A8E">
        <w:rPr>
          <w:rFonts w:ascii="Times New Roman" w:hAnsi="Times New Roman" w:cs="Times New Roman"/>
          <w:sz w:val="24"/>
          <w:szCs w:val="24"/>
        </w:rPr>
        <w:tab/>
      </w:r>
    </w:p>
    <w:sectPr w:rsidR="00605792" w:rsidRPr="00114A8E" w:rsidSect="00114A8E">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7B" w:rsidRDefault="00782F7B" w:rsidP="00114A8E">
      <w:pPr>
        <w:spacing w:after="0" w:line="240" w:lineRule="auto"/>
      </w:pPr>
      <w:r>
        <w:separator/>
      </w:r>
    </w:p>
  </w:endnote>
  <w:endnote w:type="continuationSeparator" w:id="0">
    <w:p w:rsidR="00782F7B" w:rsidRDefault="00782F7B" w:rsidP="0011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7B" w:rsidRDefault="00782F7B" w:rsidP="00114A8E">
      <w:pPr>
        <w:spacing w:after="0" w:line="240" w:lineRule="auto"/>
      </w:pPr>
      <w:r>
        <w:separator/>
      </w:r>
    </w:p>
  </w:footnote>
  <w:footnote w:type="continuationSeparator" w:id="0">
    <w:p w:rsidR="00782F7B" w:rsidRDefault="00782F7B" w:rsidP="00114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45766"/>
      <w:docPartObj>
        <w:docPartGallery w:val="Page Numbers (Top of Page)"/>
        <w:docPartUnique/>
      </w:docPartObj>
    </w:sdtPr>
    <w:sdtEndPr>
      <w:rPr>
        <w:noProof/>
      </w:rPr>
    </w:sdtEndPr>
    <w:sdtContent>
      <w:p w:rsidR="00114A8E" w:rsidRDefault="00114A8E">
        <w:pPr>
          <w:pStyle w:val="Header"/>
          <w:jc w:val="right"/>
          <w:rPr>
            <w:noProof/>
          </w:rPr>
        </w:pPr>
        <w:r>
          <w:fldChar w:fldCharType="begin"/>
        </w:r>
        <w:r>
          <w:instrText xml:space="preserve"> PAGE   \* MERGEFORMAT </w:instrText>
        </w:r>
        <w:r>
          <w:fldChar w:fldCharType="separate"/>
        </w:r>
        <w:r w:rsidR="00DC39D4">
          <w:rPr>
            <w:noProof/>
          </w:rPr>
          <w:t>3</w:t>
        </w:r>
        <w:r>
          <w:rPr>
            <w:noProof/>
          </w:rPr>
          <w:fldChar w:fldCharType="end"/>
        </w:r>
      </w:p>
      <w:p w:rsidR="00114A8E" w:rsidRDefault="00DC39D4">
        <w:pPr>
          <w:pStyle w:val="Header"/>
          <w:jc w:val="right"/>
          <w:rPr>
            <w:noProof/>
          </w:rPr>
        </w:pPr>
        <w:r>
          <w:rPr>
            <w:noProof/>
          </w:rPr>
          <w:t>JUDGMENT NO LC-H-486</w:t>
        </w:r>
        <w:r w:rsidR="00114A8E">
          <w:rPr>
            <w:noProof/>
          </w:rPr>
          <w:t>-2016</w:t>
        </w:r>
      </w:p>
      <w:p w:rsidR="00114A8E" w:rsidRDefault="00114A8E">
        <w:pPr>
          <w:pStyle w:val="Header"/>
          <w:jc w:val="right"/>
        </w:pPr>
        <w:r>
          <w:rPr>
            <w:noProof/>
          </w:rPr>
          <w:t>CASE NO LC/H/777/2014</w:t>
        </w:r>
      </w:p>
    </w:sdtContent>
  </w:sdt>
  <w:p w:rsidR="00114A8E" w:rsidRDefault="00114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553D"/>
    <w:multiLevelType w:val="hybridMultilevel"/>
    <w:tmpl w:val="A5DC61F4"/>
    <w:lvl w:ilvl="0" w:tplc="A58450F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C5411A0"/>
    <w:multiLevelType w:val="hybridMultilevel"/>
    <w:tmpl w:val="24C035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7497BE9"/>
    <w:multiLevelType w:val="hybridMultilevel"/>
    <w:tmpl w:val="8DD824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4A04B10"/>
    <w:multiLevelType w:val="hybridMultilevel"/>
    <w:tmpl w:val="C7E402C0"/>
    <w:lvl w:ilvl="0" w:tplc="B0D452B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82"/>
    <w:rsid w:val="000D0C82"/>
    <w:rsid w:val="00114A8E"/>
    <w:rsid w:val="00605792"/>
    <w:rsid w:val="006B7224"/>
    <w:rsid w:val="00782F7B"/>
    <w:rsid w:val="00A0217C"/>
    <w:rsid w:val="00B5186E"/>
    <w:rsid w:val="00BB7469"/>
    <w:rsid w:val="00D80D8F"/>
    <w:rsid w:val="00DC39D4"/>
    <w:rsid w:val="00EE24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C82"/>
    <w:pPr>
      <w:ind w:left="720"/>
      <w:contextualSpacing/>
    </w:pPr>
  </w:style>
  <w:style w:type="paragraph" w:styleId="Header">
    <w:name w:val="header"/>
    <w:basedOn w:val="Normal"/>
    <w:link w:val="HeaderChar"/>
    <w:uiPriority w:val="99"/>
    <w:unhideWhenUsed/>
    <w:rsid w:val="00114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8E"/>
  </w:style>
  <w:style w:type="paragraph" w:styleId="Footer">
    <w:name w:val="footer"/>
    <w:basedOn w:val="Normal"/>
    <w:link w:val="FooterChar"/>
    <w:uiPriority w:val="99"/>
    <w:unhideWhenUsed/>
    <w:rsid w:val="00114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C82"/>
    <w:pPr>
      <w:ind w:left="720"/>
      <w:contextualSpacing/>
    </w:pPr>
  </w:style>
  <w:style w:type="paragraph" w:styleId="Header">
    <w:name w:val="header"/>
    <w:basedOn w:val="Normal"/>
    <w:link w:val="HeaderChar"/>
    <w:uiPriority w:val="99"/>
    <w:unhideWhenUsed/>
    <w:rsid w:val="00114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A8E"/>
  </w:style>
  <w:style w:type="paragraph" w:styleId="Footer">
    <w:name w:val="footer"/>
    <w:basedOn w:val="Normal"/>
    <w:link w:val="FooterChar"/>
    <w:uiPriority w:val="99"/>
    <w:unhideWhenUsed/>
    <w:rsid w:val="00114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2016-07-28T09:32:00Z</dcterms:created>
  <dcterms:modified xsi:type="dcterms:W3CDTF">2016-08-12T06:51:00Z</dcterms:modified>
</cp:coreProperties>
</file>