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60" w:rsidRDefault="00847A60">
      <w:pPr>
        <w:jc w:val="right"/>
      </w:pPr>
      <w:bookmarkStart w:id="0" w:name="_GoBack"/>
      <w:bookmarkEnd w:id="0"/>
    </w:p>
    <w:p w:rsidR="00847A60" w:rsidRDefault="007B5622" w:rsidP="00EE4C96">
      <w:r>
        <w:t>CROCO HOLDINGS (PRIVATE) LTD</w:t>
      </w:r>
    </w:p>
    <w:p w:rsidR="00847A60" w:rsidRDefault="00EE4C96" w:rsidP="00EE4C96">
      <w:r>
        <w:t>versus</w:t>
      </w:r>
    </w:p>
    <w:p w:rsidR="00847A60" w:rsidRDefault="007B5622" w:rsidP="00EE4C96">
      <w:r>
        <w:t>KUDZAYI MUNDANGEPFUPFU</w:t>
      </w:r>
    </w:p>
    <w:p w:rsidR="00D368BD" w:rsidRDefault="00D368BD" w:rsidP="00EE4C96"/>
    <w:p w:rsidR="00EE4C96" w:rsidRDefault="00EE4C96" w:rsidP="00EE4C96"/>
    <w:p w:rsidR="00847A60" w:rsidRDefault="0008262B">
      <w:r>
        <w:t>HIGH COURT OF ZIMBABWE</w:t>
      </w:r>
    </w:p>
    <w:p w:rsidR="00847A60" w:rsidRDefault="0008262B">
      <w:r>
        <w:t>BACHI</w:t>
      </w:r>
      <w:r w:rsidR="00EE4C96">
        <w:t>-</w:t>
      </w:r>
      <w:r w:rsidR="003609A7">
        <w:t xml:space="preserve">MZAWAZI </w:t>
      </w:r>
      <w:r>
        <w:t>J</w:t>
      </w:r>
    </w:p>
    <w:p w:rsidR="00847A60" w:rsidRDefault="0008262B">
      <w:r>
        <w:t>HARARE</w:t>
      </w:r>
      <w:r w:rsidR="00EE4C96">
        <w:t>,</w:t>
      </w:r>
      <w:r>
        <w:t xml:space="preserve"> </w:t>
      </w:r>
      <w:r w:rsidR="007B5622">
        <w:t xml:space="preserve">22 </w:t>
      </w:r>
      <w:r w:rsidR="006E341D">
        <w:t xml:space="preserve">September &amp; 19 October </w:t>
      </w:r>
      <w:r w:rsidR="002F3568">
        <w:t>2022</w:t>
      </w:r>
    </w:p>
    <w:p w:rsidR="00F55A2A" w:rsidRDefault="00F55A2A"/>
    <w:p w:rsidR="00F55A2A" w:rsidRDefault="00F55A2A"/>
    <w:p w:rsidR="00F55A2A" w:rsidRDefault="007B5622" w:rsidP="00F55A2A">
      <w:pPr>
        <w:spacing w:line="360" w:lineRule="auto"/>
        <w:jc w:val="both"/>
        <w:rPr>
          <w:rFonts w:cs="Times New Roman"/>
          <w:b/>
        </w:rPr>
      </w:pPr>
      <w:r>
        <w:rPr>
          <w:rFonts w:cs="Times New Roman"/>
          <w:b/>
        </w:rPr>
        <w:t xml:space="preserve">Opposed </w:t>
      </w:r>
      <w:r w:rsidR="00F55A2A">
        <w:rPr>
          <w:rFonts w:cs="Times New Roman"/>
          <w:b/>
        </w:rPr>
        <w:t xml:space="preserve">Application </w:t>
      </w:r>
    </w:p>
    <w:p w:rsidR="00EE4C96" w:rsidRPr="00E001E2" w:rsidRDefault="00EE4C96">
      <w:pPr>
        <w:rPr>
          <w:i/>
        </w:rPr>
      </w:pPr>
    </w:p>
    <w:p w:rsidR="00847A60" w:rsidRDefault="007B5622">
      <w:r>
        <w:rPr>
          <w:i/>
        </w:rPr>
        <w:t>T Chogudumba</w:t>
      </w:r>
      <w:r w:rsidR="00EE4C96">
        <w:rPr>
          <w:i/>
        </w:rPr>
        <w:t>,</w:t>
      </w:r>
      <w:r w:rsidR="0008262B">
        <w:t xml:space="preserve"> for the applicant</w:t>
      </w:r>
    </w:p>
    <w:p w:rsidR="007B5622" w:rsidRDefault="007B5622" w:rsidP="007B5622">
      <w:r>
        <w:rPr>
          <w:i/>
        </w:rPr>
        <w:t>MN Nyenya,</w:t>
      </w:r>
      <w:r>
        <w:t xml:space="preserve"> for the </w:t>
      </w:r>
      <w:r w:rsidR="0098188E">
        <w:t>respondent</w:t>
      </w:r>
    </w:p>
    <w:p w:rsidR="00EE4C96" w:rsidRDefault="00EE4C96"/>
    <w:p w:rsidR="00847A60" w:rsidRDefault="00EE4C96">
      <w:r>
        <w:tab/>
      </w:r>
    </w:p>
    <w:p w:rsidR="00241749" w:rsidRDefault="00EE4C96" w:rsidP="00241749">
      <w:pPr>
        <w:spacing w:line="360" w:lineRule="auto"/>
        <w:jc w:val="both"/>
      </w:pPr>
      <w:r>
        <w:tab/>
      </w:r>
      <w:r w:rsidRPr="00EE4C96">
        <w:rPr>
          <w:b/>
        </w:rPr>
        <w:t>BACHI-MZAWAZI J</w:t>
      </w:r>
      <w:r>
        <w:t xml:space="preserve">:  </w:t>
      </w:r>
      <w:r w:rsidR="007B5622">
        <w:t xml:space="preserve">  </w:t>
      </w:r>
      <w:r w:rsidR="00241749">
        <w:t>The applicant, a duly registered company has approached this court seeking a compelling order, ordering the respondent to deliver their courtesy vehicle a Ford Ranger</w:t>
      </w:r>
      <w:r w:rsidR="007D0BB7">
        <w:t>,</w:t>
      </w:r>
      <w:r w:rsidR="00241749">
        <w:t xml:space="preserve"> T6</w:t>
      </w:r>
      <w:r w:rsidR="007D0BB7">
        <w:t>,</w:t>
      </w:r>
      <w:r w:rsidR="00241749">
        <w:t xml:space="preserve"> Single Cab</w:t>
      </w:r>
      <w:r w:rsidR="007D0BB7">
        <w:t>,</w:t>
      </w:r>
      <w:r w:rsidR="00241749">
        <w:t xml:space="preserve"> Registration Number</w:t>
      </w:r>
      <w:r w:rsidR="007D0BB7">
        <w:t>,</w:t>
      </w:r>
      <w:r w:rsidR="00241749">
        <w:t xml:space="preserve"> AFN 0119, within 7 days of the date of service upon her of the order. The application is opposed</w:t>
      </w:r>
      <w:r w:rsidR="007D0BB7">
        <w:t xml:space="preserve"> with respondent mounting a counterclaim apportioning liability to the resultant </w:t>
      </w:r>
      <w:r w:rsidR="00BA0514">
        <w:t>damages to</w:t>
      </w:r>
      <w:r w:rsidR="007D0BB7">
        <w:t xml:space="preserve"> her vehicle as allegedly having been caused by the negligence on the applicant.</w:t>
      </w:r>
    </w:p>
    <w:p w:rsidR="00D85C6F" w:rsidRDefault="006E341D" w:rsidP="007B5622">
      <w:pPr>
        <w:spacing w:line="360" w:lineRule="auto"/>
        <w:jc w:val="both"/>
      </w:pPr>
      <w:r>
        <w:tab/>
      </w:r>
      <w:r w:rsidR="00241749">
        <w:t>Notably, t</w:t>
      </w:r>
      <w:r w:rsidR="007B5622">
        <w:t xml:space="preserve">his </w:t>
      </w:r>
      <w:r w:rsidR="00233E50">
        <w:t>is a classic</w:t>
      </w:r>
      <w:r w:rsidR="007B5622">
        <w:t xml:space="preserve"> example of how a seemingly simple inattentive mistake</w:t>
      </w:r>
      <w:r w:rsidR="007E2183">
        <w:t xml:space="preserve"> at a fuel pump</w:t>
      </w:r>
      <w:r w:rsidR="007B5622">
        <w:t xml:space="preserve"> can be costly. </w:t>
      </w:r>
      <w:r w:rsidR="00241749">
        <w:t>The common cause facts are that,</w:t>
      </w:r>
      <w:r w:rsidR="005341BB">
        <w:t xml:space="preserve"> sometime in April 2022, the respondent’s petrol vehicle, </w:t>
      </w:r>
      <w:r w:rsidR="00233E50">
        <w:t>a Mercedes</w:t>
      </w:r>
      <w:r w:rsidR="005341BB">
        <w:t xml:space="preserve"> </w:t>
      </w:r>
      <w:r w:rsidR="00233E50">
        <w:t>Benz, was</w:t>
      </w:r>
      <w:r w:rsidR="005341BB">
        <w:t xml:space="preserve"> mistakenly refuelled with diesel instead of fuel at </w:t>
      </w:r>
      <w:r w:rsidR="00233E50">
        <w:t>the respondent’s</w:t>
      </w:r>
      <w:r w:rsidR="005341BB">
        <w:t xml:space="preserve"> garage. </w:t>
      </w:r>
      <w:r>
        <w:t xml:space="preserve"> </w:t>
      </w:r>
      <w:r w:rsidR="007D0BB7">
        <w:t>Apparently,</w:t>
      </w:r>
      <w:r w:rsidR="005341BB">
        <w:t xml:space="preserve"> the parties</w:t>
      </w:r>
      <w:r w:rsidR="00233E50">
        <w:t>’</w:t>
      </w:r>
      <w:r w:rsidR="005341BB">
        <w:t xml:space="preserve"> versions as to who was driving the car, what action was taken soon after the m</w:t>
      </w:r>
      <w:r w:rsidR="00233E50">
        <w:t>i</w:t>
      </w:r>
      <w:r w:rsidR="005341BB">
        <w:t>x up and at later stages are at variance.</w:t>
      </w:r>
      <w:r>
        <w:t xml:space="preserve"> </w:t>
      </w:r>
      <w:r w:rsidR="00233E50">
        <w:t xml:space="preserve"> The parties also disagree on the extent of the damages caused by the pouring of diesel in a petrol tank and those that manifested soon after the repairs made by the applicant’s mechanics.</w:t>
      </w:r>
      <w:r w:rsidR="007B5622">
        <w:t xml:space="preserve">  </w:t>
      </w:r>
      <w:r w:rsidR="005341BB">
        <w:t>The</w:t>
      </w:r>
      <w:r w:rsidR="007D0BB7">
        <w:t>re is an</w:t>
      </w:r>
      <w:r w:rsidR="005341BB">
        <w:t xml:space="preserve"> ultimate report from a reputable garage, and dealer in Mercedes </w:t>
      </w:r>
      <w:r w:rsidR="00233E50">
        <w:t>B</w:t>
      </w:r>
      <w:r w:rsidR="005341BB">
        <w:t>enz</w:t>
      </w:r>
      <w:r w:rsidR="007D0BB7">
        <w:t xml:space="preserve"> which</w:t>
      </w:r>
      <w:r w:rsidR="005341BB">
        <w:t xml:space="preserve"> </w:t>
      </w:r>
      <w:r w:rsidR="00233E50">
        <w:t>is also being</w:t>
      </w:r>
      <w:r w:rsidR="005341BB">
        <w:t xml:space="preserve"> challenged as inconclusive</w:t>
      </w:r>
      <w:r w:rsidR="00233E50">
        <w:t xml:space="preserve">. What is </w:t>
      </w:r>
      <w:r w:rsidR="007D0BB7">
        <w:t>not in dispute,</w:t>
      </w:r>
      <w:r w:rsidR="00233E50">
        <w:t xml:space="preserve"> is that, the parties engaged each other during the whole episode, resulting in applicant offering the respondent a replacement courtesy </w:t>
      </w:r>
      <w:r w:rsidR="00762DB8">
        <w:t>vehicle, to</w:t>
      </w:r>
      <w:r w:rsidR="00233E50">
        <w:t xml:space="preserve"> use whilst her</w:t>
      </w:r>
      <w:r w:rsidR="00762DB8">
        <w:t>s</w:t>
      </w:r>
      <w:r w:rsidR="00233E50">
        <w:t xml:space="preserve"> was being attended to by the </w:t>
      </w:r>
      <w:r w:rsidR="00BA0514">
        <w:t>applicant’s garage</w:t>
      </w:r>
      <w:r w:rsidR="00233E50">
        <w:t xml:space="preserve"> workshop mechanics.</w:t>
      </w:r>
      <w:r w:rsidR="00762DB8">
        <w:t xml:space="preserve"> </w:t>
      </w:r>
      <w:r>
        <w:t xml:space="preserve"> </w:t>
      </w:r>
      <w:r w:rsidR="00762DB8">
        <w:t xml:space="preserve">It is also on record that the vehicle to date is still not functioning </w:t>
      </w:r>
      <w:r w:rsidR="00BA0514">
        <w:t>and in</w:t>
      </w:r>
      <w:r w:rsidR="00762DB8">
        <w:t xml:space="preserve"> the possession of the applicant. There is a stalemate as to who caused the damages that manifested during the course</w:t>
      </w:r>
      <w:r w:rsidR="002F3568">
        <w:t xml:space="preserve"> of</w:t>
      </w:r>
      <w:r w:rsidR="00762DB8">
        <w:t xml:space="preserve"> and after the repairs made by the applicant. There are also reports from mechanics stating the </w:t>
      </w:r>
    </w:p>
    <w:p w:rsidR="00522876" w:rsidRDefault="00762DB8" w:rsidP="007B5622">
      <w:pPr>
        <w:spacing w:line="360" w:lineRule="auto"/>
        <w:jc w:val="both"/>
      </w:pPr>
      <w:r>
        <w:t xml:space="preserve">change and replacement of certain specified original components of the Mercedes Benz </w:t>
      </w:r>
      <w:r w:rsidR="001B427F">
        <w:t>vehicle with</w:t>
      </w:r>
      <w:r>
        <w:t xml:space="preserve"> those of a different make. Both parties are denying knowledge of and any role in </w:t>
      </w:r>
      <w:r w:rsidR="001B427F">
        <w:t xml:space="preserve">the </w:t>
      </w:r>
    </w:p>
    <w:p w:rsidR="00522876" w:rsidRDefault="00522876" w:rsidP="007B5622">
      <w:pPr>
        <w:spacing w:line="360" w:lineRule="auto"/>
        <w:jc w:val="both"/>
      </w:pPr>
    </w:p>
    <w:p w:rsidR="00241749" w:rsidRDefault="001B427F" w:rsidP="007B5622">
      <w:pPr>
        <w:spacing w:line="360" w:lineRule="auto"/>
        <w:jc w:val="both"/>
      </w:pPr>
      <w:r>
        <w:t>exchange</w:t>
      </w:r>
      <w:r w:rsidR="00762DB8">
        <w:t>.</w:t>
      </w:r>
      <w:r w:rsidR="006E341D">
        <w:t xml:space="preserve"> </w:t>
      </w:r>
      <w:r w:rsidR="00762DB8">
        <w:t xml:space="preserve"> The bottom line is that the applicant encountered challenges in fixing the vehicl</w:t>
      </w:r>
      <w:r w:rsidR="00241749">
        <w:t xml:space="preserve">e but wants its replacement vehicle returned upon the collection of the malfunctioning one by the respondent. </w:t>
      </w:r>
      <w:r w:rsidR="006E341D">
        <w:t xml:space="preserve"> </w:t>
      </w:r>
      <w:r w:rsidR="00241749">
        <w:t xml:space="preserve">The respondent up until the time of the current </w:t>
      </w:r>
      <w:r>
        <w:t>application has</w:t>
      </w:r>
      <w:r w:rsidR="00241749">
        <w:t xml:space="preserve"> refused to release the vehicle on the basis that it has not finished its intended purpose as her own vehicle has </w:t>
      </w:r>
      <w:r w:rsidR="006E341D">
        <w:t>neither been fixed nor</w:t>
      </w:r>
      <w:r w:rsidR="00241749">
        <w:t xml:space="preserve"> restored to its original condition before the fuel m</w:t>
      </w:r>
      <w:r w:rsidR="003805F1">
        <w:t>i</w:t>
      </w:r>
      <w:r w:rsidR="00241749">
        <w:t>x up incident.</w:t>
      </w:r>
      <w:r w:rsidR="007D0BB7">
        <w:t xml:space="preserve">  This </w:t>
      </w:r>
      <w:r w:rsidR="002F3568">
        <w:t>tug of war,</w:t>
      </w:r>
      <w:r w:rsidR="007D0BB7">
        <w:t xml:space="preserve"> has prompted this application as earlier on indicated.</w:t>
      </w:r>
    </w:p>
    <w:p w:rsidR="00233E50" w:rsidRDefault="006E341D" w:rsidP="007B5622">
      <w:pPr>
        <w:spacing w:line="360" w:lineRule="auto"/>
        <w:jc w:val="both"/>
      </w:pPr>
      <w:r>
        <w:tab/>
      </w:r>
      <w:r w:rsidR="007D0BB7">
        <w:t xml:space="preserve">It </w:t>
      </w:r>
      <w:r w:rsidR="00D368BD">
        <w:t xml:space="preserve">is </w:t>
      </w:r>
      <w:r w:rsidR="007D0BB7">
        <w:t>the applicant’s case</w:t>
      </w:r>
      <w:r w:rsidR="002F3568">
        <w:t>, as borne in their f</w:t>
      </w:r>
      <w:r>
        <w:t>ounding affidavit para 5 to 6</w:t>
      </w:r>
      <w:r w:rsidR="007D0BB7">
        <w:t xml:space="preserve"> that, the respondent, on the </w:t>
      </w:r>
      <w:r w:rsidR="003805F1">
        <w:t>25</w:t>
      </w:r>
      <w:r w:rsidR="003805F1" w:rsidRPr="003805F1">
        <w:rPr>
          <w:vertAlign w:val="superscript"/>
        </w:rPr>
        <w:t>th</w:t>
      </w:r>
      <w:r w:rsidR="003805F1">
        <w:t xml:space="preserve"> of April 2022,</w:t>
      </w:r>
      <w:r w:rsidR="007D0BB7">
        <w:t xml:space="preserve"> drove </w:t>
      </w:r>
      <w:r w:rsidR="001B427F">
        <w:t>her petrol</w:t>
      </w:r>
      <w:r w:rsidR="00A10C8C">
        <w:t xml:space="preserve"> </w:t>
      </w:r>
      <w:r w:rsidR="007D0BB7">
        <w:t>vehicle to</w:t>
      </w:r>
      <w:r w:rsidR="00A10C8C">
        <w:t xml:space="preserve"> the diesel pump resulting in the fuelling with the wrong fuel.</w:t>
      </w:r>
      <w:r w:rsidR="007D0BB7">
        <w:t xml:space="preserve"> </w:t>
      </w:r>
      <w:r w:rsidR="00A10C8C">
        <w:t>They argue that soon after the mistake was noticed the petrol attendant with the consultation with the garage workshop mechanic pushed the vehicle into their workshop.</w:t>
      </w:r>
      <w:r>
        <w:t xml:space="preserve">  </w:t>
      </w:r>
      <w:r w:rsidR="00A10C8C">
        <w:t xml:space="preserve">It is further, submitted that the fuel tank was removed, attended to and the vehicle was handed over to the owner who drove it away only to come back later the same day claiming that it was malfunctioning.  The applicant claims that they then offered the respondent a replacement courtesy vehicle to use whist hers was receiving further attention. </w:t>
      </w:r>
      <w:r>
        <w:t xml:space="preserve"> </w:t>
      </w:r>
      <w:r w:rsidR="00A10C8C">
        <w:t>They claim that the misfiring of the starter and some</w:t>
      </w:r>
      <w:r w:rsidR="001B427F">
        <w:t xml:space="preserve"> new</w:t>
      </w:r>
      <w:r w:rsidR="00A10C8C">
        <w:t xml:space="preserve"> engine problems </w:t>
      </w:r>
      <w:r w:rsidR="001B427F">
        <w:t>diagnosed</w:t>
      </w:r>
      <w:r w:rsidR="00A10C8C">
        <w:t xml:space="preserve"> where not as a result of a fuel mix-up but mechanically discovered inherent defects of the Mercedes Benz which had components not synonymous with Mercedes </w:t>
      </w:r>
      <w:r w:rsidR="001B427F">
        <w:t>B</w:t>
      </w:r>
      <w:r w:rsidR="00A10C8C">
        <w:t>enzes</w:t>
      </w:r>
      <w:r w:rsidR="001B427F">
        <w:t xml:space="preserve">. </w:t>
      </w:r>
      <w:r>
        <w:t xml:space="preserve"> </w:t>
      </w:r>
      <w:r w:rsidR="001B427F">
        <w:t xml:space="preserve">The diagnostic report is embodied in the ZIMOCO report filed of record. </w:t>
      </w:r>
      <w:r>
        <w:t xml:space="preserve"> </w:t>
      </w:r>
      <w:r w:rsidR="001B427F">
        <w:t xml:space="preserve">Their argument is that they did not tamper with any parts of the vehicle but the manifesting faults emanate from a deeper source unrelated to the act of refuelling a petrol car with diesel. </w:t>
      </w:r>
    </w:p>
    <w:p w:rsidR="001B427F" w:rsidRDefault="00827E15" w:rsidP="007B5622">
      <w:pPr>
        <w:spacing w:line="360" w:lineRule="auto"/>
        <w:jc w:val="both"/>
        <w:rPr>
          <w:i/>
        </w:rPr>
      </w:pPr>
      <w:r>
        <w:tab/>
      </w:r>
      <w:r w:rsidR="001B427F">
        <w:t>In opposition, the respondent</w:t>
      </w:r>
      <w:r w:rsidR="00820450">
        <w:t xml:space="preserve"> </w:t>
      </w:r>
      <w:r w:rsidR="001B427F">
        <w:t xml:space="preserve">raised two </w:t>
      </w:r>
      <w:r w:rsidR="001B427F" w:rsidRPr="001B427F">
        <w:rPr>
          <w:i/>
        </w:rPr>
        <w:t>points in limine</w:t>
      </w:r>
      <w:r w:rsidR="001B427F">
        <w:t xml:space="preserve">, one in </w:t>
      </w:r>
      <w:r w:rsidR="00820450">
        <w:t xml:space="preserve">her </w:t>
      </w:r>
      <w:r w:rsidR="001B427F">
        <w:t>written submissions and heads</w:t>
      </w:r>
      <w:r w:rsidR="002F3568">
        <w:t xml:space="preserve"> of argument and the other,</w:t>
      </w:r>
      <w:r w:rsidR="001B427F">
        <w:t xml:space="preserve"> in the form </w:t>
      </w:r>
      <w:r w:rsidR="00BA0514">
        <w:t>of a</w:t>
      </w:r>
      <w:r w:rsidR="001B427F">
        <w:t xml:space="preserve"> point of law during the course of the hearing. The</w:t>
      </w:r>
      <w:r w:rsidR="00820450">
        <w:t xml:space="preserve"> first preliminary</w:t>
      </w:r>
      <w:r w:rsidR="001B427F">
        <w:t xml:space="preserve"> objection is that</w:t>
      </w:r>
      <w:r w:rsidR="00820450">
        <w:t>,</w:t>
      </w:r>
      <w:r w:rsidR="001B427F">
        <w:t xml:space="preserve"> the matter is fraught with material disputes of facts that cannot be resolved on the papers before the court. The second point is that of </w:t>
      </w:r>
      <w:r w:rsidR="001B427F" w:rsidRPr="001B427F">
        <w:rPr>
          <w:i/>
        </w:rPr>
        <w:t>brutum fulmen</w:t>
      </w:r>
      <w:r w:rsidR="001B427F">
        <w:rPr>
          <w:i/>
        </w:rPr>
        <w:t xml:space="preserve">. </w:t>
      </w:r>
    </w:p>
    <w:p w:rsidR="00D85C6F" w:rsidRDefault="00827E15" w:rsidP="007B5622">
      <w:pPr>
        <w:spacing w:line="360" w:lineRule="auto"/>
        <w:jc w:val="both"/>
      </w:pPr>
      <w:r>
        <w:tab/>
      </w:r>
      <w:r w:rsidR="001B427F">
        <w:t xml:space="preserve">On the first </w:t>
      </w:r>
      <w:r w:rsidR="001B427F" w:rsidRPr="00827E15">
        <w:t>point</w:t>
      </w:r>
      <w:r w:rsidR="001B427F" w:rsidRPr="00820450">
        <w:rPr>
          <w:i/>
        </w:rPr>
        <w:t xml:space="preserve"> in limine</w:t>
      </w:r>
      <w:r w:rsidR="001B427F">
        <w:t xml:space="preserve"> th</w:t>
      </w:r>
      <w:r w:rsidR="00820450">
        <w:t>e respondent</w:t>
      </w:r>
      <w:r w:rsidR="001B427F">
        <w:t xml:space="preserve"> submit</w:t>
      </w:r>
      <w:r w:rsidR="00820450">
        <w:t>s</w:t>
      </w:r>
      <w:r w:rsidR="001B427F">
        <w:t xml:space="preserve"> that the version of the parties</w:t>
      </w:r>
      <w:r w:rsidR="00820450">
        <w:t>,</w:t>
      </w:r>
      <w:r w:rsidR="001B427F">
        <w:t xml:space="preserve"> as to what happened from the onset to the time of this application are incongruous.</w:t>
      </w:r>
      <w:r>
        <w:t xml:space="preserve"> </w:t>
      </w:r>
      <w:r w:rsidR="00820450">
        <w:t xml:space="preserve"> Firstly, she assets that, it was not the respondent driving her vehicle on the day of the incident but her brother.  She states that she is a regular customer of the applicant but on the day in question her brother </w:t>
      </w:r>
    </w:p>
    <w:p w:rsidR="00522876" w:rsidRDefault="00820450" w:rsidP="007B5622">
      <w:pPr>
        <w:spacing w:line="360" w:lineRule="auto"/>
        <w:jc w:val="both"/>
      </w:pPr>
      <w:r>
        <w:t>was directed to a wrong pump resulting in the refuelling with the wrong fuel.</w:t>
      </w:r>
      <w:r w:rsidR="00827E15">
        <w:t xml:space="preserve"> </w:t>
      </w:r>
      <w:r>
        <w:t xml:space="preserve"> She further points out that soon after the fuel m</w:t>
      </w:r>
      <w:r w:rsidR="002F3568">
        <w:t>i</w:t>
      </w:r>
      <w:r>
        <w:t>x-up her vehicle reportedly developed ignition and misfiring problems evidence</w:t>
      </w:r>
      <w:r w:rsidR="00D368BD">
        <w:t>d</w:t>
      </w:r>
      <w:r>
        <w:t xml:space="preserve"> by </w:t>
      </w:r>
      <w:r w:rsidR="00BA0514">
        <w:t>the numerous</w:t>
      </w:r>
      <w:r>
        <w:t xml:space="preserve"> </w:t>
      </w:r>
      <w:r w:rsidR="00997BA6">
        <w:t xml:space="preserve">cranking </w:t>
      </w:r>
      <w:r>
        <w:t>of the starter by the</w:t>
      </w:r>
      <w:r w:rsidR="0072334E">
        <w:t xml:space="preserve"> applicant’s</w:t>
      </w:r>
      <w:r>
        <w:t xml:space="preserve"> garage mechanic</w:t>
      </w:r>
      <w:r w:rsidR="002F3568">
        <w:t>.</w:t>
      </w:r>
      <w:r>
        <w:t xml:space="preserve">  </w:t>
      </w:r>
    </w:p>
    <w:p w:rsidR="00522876" w:rsidRDefault="00522876" w:rsidP="007B5622">
      <w:pPr>
        <w:spacing w:line="360" w:lineRule="auto"/>
        <w:jc w:val="both"/>
      </w:pPr>
    </w:p>
    <w:p w:rsidR="0072334E" w:rsidRDefault="00820450" w:rsidP="007B5622">
      <w:pPr>
        <w:spacing w:line="360" w:lineRule="auto"/>
        <w:jc w:val="both"/>
      </w:pPr>
      <w:r>
        <w:t>She also relates that the vehicle only travelled a very short dist</w:t>
      </w:r>
      <w:r w:rsidR="0072334E">
        <w:t>ance before stopping completely.</w:t>
      </w:r>
      <w:r w:rsidR="00997BA6">
        <w:t xml:space="preserve"> </w:t>
      </w:r>
      <w:r w:rsidR="00827E15">
        <w:t xml:space="preserve"> </w:t>
      </w:r>
      <w:r w:rsidR="002F3568">
        <w:t>In addition, she</w:t>
      </w:r>
      <w:r w:rsidR="00997BA6">
        <w:t xml:space="preserve"> </w:t>
      </w:r>
      <w:r w:rsidR="002F3568">
        <w:t>referred</w:t>
      </w:r>
      <w:r w:rsidR="00997BA6">
        <w:t xml:space="preserve"> to a copy of a photograph of </w:t>
      </w:r>
      <w:r w:rsidR="004B13B3">
        <w:t>plugs sent</w:t>
      </w:r>
      <w:r w:rsidR="00997BA6">
        <w:t xml:space="preserve"> by the applicants, which need an explanation as to why they had to be changed.</w:t>
      </w:r>
      <w:r w:rsidR="0072334E">
        <w:t xml:space="preserve"> </w:t>
      </w:r>
      <w:r w:rsidR="00827E15">
        <w:t xml:space="preserve"> </w:t>
      </w:r>
      <w:r w:rsidR="0072334E">
        <w:t xml:space="preserve">She argued further, that there are a lot of questions that can only be answered </w:t>
      </w:r>
      <w:r w:rsidR="0072334E" w:rsidRPr="004B13B3">
        <w:rPr>
          <w:i/>
        </w:rPr>
        <w:t>viva voce</w:t>
      </w:r>
      <w:r w:rsidR="0072334E">
        <w:t xml:space="preserve"> by mechanical experts in general and the ZIMOCO expert</w:t>
      </w:r>
      <w:r w:rsidR="004B13B3">
        <w:t>, in particular,</w:t>
      </w:r>
      <w:r w:rsidR="0072334E">
        <w:t xml:space="preserve"> who compiled the </w:t>
      </w:r>
      <w:r w:rsidR="00997BA6">
        <w:t>diagnostic</w:t>
      </w:r>
      <w:r w:rsidR="0072334E">
        <w:t xml:space="preserve"> report. She submits that even though the report is there it need</w:t>
      </w:r>
      <w:r w:rsidR="004B13B3">
        <w:t>s</w:t>
      </w:r>
      <w:r w:rsidR="0072334E">
        <w:t xml:space="preserve"> an explanation from an expert who can be cross examined on its contents and other aspects of the resultant damages to her once moving vehicle. </w:t>
      </w:r>
    </w:p>
    <w:p w:rsidR="00233E50" w:rsidRDefault="00827E15" w:rsidP="007B5622">
      <w:pPr>
        <w:spacing w:line="360" w:lineRule="auto"/>
        <w:jc w:val="both"/>
      </w:pPr>
      <w:r>
        <w:tab/>
      </w:r>
      <w:r w:rsidR="0072334E">
        <w:t xml:space="preserve">On the second objection, she informed the court that there were recent developments that took place after the commencement of these proceedings. </w:t>
      </w:r>
      <w:r>
        <w:t xml:space="preserve"> </w:t>
      </w:r>
      <w:r w:rsidR="0072334E">
        <w:t xml:space="preserve">She highlighted that the subject matter central to the cause of action in this matter was no longer </w:t>
      </w:r>
      <w:r w:rsidR="00D178DE">
        <w:t>in her</w:t>
      </w:r>
      <w:r w:rsidR="0072334E">
        <w:t xml:space="preserve"> possession. She state</w:t>
      </w:r>
      <w:r w:rsidR="004B13B3">
        <w:t>s</w:t>
      </w:r>
      <w:r w:rsidR="0072334E">
        <w:t xml:space="preserve"> that the applicant</w:t>
      </w:r>
      <w:r w:rsidR="00D178DE">
        <w:t xml:space="preserve"> h</w:t>
      </w:r>
      <w:r w:rsidR="0072334E">
        <w:t xml:space="preserve">ad initiated a parallel criminal action resulting in the retrieval of the replacement vehicle from the respondent to the police. </w:t>
      </w:r>
      <w:r>
        <w:t xml:space="preserve"> </w:t>
      </w:r>
      <w:r w:rsidR="0072334E">
        <w:t>She indicated that there is nothing else to deliver or to</w:t>
      </w:r>
      <w:r w:rsidR="00FC3C9D">
        <w:t xml:space="preserve"> be delivered, as such</w:t>
      </w:r>
      <w:r w:rsidR="00D368BD">
        <w:t>,</w:t>
      </w:r>
      <w:r w:rsidR="00FC3C9D">
        <w:t xml:space="preserve"> the application is </w:t>
      </w:r>
      <w:r w:rsidR="00FC3C9D" w:rsidRPr="00FC3C9D">
        <w:rPr>
          <w:i/>
        </w:rPr>
        <w:t>brutum fulmen</w:t>
      </w:r>
      <w:r w:rsidR="00FC3C9D">
        <w:t xml:space="preserve">. The cause of action ceases to </w:t>
      </w:r>
      <w:r w:rsidR="00BA0514">
        <w:t>exist,</w:t>
      </w:r>
      <w:r w:rsidR="00FC3C9D">
        <w:t xml:space="preserve"> </w:t>
      </w:r>
      <w:r w:rsidR="00BA0514">
        <w:t>therefore,</w:t>
      </w:r>
      <w:r w:rsidR="00FC3C9D">
        <w:t xml:space="preserve"> the applicant’s application should fail on that point of law.</w:t>
      </w:r>
      <w:r w:rsidR="00820450">
        <w:t xml:space="preserve"> </w:t>
      </w:r>
    </w:p>
    <w:p w:rsidR="00F73645" w:rsidRDefault="00827E15" w:rsidP="007B5622">
      <w:pPr>
        <w:spacing w:line="360" w:lineRule="auto"/>
        <w:jc w:val="both"/>
      </w:pPr>
      <w:r>
        <w:tab/>
      </w:r>
      <w:r w:rsidR="00BA48FF">
        <w:t>Applicant counteracted that there are no material disputes of facts that cannot be resolved on the papers.  They argue that the ZIMOCO report is all inclusive and speaks to all the questions raised.  They state that the issue of whether or not the applicants caused the damage to the vehicle is not a factual issue. Counsel for the applicant submit</w:t>
      </w:r>
      <w:r w:rsidR="00D178DE">
        <w:t>s</w:t>
      </w:r>
      <w:r w:rsidR="00BA48FF">
        <w:t xml:space="preserve"> that the only </w:t>
      </w:r>
      <w:r>
        <w:t>issue to</w:t>
      </w:r>
      <w:r w:rsidR="00D178DE">
        <w:t xml:space="preserve"> be determined revolves around</w:t>
      </w:r>
      <w:r w:rsidR="00BA48FF">
        <w:t xml:space="preserve"> the interpretation of the reports filed of record. That being so, </w:t>
      </w:r>
      <w:r>
        <w:t>the</w:t>
      </w:r>
      <w:r w:rsidR="00BA48FF">
        <w:t xml:space="preserve"> conclusion </w:t>
      </w:r>
      <w:r w:rsidR="00D178DE">
        <w:t>can</w:t>
      </w:r>
      <w:r w:rsidR="00BA48FF">
        <w:t xml:space="preserve"> be drawn from the papers. </w:t>
      </w:r>
      <w:r w:rsidR="00D178DE">
        <w:t xml:space="preserve"> As such, there is no need for oral evidence.</w:t>
      </w:r>
      <w:r w:rsidR="00BA48FF">
        <w:t xml:space="preserve"> In that regard, they urge the court to apply the </w:t>
      </w:r>
      <w:r w:rsidR="00BA48FF" w:rsidRPr="00997BA6">
        <w:rPr>
          <w:i/>
        </w:rPr>
        <w:t>Plascons Evans</w:t>
      </w:r>
      <w:r w:rsidR="00BA48FF">
        <w:t xml:space="preserve"> rule a</w:t>
      </w:r>
      <w:r w:rsidR="00D368BD">
        <w:t>n</w:t>
      </w:r>
      <w:r w:rsidR="00BA48FF">
        <w:t xml:space="preserve">d decide the matter on the papers as there are no material disputes of fact that need oral </w:t>
      </w:r>
      <w:r w:rsidR="00BA0514">
        <w:t>evidence.</w:t>
      </w:r>
      <w:r w:rsidR="00BA48FF">
        <w:t xml:space="preserve"> </w:t>
      </w:r>
      <w:r w:rsidR="00BC25C0">
        <w:t xml:space="preserve">They relied on the cases of </w:t>
      </w:r>
      <w:r w:rsidR="00BC25C0">
        <w:rPr>
          <w:i/>
        </w:rPr>
        <w:t xml:space="preserve">Supa Plant Investment (Pvt) Ltd </w:t>
      </w:r>
      <w:r w:rsidR="00BC25C0" w:rsidRPr="00827E15">
        <w:t>v</w:t>
      </w:r>
      <w:r w:rsidR="00BC25C0">
        <w:rPr>
          <w:i/>
        </w:rPr>
        <w:t xml:space="preserve"> Chidavaenzi </w:t>
      </w:r>
      <w:r w:rsidR="00BC25C0" w:rsidRPr="00BC25C0">
        <w:t>2009</w:t>
      </w:r>
      <w:r w:rsidR="00BC25C0">
        <w:t>,</w:t>
      </w:r>
      <w:r w:rsidR="00BC25C0" w:rsidRPr="00BC25C0">
        <w:t xml:space="preserve"> ZLR</w:t>
      </w:r>
      <w:r w:rsidR="00BC25C0">
        <w:t>,</w:t>
      </w:r>
      <w:r w:rsidR="00D368BD">
        <w:t xml:space="preserve"> 132 at 136F </w:t>
      </w:r>
      <w:r w:rsidR="00BC25C0" w:rsidRPr="00BC25C0">
        <w:t>G</w:t>
      </w:r>
      <w:r w:rsidR="00BC25C0">
        <w:t xml:space="preserve">, </w:t>
      </w:r>
      <w:r w:rsidR="00BC25C0">
        <w:rPr>
          <w:i/>
        </w:rPr>
        <w:t xml:space="preserve">Muzanenhamo </w:t>
      </w:r>
      <w:r w:rsidR="00BC25C0" w:rsidRPr="00827E15">
        <w:t>v</w:t>
      </w:r>
      <w:r w:rsidR="00BC25C0">
        <w:rPr>
          <w:i/>
        </w:rPr>
        <w:t xml:space="preserve"> Officer In </w:t>
      </w:r>
      <w:r>
        <w:rPr>
          <w:i/>
        </w:rPr>
        <w:t>Charge CID, Law and Order &amp; O</w:t>
      </w:r>
      <w:r w:rsidR="00BC25C0">
        <w:rPr>
          <w:i/>
        </w:rPr>
        <w:t xml:space="preserve">rs </w:t>
      </w:r>
      <w:r w:rsidR="00BC25C0" w:rsidRPr="00BC25C0">
        <w:t>CCZ 3/13</w:t>
      </w:r>
      <w:r w:rsidR="00BC25C0">
        <w:rPr>
          <w:i/>
        </w:rPr>
        <w:t xml:space="preserve">, </w:t>
      </w:r>
      <w:r w:rsidR="00BC25C0" w:rsidRPr="00BC25C0">
        <w:t>amongst o</w:t>
      </w:r>
      <w:r>
        <w:t>thers.</w:t>
      </w:r>
    </w:p>
    <w:p w:rsidR="00BA48FF" w:rsidRDefault="00827E15" w:rsidP="00BA48FF">
      <w:pPr>
        <w:spacing w:line="360" w:lineRule="auto"/>
        <w:jc w:val="both"/>
      </w:pPr>
      <w:r>
        <w:tab/>
      </w:r>
      <w:r w:rsidR="00BA48FF">
        <w:t xml:space="preserve">On the second preliminary point, the applicants admit that vehicle in issue is now with the police following a criminal report they made against the respondent.   They further </w:t>
      </w:r>
      <w:r w:rsidR="00A8519A">
        <w:t>concede</w:t>
      </w:r>
      <w:r w:rsidR="00BA48FF">
        <w:t xml:space="preserve"> that there is nothing left to deliver or to seek delivery of.</w:t>
      </w:r>
      <w:r>
        <w:t xml:space="preserve"> </w:t>
      </w:r>
      <w:r w:rsidR="007472D8">
        <w:t xml:space="preserve"> However</w:t>
      </w:r>
      <w:r w:rsidR="00A8519A">
        <w:t>,</w:t>
      </w:r>
      <w:r w:rsidR="007472D8">
        <w:t xml:space="preserve"> they state that the criminal matter is an </w:t>
      </w:r>
      <w:r w:rsidR="00BA0514">
        <w:t>ongoing</w:t>
      </w:r>
      <w:r w:rsidR="007472D8">
        <w:t xml:space="preserve"> process</w:t>
      </w:r>
      <w:r w:rsidR="00A8519A">
        <w:t xml:space="preserve"> therefore this court must hear and determine the matter in their favour.</w:t>
      </w:r>
    </w:p>
    <w:p w:rsidR="00522876" w:rsidRDefault="00827E15" w:rsidP="00BA48FF">
      <w:pPr>
        <w:spacing w:line="360" w:lineRule="auto"/>
        <w:jc w:val="both"/>
      </w:pPr>
      <w:r>
        <w:tab/>
      </w:r>
      <w:r w:rsidR="00A8519A">
        <w:t xml:space="preserve">In my considered view, as regards the first point </w:t>
      </w:r>
      <w:r w:rsidR="00A8519A" w:rsidRPr="00BA0514">
        <w:rPr>
          <w:i/>
        </w:rPr>
        <w:t>in limine,</w:t>
      </w:r>
      <w:r w:rsidR="00A8519A">
        <w:t xml:space="preserve"> without going into detail, just at a </w:t>
      </w:r>
      <w:r w:rsidR="00BA0514">
        <w:t>glance there</w:t>
      </w:r>
      <w:r w:rsidR="00A8519A">
        <w:t xml:space="preserve"> are so many technical details and questions that need further interrogation </w:t>
      </w:r>
      <w:r w:rsidR="00BA0514">
        <w:t>from and</w:t>
      </w:r>
      <w:r w:rsidR="00A8519A">
        <w:t xml:space="preserve"> explanations by those endowed with the expertise in the field </w:t>
      </w:r>
      <w:r w:rsidR="00D368BD">
        <w:t xml:space="preserve">of </w:t>
      </w:r>
      <w:r w:rsidR="00A8519A">
        <w:t>motor vehicle</w:t>
      </w:r>
      <w:r w:rsidR="00D368BD">
        <w:t>s,</w:t>
      </w:r>
      <w:r w:rsidR="00A8519A">
        <w:t xml:space="preserve"> </w:t>
      </w:r>
    </w:p>
    <w:p w:rsidR="00522876" w:rsidRDefault="00522876" w:rsidP="00BA48FF">
      <w:pPr>
        <w:spacing w:line="360" w:lineRule="auto"/>
        <w:jc w:val="both"/>
      </w:pPr>
    </w:p>
    <w:p w:rsidR="00A8519A" w:rsidRPr="00827E15" w:rsidRDefault="00A8519A" w:rsidP="00BA48FF">
      <w:pPr>
        <w:spacing w:line="360" w:lineRule="auto"/>
        <w:jc w:val="both"/>
      </w:pPr>
      <w:r>
        <w:t>mechanics and other related fields.</w:t>
      </w:r>
      <w:r w:rsidR="00BC25C0">
        <w:t xml:space="preserve"> </w:t>
      </w:r>
      <w:r w:rsidR="00D368BD">
        <w:t xml:space="preserve"> </w:t>
      </w:r>
      <w:r w:rsidR="00BC25C0">
        <w:t>For instance</w:t>
      </w:r>
      <w:r w:rsidR="00D368BD">
        <w:t>, there</w:t>
      </w:r>
      <w:r w:rsidR="003805F1">
        <w:t xml:space="preserve"> is need </w:t>
      </w:r>
      <w:r w:rsidR="00BC25C0">
        <w:t>for detailed explanation</w:t>
      </w:r>
      <w:r w:rsidR="003805F1">
        <w:t>s</w:t>
      </w:r>
      <w:r w:rsidR="00BC25C0">
        <w:t xml:space="preserve"> on the effect of pouring diesel fuel in a petrol car</w:t>
      </w:r>
      <w:r w:rsidR="003265D3">
        <w:t>.</w:t>
      </w:r>
      <w:r w:rsidR="00827E15">
        <w:t xml:space="preserve"> </w:t>
      </w:r>
      <w:r w:rsidR="00BC25C0">
        <w:t xml:space="preserve"> </w:t>
      </w:r>
      <w:r w:rsidR="003265D3">
        <w:t>W</w:t>
      </w:r>
      <w:r w:rsidR="00BC25C0">
        <w:t xml:space="preserve">hat instant remedial action is </w:t>
      </w:r>
      <w:r w:rsidR="00D368BD">
        <w:t xml:space="preserve">to </w:t>
      </w:r>
      <w:r w:rsidR="00BC25C0">
        <w:t>be taken</w:t>
      </w:r>
      <w:r w:rsidR="003805F1">
        <w:t xml:space="preserve"> in that scenario</w:t>
      </w:r>
      <w:r w:rsidR="00BC25C0">
        <w:t xml:space="preserve"> and was it taken</w:t>
      </w:r>
      <w:r w:rsidR="003265D3">
        <w:t>? What are the likely damages</w:t>
      </w:r>
      <w:r w:rsidR="003805F1">
        <w:t>,</w:t>
      </w:r>
      <w:r w:rsidR="003265D3">
        <w:t xml:space="preserve"> if the wrong procedure is </w:t>
      </w:r>
      <w:r w:rsidR="003805F1">
        <w:t>done</w:t>
      </w:r>
      <w:r w:rsidR="003265D3">
        <w:t xml:space="preserve"> at the onset of the problem?</w:t>
      </w:r>
      <w:r w:rsidR="00827E15">
        <w:t xml:space="preserve"> </w:t>
      </w:r>
      <w:r w:rsidR="003265D3">
        <w:t xml:space="preserve"> What could be the cause of the current faults? </w:t>
      </w:r>
      <w:r w:rsidR="00827E15">
        <w:t xml:space="preserve"> </w:t>
      </w:r>
      <w:r w:rsidR="003265D3">
        <w:t xml:space="preserve">Are they latent or patent defects, and so </w:t>
      </w:r>
      <w:r w:rsidR="00827E15">
        <w:t>on?</w:t>
      </w:r>
      <w:r>
        <w:t xml:space="preserve">  </w:t>
      </w:r>
      <w:r w:rsidR="00BA0514">
        <w:t>However,</w:t>
      </w:r>
      <w:r w:rsidR="00270CF1">
        <w:t xml:space="preserve"> I need not make</w:t>
      </w:r>
      <w:r>
        <w:t xml:space="preserve"> a ruling on this point as I am of the view that the point of law is sufficient to dispose this matter.</w:t>
      </w:r>
      <w:r w:rsidR="00BC25C0">
        <w:t xml:space="preserve"> See, </w:t>
      </w:r>
      <w:r w:rsidR="00BC25C0">
        <w:rPr>
          <w:i/>
        </w:rPr>
        <w:t>Telecel Zimbabwe (</w:t>
      </w:r>
      <w:r w:rsidR="00827E15">
        <w:rPr>
          <w:i/>
        </w:rPr>
        <w:t>Pvt</w:t>
      </w:r>
      <w:r w:rsidR="00BC25C0">
        <w:rPr>
          <w:i/>
        </w:rPr>
        <w:t>)</w:t>
      </w:r>
      <w:r w:rsidR="00827E15">
        <w:rPr>
          <w:i/>
        </w:rPr>
        <w:t xml:space="preserve"> Ltd</w:t>
      </w:r>
      <w:r w:rsidR="00BC25C0">
        <w:rPr>
          <w:i/>
        </w:rPr>
        <w:t xml:space="preserve"> </w:t>
      </w:r>
      <w:r w:rsidR="00BC25C0" w:rsidRPr="00827E15">
        <w:t xml:space="preserve">v </w:t>
      </w:r>
      <w:r w:rsidR="00BC25C0">
        <w:rPr>
          <w:i/>
        </w:rPr>
        <w:t>Portraz &amp;</w:t>
      </w:r>
      <w:r w:rsidR="00827E15">
        <w:rPr>
          <w:i/>
        </w:rPr>
        <w:t xml:space="preserve"> O</w:t>
      </w:r>
      <w:r w:rsidR="00BC25C0">
        <w:rPr>
          <w:i/>
        </w:rPr>
        <w:t xml:space="preserve">rs </w:t>
      </w:r>
      <w:r w:rsidR="00BC25C0" w:rsidRPr="00827E15">
        <w:t>HH</w:t>
      </w:r>
      <w:r w:rsidR="00827E15">
        <w:t xml:space="preserve"> </w:t>
      </w:r>
      <w:r w:rsidR="00BC25C0" w:rsidRPr="00827E15">
        <w:t>446/15.</w:t>
      </w:r>
    </w:p>
    <w:p w:rsidR="001454C4" w:rsidRDefault="00827E15" w:rsidP="001454C4">
      <w:pPr>
        <w:spacing w:line="360" w:lineRule="auto"/>
        <w:jc w:val="both"/>
      </w:pPr>
      <w:r>
        <w:tab/>
      </w:r>
      <w:r w:rsidR="00A8519A">
        <w:t>On that note,</w:t>
      </w:r>
      <w:r w:rsidR="001454C4" w:rsidRPr="001454C4">
        <w:t xml:space="preserve"> </w:t>
      </w:r>
      <w:r w:rsidR="001454C4">
        <w:t xml:space="preserve">the point of </w:t>
      </w:r>
      <w:r w:rsidR="00BA0514">
        <w:t>law converted</w:t>
      </w:r>
      <w:r w:rsidR="001454C4">
        <w:t xml:space="preserve"> to a preliminary point is th</w:t>
      </w:r>
      <w:r w:rsidR="00BC25C0">
        <w:t>at</w:t>
      </w:r>
      <w:r w:rsidR="00522876">
        <w:t>,</w:t>
      </w:r>
      <w:r w:rsidR="001454C4">
        <w:t xml:space="preserve"> of </w:t>
      </w:r>
      <w:r w:rsidR="001454C4" w:rsidRPr="001454C4">
        <w:rPr>
          <w:i/>
        </w:rPr>
        <w:t>brutum fulmen</w:t>
      </w:r>
      <w:r w:rsidR="00BA0514">
        <w:rPr>
          <w:i/>
        </w:rPr>
        <w:t>.</w:t>
      </w:r>
    </w:p>
    <w:p w:rsidR="00BA0514" w:rsidRPr="00B90D08" w:rsidRDefault="00BA0514" w:rsidP="00BA0514">
      <w:pPr>
        <w:spacing w:line="360" w:lineRule="auto"/>
        <w:jc w:val="both"/>
        <w:rPr>
          <w:i/>
        </w:rPr>
      </w:pPr>
      <w:r w:rsidRPr="00213C86">
        <w:rPr>
          <w:i/>
        </w:rPr>
        <w:t>Brutum fulmen</w:t>
      </w:r>
      <w:r>
        <w:rPr>
          <w:i/>
        </w:rPr>
        <w:t>,</w:t>
      </w:r>
      <w:r>
        <w:t xml:space="preserve"> simply means an ineffectual judgment.  In essence, </w:t>
      </w:r>
      <w:r w:rsidR="00827E15">
        <w:t>c</w:t>
      </w:r>
      <w:r>
        <w:t>ourts are reluctant to, or are loathe to the issuing or granting of ineffective judgments. In</w:t>
      </w:r>
      <w:r>
        <w:rPr>
          <w:i/>
        </w:rPr>
        <w:t xml:space="preserve"> </w:t>
      </w:r>
      <w:r w:rsidRPr="00213C86">
        <w:rPr>
          <w:i/>
        </w:rPr>
        <w:t>Madyavanhu</w:t>
      </w:r>
      <w:r>
        <w:rPr>
          <w:i/>
        </w:rPr>
        <w:t xml:space="preserve"> </w:t>
      </w:r>
      <w:r>
        <w:t xml:space="preserve">v </w:t>
      </w:r>
      <w:r w:rsidRPr="00213C86">
        <w:rPr>
          <w:i/>
        </w:rPr>
        <w:t xml:space="preserve">Cairns Foods Ltd </w:t>
      </w:r>
      <w:r w:rsidRPr="00213C86">
        <w:t>HH 298/21</w:t>
      </w:r>
      <w:r>
        <w:t xml:space="preserve">, it was </w:t>
      </w:r>
      <w:r w:rsidR="00827E15">
        <w:t>remarked that:</w:t>
      </w:r>
      <w:r w:rsidRPr="00213C86">
        <w:rPr>
          <w:i/>
        </w:rPr>
        <w:t xml:space="preserve">    </w:t>
      </w:r>
      <w:r>
        <w:t xml:space="preserve">         </w:t>
      </w:r>
      <w:r w:rsidR="002513B4">
        <w:t xml:space="preserve">  </w:t>
      </w:r>
    </w:p>
    <w:p w:rsidR="00BA0514" w:rsidRDefault="00827E15" w:rsidP="00BA0514">
      <w:pPr>
        <w:spacing w:line="360" w:lineRule="auto"/>
        <w:jc w:val="both"/>
      </w:pPr>
      <w:r>
        <w:tab/>
      </w:r>
      <w:r w:rsidRPr="00827E15">
        <w:rPr>
          <w:sz w:val="22"/>
          <w:szCs w:val="22"/>
        </w:rPr>
        <w:t>“</w:t>
      </w:r>
      <w:r w:rsidR="00BA0514" w:rsidRPr="00827E15">
        <w:rPr>
          <w:sz w:val="22"/>
          <w:szCs w:val="22"/>
        </w:rPr>
        <w:t xml:space="preserve">Courts do not grant orders for enforcement of judgment that are </w:t>
      </w:r>
      <w:r w:rsidR="00BA0514" w:rsidRPr="00827E15">
        <w:rPr>
          <w:i/>
          <w:sz w:val="22"/>
          <w:szCs w:val="22"/>
        </w:rPr>
        <w:t>brutum fulmen</w:t>
      </w:r>
      <w:r w:rsidR="00BA0514" w:rsidRPr="00827E15">
        <w:rPr>
          <w:sz w:val="22"/>
          <w:szCs w:val="22"/>
        </w:rPr>
        <w:t>.</w:t>
      </w:r>
      <w:r>
        <w:rPr>
          <w:sz w:val="22"/>
          <w:szCs w:val="22"/>
        </w:rPr>
        <w:t>”</w:t>
      </w:r>
      <w:r w:rsidR="00BA0514">
        <w:t xml:space="preserve">  See</w:t>
      </w:r>
    </w:p>
    <w:p w:rsidR="00BA0514" w:rsidRDefault="00BA0514" w:rsidP="00BA0514">
      <w:pPr>
        <w:spacing w:line="360" w:lineRule="auto"/>
        <w:jc w:val="both"/>
        <w:rPr>
          <w:i/>
        </w:rPr>
      </w:pPr>
      <w:r>
        <w:rPr>
          <w:i/>
        </w:rPr>
        <w:t xml:space="preserve"> Erica Ndewere </w:t>
      </w:r>
      <w:r w:rsidRPr="00827E15">
        <w:t>v</w:t>
      </w:r>
      <w:r w:rsidR="00827E15">
        <w:rPr>
          <w:i/>
        </w:rPr>
        <w:t xml:space="preserve"> President of Zimbabwe and Ors SC57</w:t>
      </w:r>
      <w:r w:rsidRPr="00827E15">
        <w:t>/22 at para 50.</w:t>
      </w:r>
      <w:r>
        <w:rPr>
          <w:i/>
        </w:rPr>
        <w:tab/>
      </w:r>
    </w:p>
    <w:p w:rsidR="001454C4" w:rsidRDefault="00D85C6F" w:rsidP="00BA48FF">
      <w:pPr>
        <w:spacing w:line="360" w:lineRule="auto"/>
        <w:jc w:val="both"/>
        <w:rPr>
          <w:i/>
        </w:rPr>
      </w:pPr>
      <w:r>
        <w:tab/>
      </w:r>
      <w:r w:rsidR="001454C4" w:rsidRPr="00BA0514">
        <w:t>In the cases of</w:t>
      </w:r>
      <w:r w:rsidR="001454C4">
        <w:rPr>
          <w:i/>
        </w:rPr>
        <w:t>,</w:t>
      </w:r>
      <w:r w:rsidR="00BA0514">
        <w:rPr>
          <w:i/>
        </w:rPr>
        <w:t xml:space="preserve"> </w:t>
      </w:r>
      <w:r w:rsidR="001454C4" w:rsidRPr="00B90D08">
        <w:rPr>
          <w:i/>
        </w:rPr>
        <w:t xml:space="preserve">Chaza </w:t>
      </w:r>
      <w:r w:rsidR="001454C4" w:rsidRPr="00B90D08">
        <w:t>v</w:t>
      </w:r>
      <w:r w:rsidR="001454C4" w:rsidRPr="00B90D08">
        <w:rPr>
          <w:i/>
        </w:rPr>
        <w:t xml:space="preserve"> Chawareba</w:t>
      </w:r>
      <w:r w:rsidR="001454C4">
        <w:t xml:space="preserve"> &amp; </w:t>
      </w:r>
      <w:r w:rsidR="001454C4" w:rsidRPr="00B90D08">
        <w:rPr>
          <w:i/>
        </w:rPr>
        <w:t>Anor</w:t>
      </w:r>
      <w:r w:rsidR="001454C4">
        <w:t xml:space="preserve"> SC 2/18; </w:t>
      </w:r>
      <w:r w:rsidR="001454C4" w:rsidRPr="00B90D08">
        <w:rPr>
          <w:i/>
        </w:rPr>
        <w:t xml:space="preserve">ZIMASCO Private Limited </w:t>
      </w:r>
      <w:r w:rsidR="001454C4" w:rsidRPr="00B90D08">
        <w:t>v</w:t>
      </w:r>
      <w:r w:rsidR="001454C4" w:rsidRPr="00B90D08">
        <w:rPr>
          <w:i/>
        </w:rPr>
        <w:t xml:space="preserve"> Marikano</w:t>
      </w:r>
      <w:r w:rsidR="001454C4">
        <w:t xml:space="preserve"> SC 130/11, it was noted that a question of law can be raised at any time in the course of proceedings. </w:t>
      </w:r>
      <w:r>
        <w:t xml:space="preserve"> </w:t>
      </w:r>
      <w:r w:rsidR="001454C4">
        <w:t>S</w:t>
      </w:r>
      <w:r w:rsidR="00A8519A">
        <w:t>ince</w:t>
      </w:r>
      <w:r w:rsidR="00522876">
        <w:t>,</w:t>
      </w:r>
      <w:r w:rsidR="00A8519A">
        <w:t xml:space="preserve"> it is not in dispute that the source of </w:t>
      </w:r>
      <w:r w:rsidR="001454C4">
        <w:t>contention</w:t>
      </w:r>
      <w:r w:rsidR="00191110">
        <w:t xml:space="preserve"> in this application</w:t>
      </w:r>
      <w:r w:rsidR="001454C4">
        <w:t>,</w:t>
      </w:r>
      <w:r w:rsidR="001454C4" w:rsidRPr="001454C4">
        <w:t xml:space="preserve"> </w:t>
      </w:r>
      <w:r w:rsidR="001454C4">
        <w:t>the courtesy vehicle,</w:t>
      </w:r>
      <w:r w:rsidR="00191110">
        <w:t xml:space="preserve"> </w:t>
      </w:r>
      <w:r w:rsidR="00A8519A">
        <w:t>is no longer</w:t>
      </w:r>
      <w:r w:rsidR="001454C4">
        <w:t>,</w:t>
      </w:r>
      <w:r w:rsidR="00A8519A">
        <w:t xml:space="preserve"> in the possession or custody of the respondent,</w:t>
      </w:r>
      <w:r w:rsidR="00BA0514">
        <w:t xml:space="preserve"> then</w:t>
      </w:r>
      <w:r w:rsidR="00A8519A">
        <w:t xml:space="preserve"> </w:t>
      </w:r>
      <w:r w:rsidR="00191110">
        <w:t xml:space="preserve">clearly </w:t>
      </w:r>
      <w:r w:rsidR="00A8519A">
        <w:t xml:space="preserve">an order compelling </w:t>
      </w:r>
      <w:r w:rsidR="00191110">
        <w:t xml:space="preserve">her </w:t>
      </w:r>
      <w:r w:rsidR="00A8519A">
        <w:t xml:space="preserve">to deliver that which </w:t>
      </w:r>
      <w:r w:rsidR="00191110">
        <w:t>she</w:t>
      </w:r>
      <w:r w:rsidR="00A8519A">
        <w:t xml:space="preserve"> no longer ha</w:t>
      </w:r>
      <w:r w:rsidR="00191110">
        <w:t>s</w:t>
      </w:r>
      <w:r w:rsidR="00A8519A">
        <w:t xml:space="preserve"> will be ineffectual and redundant. </w:t>
      </w:r>
      <w:r w:rsidR="00E2554A">
        <w:t xml:space="preserve">It has been </w:t>
      </w:r>
      <w:r w:rsidR="00191110">
        <w:t>superseded by events</w:t>
      </w:r>
      <w:r w:rsidR="00E2554A">
        <w:t xml:space="preserve"> and will serve no purpose.</w:t>
      </w:r>
      <w:r>
        <w:t xml:space="preserve"> </w:t>
      </w:r>
      <w:r w:rsidR="00E2554A">
        <w:t xml:space="preserve"> Applicant’s vehicle is </w:t>
      </w:r>
      <w:r w:rsidR="00BA48FF">
        <w:t xml:space="preserve">now in possession of the police making the relief sought </w:t>
      </w:r>
      <w:r w:rsidR="00BA48FF" w:rsidRPr="00213C86">
        <w:rPr>
          <w:i/>
        </w:rPr>
        <w:t>brutum fulmen</w:t>
      </w:r>
      <w:r w:rsidR="00BA48FF">
        <w:t>.</w:t>
      </w:r>
      <w:r w:rsidR="007472D8">
        <w:t xml:space="preserve"> </w:t>
      </w:r>
      <w:r w:rsidR="00BA48FF">
        <w:tab/>
      </w:r>
    </w:p>
    <w:p w:rsidR="001273BA" w:rsidRDefault="00191110" w:rsidP="00191110">
      <w:pPr>
        <w:spacing w:line="360" w:lineRule="auto"/>
        <w:jc w:val="both"/>
      </w:pPr>
      <w:r>
        <w:tab/>
        <w:t xml:space="preserve">As a </w:t>
      </w:r>
      <w:r w:rsidR="00BA0514">
        <w:t>result, applicants</w:t>
      </w:r>
      <w:r>
        <w:t xml:space="preserve"> cannot have </w:t>
      </w:r>
      <w:r w:rsidR="00BA0514">
        <w:t xml:space="preserve">their </w:t>
      </w:r>
      <w:r>
        <w:t xml:space="preserve">cake and eat it.  </w:t>
      </w:r>
      <w:r w:rsidR="00BA0514">
        <w:t>They</w:t>
      </w:r>
      <w:r>
        <w:t xml:space="preserve"> consciously elected to pursue a parallel suit, wherein they instructed the police to retrieve </w:t>
      </w:r>
      <w:r w:rsidR="00BA0514">
        <w:t>the motor</w:t>
      </w:r>
      <w:r>
        <w:t xml:space="preserve"> vehicle in </w:t>
      </w:r>
      <w:r w:rsidR="00BA0514">
        <w:t>questi</w:t>
      </w:r>
      <w:r w:rsidR="00522876">
        <w:t>on, f</w:t>
      </w:r>
      <w:r w:rsidR="00BA0514">
        <w:t>r</w:t>
      </w:r>
      <w:r w:rsidR="00522876">
        <w:t>o</w:t>
      </w:r>
      <w:r w:rsidR="00BA0514">
        <w:t xml:space="preserve">m the respondent, </w:t>
      </w:r>
      <w:r>
        <w:t>via the criminal proceedings route</w:t>
      </w:r>
      <w:r w:rsidR="00CC2A0E">
        <w:t xml:space="preserve"> thereby making the relief sought</w:t>
      </w:r>
      <w:r w:rsidR="00CC2A0E" w:rsidRPr="00CC2A0E">
        <w:rPr>
          <w:i/>
        </w:rPr>
        <w:t xml:space="preserve"> brutum fulme</w:t>
      </w:r>
      <w:r w:rsidR="00CC2A0E">
        <w:t>n</w:t>
      </w:r>
      <w:r w:rsidR="00BA0514">
        <w:t>.</w:t>
      </w:r>
    </w:p>
    <w:p w:rsidR="00E67C03" w:rsidRDefault="00D85C6F" w:rsidP="00FC7CFD">
      <w:pPr>
        <w:spacing w:line="360" w:lineRule="auto"/>
        <w:jc w:val="both"/>
      </w:pPr>
      <w:r>
        <w:tab/>
      </w:r>
      <w:r w:rsidR="001273BA">
        <w:t>Accordingly, the application is dismissed</w:t>
      </w:r>
      <w:r w:rsidR="00CC2A0E">
        <w:t xml:space="preserve"> on that ground</w:t>
      </w:r>
      <w:r w:rsidR="001273BA">
        <w:t xml:space="preserve"> with costs. </w:t>
      </w:r>
      <w:r w:rsidR="0019416D">
        <w:t xml:space="preserve">    </w:t>
      </w:r>
      <w:r w:rsidR="00634964">
        <w:t xml:space="preserve">   </w:t>
      </w:r>
      <w:r w:rsidR="00E67C03">
        <w:t xml:space="preserve">   </w:t>
      </w:r>
    </w:p>
    <w:p w:rsidR="00B90D08" w:rsidRDefault="00B90D08" w:rsidP="00FC7CFD">
      <w:pPr>
        <w:spacing w:line="360" w:lineRule="auto"/>
        <w:jc w:val="both"/>
      </w:pPr>
      <w:r>
        <w:tab/>
      </w:r>
    </w:p>
    <w:p w:rsidR="00E65FB9" w:rsidRDefault="00E65FB9" w:rsidP="00896182">
      <w:pPr>
        <w:spacing w:line="360" w:lineRule="auto"/>
        <w:jc w:val="both"/>
      </w:pPr>
    </w:p>
    <w:p w:rsidR="00522876" w:rsidRDefault="00522876" w:rsidP="00896182">
      <w:pPr>
        <w:spacing w:line="360" w:lineRule="auto"/>
        <w:jc w:val="both"/>
      </w:pPr>
    </w:p>
    <w:p w:rsidR="00E65FB9" w:rsidRDefault="00E65FB9">
      <w:pPr>
        <w:jc w:val="both"/>
        <w:rPr>
          <w:i/>
        </w:rPr>
      </w:pPr>
    </w:p>
    <w:p w:rsidR="00847A60" w:rsidRDefault="004B04F4">
      <w:pPr>
        <w:jc w:val="both"/>
      </w:pPr>
      <w:r>
        <w:rPr>
          <w:i/>
        </w:rPr>
        <w:t>Atherstone &amp; Cook</w:t>
      </w:r>
      <w:r w:rsidR="00E001E2">
        <w:t xml:space="preserve">, </w:t>
      </w:r>
      <w:r w:rsidR="008A7A6B">
        <w:t>applicant’s</w:t>
      </w:r>
      <w:r w:rsidR="0008262B" w:rsidRPr="009719FE">
        <w:t xml:space="preserve"> </w:t>
      </w:r>
      <w:r w:rsidR="009719FE">
        <w:t>l</w:t>
      </w:r>
      <w:r w:rsidR="0008262B" w:rsidRPr="009719FE">
        <w:t xml:space="preserve">egal </w:t>
      </w:r>
      <w:r w:rsidR="009719FE">
        <w:t>p</w:t>
      </w:r>
      <w:r w:rsidR="0008262B" w:rsidRPr="009719FE">
        <w:t>ractitioners</w:t>
      </w:r>
    </w:p>
    <w:p w:rsidR="001273BA" w:rsidRPr="00E001E2" w:rsidRDefault="004B04F4" w:rsidP="001273BA">
      <w:pPr>
        <w:jc w:val="both"/>
        <w:rPr>
          <w:i/>
        </w:rPr>
      </w:pPr>
      <w:r>
        <w:rPr>
          <w:i/>
        </w:rPr>
        <w:t>Matsika Legal Practitioners</w:t>
      </w:r>
      <w:r w:rsidR="001273BA">
        <w:t>, respondent’s</w:t>
      </w:r>
      <w:r w:rsidR="001273BA" w:rsidRPr="009719FE">
        <w:t xml:space="preserve"> </w:t>
      </w:r>
      <w:r w:rsidR="001273BA">
        <w:t>l</w:t>
      </w:r>
      <w:r w:rsidR="001273BA" w:rsidRPr="009719FE">
        <w:t xml:space="preserve">egal </w:t>
      </w:r>
      <w:r w:rsidR="001273BA">
        <w:t>p</w:t>
      </w:r>
      <w:r w:rsidR="001273BA" w:rsidRPr="009719FE">
        <w:t>ractitioners</w:t>
      </w:r>
    </w:p>
    <w:sectPr w:rsidR="001273BA" w:rsidRPr="00E001E2" w:rsidSect="00EE4C96">
      <w:headerReference w:type="default" r:id="rId6"/>
      <w:pgSz w:w="11906" w:h="16838"/>
      <w:pgMar w:top="1440" w:right="1440" w:bottom="1440" w:left="144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970" w:rsidRDefault="00D96970" w:rsidP="00EE4C96">
      <w:r>
        <w:separator/>
      </w:r>
    </w:p>
  </w:endnote>
  <w:endnote w:type="continuationSeparator" w:id="0">
    <w:p w:rsidR="00D96970" w:rsidRDefault="00D96970" w:rsidP="00EE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970" w:rsidRDefault="00D96970" w:rsidP="00EE4C96">
      <w:r>
        <w:separator/>
      </w:r>
    </w:p>
  </w:footnote>
  <w:footnote w:type="continuationSeparator" w:id="0">
    <w:p w:rsidR="00D96970" w:rsidRDefault="00D96970" w:rsidP="00EE4C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C96" w:rsidRDefault="00EE4C96">
    <w:pPr>
      <w:pStyle w:val="Header"/>
      <w:jc w:val="right"/>
    </w:pPr>
  </w:p>
  <w:p w:rsidR="00EE4C96" w:rsidRDefault="00EE4C96">
    <w:pPr>
      <w:pStyle w:val="Header"/>
      <w:jc w:val="right"/>
    </w:pPr>
  </w:p>
  <w:p w:rsidR="00EE4C96" w:rsidRDefault="00EE4C96">
    <w:pPr>
      <w:pStyle w:val="Header"/>
      <w:jc w:val="right"/>
    </w:pPr>
  </w:p>
  <w:p w:rsidR="00EE4C96" w:rsidRPr="00522876" w:rsidRDefault="00D96970">
    <w:pPr>
      <w:pStyle w:val="Header"/>
      <w:jc w:val="right"/>
      <w:rPr>
        <w:noProof/>
        <w:sz w:val="22"/>
        <w:szCs w:val="22"/>
      </w:rPr>
    </w:pPr>
    <w:sdt>
      <w:sdtPr>
        <w:id w:val="1551953449"/>
        <w:docPartObj>
          <w:docPartGallery w:val="Page Numbers (Top of Page)"/>
          <w:docPartUnique/>
        </w:docPartObj>
      </w:sdtPr>
      <w:sdtEndPr>
        <w:rPr>
          <w:noProof/>
          <w:sz w:val="22"/>
          <w:szCs w:val="22"/>
        </w:rPr>
      </w:sdtEndPr>
      <w:sdtContent>
        <w:r w:rsidR="00EE4C96" w:rsidRPr="00522876">
          <w:rPr>
            <w:sz w:val="22"/>
            <w:szCs w:val="22"/>
          </w:rPr>
          <w:fldChar w:fldCharType="begin"/>
        </w:r>
        <w:r w:rsidR="00EE4C96" w:rsidRPr="00522876">
          <w:rPr>
            <w:sz w:val="22"/>
            <w:szCs w:val="22"/>
          </w:rPr>
          <w:instrText xml:space="preserve"> PAGE   \* MERGEFORMAT </w:instrText>
        </w:r>
        <w:r w:rsidR="00EE4C96" w:rsidRPr="00522876">
          <w:rPr>
            <w:sz w:val="22"/>
            <w:szCs w:val="22"/>
          </w:rPr>
          <w:fldChar w:fldCharType="separate"/>
        </w:r>
        <w:r w:rsidR="00BA4C70">
          <w:rPr>
            <w:noProof/>
            <w:sz w:val="22"/>
            <w:szCs w:val="22"/>
          </w:rPr>
          <w:t>1</w:t>
        </w:r>
        <w:r w:rsidR="00EE4C96" w:rsidRPr="00522876">
          <w:rPr>
            <w:noProof/>
            <w:sz w:val="22"/>
            <w:szCs w:val="22"/>
          </w:rPr>
          <w:fldChar w:fldCharType="end"/>
        </w:r>
      </w:sdtContent>
    </w:sdt>
  </w:p>
  <w:p w:rsidR="00EE4C96" w:rsidRPr="00522876" w:rsidRDefault="00EE4C96">
    <w:pPr>
      <w:pStyle w:val="Header"/>
      <w:jc w:val="right"/>
      <w:rPr>
        <w:noProof/>
        <w:sz w:val="22"/>
        <w:szCs w:val="22"/>
      </w:rPr>
    </w:pPr>
    <w:r w:rsidRPr="00522876">
      <w:rPr>
        <w:noProof/>
        <w:sz w:val="22"/>
        <w:szCs w:val="22"/>
      </w:rPr>
      <w:t xml:space="preserve">HH </w:t>
    </w:r>
    <w:r w:rsidR="005D0389">
      <w:rPr>
        <w:noProof/>
        <w:sz w:val="22"/>
        <w:szCs w:val="22"/>
      </w:rPr>
      <w:t>718-22</w:t>
    </w:r>
  </w:p>
  <w:p w:rsidR="00EE4C96" w:rsidRPr="00522876" w:rsidRDefault="00EE4C96">
    <w:pPr>
      <w:pStyle w:val="Header"/>
      <w:jc w:val="right"/>
      <w:rPr>
        <w:sz w:val="22"/>
        <w:szCs w:val="22"/>
      </w:rPr>
    </w:pPr>
    <w:r w:rsidRPr="00522876">
      <w:rPr>
        <w:noProof/>
        <w:sz w:val="22"/>
        <w:szCs w:val="22"/>
      </w:rPr>
      <w:t xml:space="preserve">HC </w:t>
    </w:r>
    <w:r w:rsidR="007B5622" w:rsidRPr="00522876">
      <w:rPr>
        <w:noProof/>
        <w:sz w:val="22"/>
        <w:szCs w:val="22"/>
      </w:rPr>
      <w:t>4169/22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60"/>
    <w:rsid w:val="00050F37"/>
    <w:rsid w:val="000773C9"/>
    <w:rsid w:val="0008262B"/>
    <w:rsid w:val="000971D4"/>
    <w:rsid w:val="000A6C8E"/>
    <w:rsid w:val="001273BA"/>
    <w:rsid w:val="001454C4"/>
    <w:rsid w:val="00183827"/>
    <w:rsid w:val="00191110"/>
    <w:rsid w:val="0019416D"/>
    <w:rsid w:val="001B427F"/>
    <w:rsid w:val="001C241A"/>
    <w:rsid w:val="001C5A9A"/>
    <w:rsid w:val="001D33E2"/>
    <w:rsid w:val="00210235"/>
    <w:rsid w:val="00213C86"/>
    <w:rsid w:val="00233E50"/>
    <w:rsid w:val="00241045"/>
    <w:rsid w:val="00241749"/>
    <w:rsid w:val="002513B4"/>
    <w:rsid w:val="00270CF1"/>
    <w:rsid w:val="002A4C95"/>
    <w:rsid w:val="002C3AFE"/>
    <w:rsid w:val="002F3568"/>
    <w:rsid w:val="00315D15"/>
    <w:rsid w:val="003237B7"/>
    <w:rsid w:val="003265D3"/>
    <w:rsid w:val="00353801"/>
    <w:rsid w:val="003609A7"/>
    <w:rsid w:val="003805F1"/>
    <w:rsid w:val="003C27DB"/>
    <w:rsid w:val="003E6DE9"/>
    <w:rsid w:val="003F1083"/>
    <w:rsid w:val="00447244"/>
    <w:rsid w:val="004812A0"/>
    <w:rsid w:val="00487783"/>
    <w:rsid w:val="00492555"/>
    <w:rsid w:val="004B04F4"/>
    <w:rsid w:val="004B13B3"/>
    <w:rsid w:val="004B3425"/>
    <w:rsid w:val="004F76E6"/>
    <w:rsid w:val="00506EFE"/>
    <w:rsid w:val="00522876"/>
    <w:rsid w:val="005309FD"/>
    <w:rsid w:val="005341BB"/>
    <w:rsid w:val="00543173"/>
    <w:rsid w:val="00593E25"/>
    <w:rsid w:val="005B26DC"/>
    <w:rsid w:val="005D0389"/>
    <w:rsid w:val="00625CE3"/>
    <w:rsid w:val="00634964"/>
    <w:rsid w:val="006610D8"/>
    <w:rsid w:val="00694E16"/>
    <w:rsid w:val="006A2D5F"/>
    <w:rsid w:val="006A32A3"/>
    <w:rsid w:val="006E341D"/>
    <w:rsid w:val="006E5A59"/>
    <w:rsid w:val="006F25EF"/>
    <w:rsid w:val="0072334E"/>
    <w:rsid w:val="007472D8"/>
    <w:rsid w:val="00762DB8"/>
    <w:rsid w:val="00774216"/>
    <w:rsid w:val="007936EA"/>
    <w:rsid w:val="007B5622"/>
    <w:rsid w:val="007D0BB7"/>
    <w:rsid w:val="007D25C4"/>
    <w:rsid w:val="007E2183"/>
    <w:rsid w:val="007F4C8A"/>
    <w:rsid w:val="00811DD6"/>
    <w:rsid w:val="00820450"/>
    <w:rsid w:val="00827E15"/>
    <w:rsid w:val="00840AE0"/>
    <w:rsid w:val="00847A60"/>
    <w:rsid w:val="00856793"/>
    <w:rsid w:val="00896182"/>
    <w:rsid w:val="008A7A6B"/>
    <w:rsid w:val="009167D1"/>
    <w:rsid w:val="00961988"/>
    <w:rsid w:val="009719FE"/>
    <w:rsid w:val="009817CC"/>
    <w:rsid w:val="0098188E"/>
    <w:rsid w:val="00997BA6"/>
    <w:rsid w:val="009A569A"/>
    <w:rsid w:val="009B5685"/>
    <w:rsid w:val="009C14AB"/>
    <w:rsid w:val="009D2793"/>
    <w:rsid w:val="009F3E2A"/>
    <w:rsid w:val="00A10C8C"/>
    <w:rsid w:val="00A26907"/>
    <w:rsid w:val="00A431F2"/>
    <w:rsid w:val="00A5550D"/>
    <w:rsid w:val="00A8519A"/>
    <w:rsid w:val="00A854A0"/>
    <w:rsid w:val="00B01B86"/>
    <w:rsid w:val="00B030D5"/>
    <w:rsid w:val="00B5119A"/>
    <w:rsid w:val="00B805FF"/>
    <w:rsid w:val="00B90D08"/>
    <w:rsid w:val="00BA0514"/>
    <w:rsid w:val="00BA48FF"/>
    <w:rsid w:val="00BA4C70"/>
    <w:rsid w:val="00BB1C43"/>
    <w:rsid w:val="00BC25C0"/>
    <w:rsid w:val="00BF5142"/>
    <w:rsid w:val="00C62135"/>
    <w:rsid w:val="00C80699"/>
    <w:rsid w:val="00C80730"/>
    <w:rsid w:val="00CB302F"/>
    <w:rsid w:val="00CC2A0E"/>
    <w:rsid w:val="00D015DD"/>
    <w:rsid w:val="00D07FAD"/>
    <w:rsid w:val="00D15FBA"/>
    <w:rsid w:val="00D178DE"/>
    <w:rsid w:val="00D213ED"/>
    <w:rsid w:val="00D27E9A"/>
    <w:rsid w:val="00D368BD"/>
    <w:rsid w:val="00D64C57"/>
    <w:rsid w:val="00D84D43"/>
    <w:rsid w:val="00D85C6F"/>
    <w:rsid w:val="00D96970"/>
    <w:rsid w:val="00DA23AA"/>
    <w:rsid w:val="00DA2F7B"/>
    <w:rsid w:val="00DA372F"/>
    <w:rsid w:val="00DA6848"/>
    <w:rsid w:val="00DC1B8C"/>
    <w:rsid w:val="00DD4033"/>
    <w:rsid w:val="00DE784A"/>
    <w:rsid w:val="00DF68BC"/>
    <w:rsid w:val="00E001E2"/>
    <w:rsid w:val="00E012E0"/>
    <w:rsid w:val="00E2554A"/>
    <w:rsid w:val="00E263A5"/>
    <w:rsid w:val="00E5118C"/>
    <w:rsid w:val="00E656A4"/>
    <w:rsid w:val="00E65FB9"/>
    <w:rsid w:val="00E67C03"/>
    <w:rsid w:val="00EA65C2"/>
    <w:rsid w:val="00EE4C96"/>
    <w:rsid w:val="00F3196A"/>
    <w:rsid w:val="00F33994"/>
    <w:rsid w:val="00F53E7D"/>
    <w:rsid w:val="00F55A2A"/>
    <w:rsid w:val="00F637C3"/>
    <w:rsid w:val="00F73645"/>
    <w:rsid w:val="00FA2F18"/>
    <w:rsid w:val="00FB4FD1"/>
    <w:rsid w:val="00FB6725"/>
    <w:rsid w:val="00FC3C9D"/>
    <w:rsid w:val="00FC7CFD"/>
    <w:rsid w:val="00FE60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205830-DCAD-4F35-A146-9C09A5FD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Cs w:val="24"/>
        <w:lang w:val="en-ZW"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EE4C9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E4C96"/>
    <w:rPr>
      <w:rFonts w:cs="Mangal"/>
      <w:sz w:val="24"/>
      <w:szCs w:val="21"/>
    </w:rPr>
  </w:style>
  <w:style w:type="paragraph" w:styleId="Footer">
    <w:name w:val="footer"/>
    <w:basedOn w:val="Normal"/>
    <w:link w:val="FooterChar"/>
    <w:uiPriority w:val="99"/>
    <w:unhideWhenUsed/>
    <w:rsid w:val="00EE4C9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EE4C96"/>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dc:description/>
  <cp:lastModifiedBy>JSC</cp:lastModifiedBy>
  <cp:revision>2</cp:revision>
  <cp:lastPrinted>2022-10-13T11:22:00Z</cp:lastPrinted>
  <dcterms:created xsi:type="dcterms:W3CDTF">2022-10-21T09:05:00Z</dcterms:created>
  <dcterms:modified xsi:type="dcterms:W3CDTF">2022-10-21T09:05:00Z</dcterms:modified>
  <dc:language>en-ZW</dc:language>
</cp:coreProperties>
</file>