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802A9B" w:rsidP="00802A9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CRIEF</w:t>
      </w:r>
      <w:r w:rsidR="00133E79">
        <w:rPr>
          <w:rFonts w:ascii="Times New Roman" w:hAnsi="Times New Roman" w:cs="Times New Roman"/>
          <w:sz w:val="24"/>
          <w:szCs w:val="24"/>
        </w:rPr>
        <w:t>F</w:t>
      </w:r>
      <w:r>
        <w:rPr>
          <w:rFonts w:ascii="Times New Roman" w:hAnsi="Times New Roman" w:cs="Times New Roman"/>
          <w:sz w:val="24"/>
          <w:szCs w:val="24"/>
        </w:rPr>
        <w:t xml:space="preserve"> INVESTMENTS (PVT) LTD</w:t>
      </w:r>
    </w:p>
    <w:p w:rsidR="00802A9B" w:rsidRDefault="00802A9B" w:rsidP="00802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02A9B" w:rsidRDefault="009F4F1F" w:rsidP="00802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ALDAWILIA INVE</w:t>
      </w:r>
      <w:r w:rsidR="004E7AB7">
        <w:rPr>
          <w:rFonts w:ascii="Times New Roman" w:hAnsi="Times New Roman" w:cs="Times New Roman"/>
          <w:sz w:val="24"/>
          <w:szCs w:val="24"/>
        </w:rPr>
        <w:t>S</w:t>
      </w:r>
      <w:r>
        <w:rPr>
          <w:rFonts w:ascii="Times New Roman" w:hAnsi="Times New Roman" w:cs="Times New Roman"/>
          <w:sz w:val="24"/>
          <w:szCs w:val="24"/>
        </w:rPr>
        <w:t>T</w:t>
      </w:r>
      <w:r w:rsidR="004E7AB7">
        <w:rPr>
          <w:rFonts w:ascii="Times New Roman" w:hAnsi="Times New Roman" w:cs="Times New Roman"/>
          <w:sz w:val="24"/>
          <w:szCs w:val="24"/>
        </w:rPr>
        <w:t>MENTS (PVT) LTD</w:t>
      </w:r>
    </w:p>
    <w:p w:rsidR="00802A9B" w:rsidRDefault="00802A9B" w:rsidP="00802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02A9B" w:rsidRDefault="00802A9B" w:rsidP="00802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GRANT HOME CENTRE (PVT) LTD</w:t>
      </w:r>
    </w:p>
    <w:p w:rsidR="00802A9B" w:rsidRDefault="00802A9B" w:rsidP="00802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02A9B" w:rsidRDefault="00802A9B" w:rsidP="00802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TAPIWA GIVEMORE KASUSO</w:t>
      </w:r>
    </w:p>
    <w:p w:rsidR="00802A9B" w:rsidRDefault="00802A9B" w:rsidP="00802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02A9B" w:rsidRDefault="00802A9B" w:rsidP="00802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STEWART NYAMUSHAYA</w:t>
      </w:r>
    </w:p>
    <w:p w:rsidR="00802A9B" w:rsidRDefault="00802A9B" w:rsidP="00802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02A9B" w:rsidRDefault="00802A9B" w:rsidP="00802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DEEDS</w:t>
      </w:r>
    </w:p>
    <w:p w:rsidR="00802A9B" w:rsidRDefault="00802A9B" w:rsidP="00802A9B">
      <w:pPr>
        <w:spacing w:after="0" w:line="360" w:lineRule="auto"/>
        <w:jc w:val="both"/>
        <w:rPr>
          <w:rFonts w:ascii="Times New Roman" w:hAnsi="Times New Roman" w:cs="Times New Roman"/>
          <w:sz w:val="24"/>
          <w:szCs w:val="24"/>
        </w:rPr>
      </w:pPr>
    </w:p>
    <w:p w:rsidR="00802A9B" w:rsidRDefault="00802A9B" w:rsidP="00802A9B">
      <w:pPr>
        <w:spacing w:after="0" w:line="360" w:lineRule="auto"/>
        <w:jc w:val="both"/>
        <w:rPr>
          <w:rFonts w:ascii="Times New Roman" w:hAnsi="Times New Roman" w:cs="Times New Roman"/>
          <w:sz w:val="24"/>
          <w:szCs w:val="24"/>
        </w:rPr>
      </w:pPr>
    </w:p>
    <w:p w:rsidR="00802A9B" w:rsidRDefault="00802A9B" w:rsidP="00802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02A9B" w:rsidRDefault="00802A9B" w:rsidP="00802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MUNANGATI-MANONGWA J</w:t>
      </w:r>
    </w:p>
    <w:p w:rsidR="00802A9B" w:rsidRDefault="00802A9B" w:rsidP="00802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16 October 2018</w:t>
      </w:r>
    </w:p>
    <w:p w:rsidR="00802A9B" w:rsidRDefault="00802A9B" w:rsidP="00802A9B">
      <w:pPr>
        <w:spacing w:after="0" w:line="360" w:lineRule="auto"/>
        <w:jc w:val="both"/>
        <w:rPr>
          <w:rFonts w:ascii="Times New Roman" w:hAnsi="Times New Roman" w:cs="Times New Roman"/>
          <w:sz w:val="24"/>
          <w:szCs w:val="24"/>
        </w:rPr>
      </w:pPr>
    </w:p>
    <w:p w:rsidR="00802A9B" w:rsidRDefault="00802A9B" w:rsidP="00802A9B">
      <w:pPr>
        <w:spacing w:after="0" w:line="360" w:lineRule="auto"/>
        <w:jc w:val="both"/>
        <w:rPr>
          <w:rFonts w:ascii="Times New Roman" w:hAnsi="Times New Roman" w:cs="Times New Roman"/>
          <w:sz w:val="24"/>
          <w:szCs w:val="24"/>
        </w:rPr>
      </w:pPr>
    </w:p>
    <w:p w:rsidR="00802A9B" w:rsidRPr="00802A9B" w:rsidRDefault="00802A9B" w:rsidP="00802A9B">
      <w:pPr>
        <w:spacing w:after="0" w:line="360" w:lineRule="auto"/>
        <w:jc w:val="both"/>
        <w:rPr>
          <w:rFonts w:ascii="Times New Roman" w:hAnsi="Times New Roman" w:cs="Times New Roman"/>
          <w:b/>
          <w:sz w:val="24"/>
          <w:szCs w:val="24"/>
        </w:rPr>
      </w:pPr>
      <w:r w:rsidRPr="00802A9B">
        <w:rPr>
          <w:rFonts w:ascii="Times New Roman" w:hAnsi="Times New Roman" w:cs="Times New Roman"/>
          <w:b/>
          <w:sz w:val="24"/>
          <w:szCs w:val="24"/>
        </w:rPr>
        <w:t xml:space="preserve">Trial </w:t>
      </w:r>
    </w:p>
    <w:p w:rsidR="00802A9B" w:rsidRDefault="00802A9B" w:rsidP="00802A9B">
      <w:pPr>
        <w:spacing w:after="0" w:line="360" w:lineRule="auto"/>
        <w:jc w:val="both"/>
        <w:rPr>
          <w:rFonts w:ascii="Times New Roman" w:hAnsi="Times New Roman" w:cs="Times New Roman"/>
          <w:sz w:val="24"/>
          <w:szCs w:val="24"/>
        </w:rPr>
      </w:pPr>
    </w:p>
    <w:p w:rsidR="0058780C" w:rsidRDefault="004D2252" w:rsidP="00802A9B">
      <w:pPr>
        <w:spacing w:after="0" w:line="240" w:lineRule="auto"/>
        <w:jc w:val="both"/>
        <w:rPr>
          <w:rFonts w:ascii="Times New Roman" w:hAnsi="Times New Roman" w:cs="Times New Roman"/>
          <w:sz w:val="24"/>
          <w:szCs w:val="24"/>
        </w:rPr>
      </w:pPr>
      <w:r w:rsidRPr="004D2252">
        <w:rPr>
          <w:rFonts w:ascii="Times New Roman" w:hAnsi="Times New Roman" w:cs="Times New Roman"/>
          <w:i/>
          <w:sz w:val="24"/>
          <w:szCs w:val="24"/>
        </w:rPr>
        <w:t>T Hove</w:t>
      </w:r>
      <w:r w:rsidR="00802A9B">
        <w:rPr>
          <w:rFonts w:ascii="Times New Roman" w:hAnsi="Times New Roman" w:cs="Times New Roman"/>
          <w:sz w:val="24"/>
          <w:szCs w:val="24"/>
        </w:rPr>
        <w:t>,</w:t>
      </w:r>
      <w:r w:rsidR="00CB0226">
        <w:rPr>
          <w:rFonts w:ascii="Times New Roman" w:hAnsi="Times New Roman" w:cs="Times New Roman"/>
          <w:sz w:val="24"/>
          <w:szCs w:val="24"/>
        </w:rPr>
        <w:t xml:space="preserve"> </w:t>
      </w:r>
      <w:r w:rsidR="00802A9B">
        <w:rPr>
          <w:rFonts w:ascii="Times New Roman" w:hAnsi="Times New Roman" w:cs="Times New Roman"/>
          <w:sz w:val="24"/>
          <w:szCs w:val="24"/>
        </w:rPr>
        <w:t>for the plaintiffs</w:t>
      </w:r>
    </w:p>
    <w:p w:rsidR="00802A9B" w:rsidRDefault="004D2252" w:rsidP="00802A9B">
      <w:pPr>
        <w:spacing w:after="0" w:line="240" w:lineRule="auto"/>
        <w:jc w:val="both"/>
        <w:rPr>
          <w:rFonts w:ascii="Times New Roman" w:hAnsi="Times New Roman" w:cs="Times New Roman"/>
          <w:sz w:val="24"/>
          <w:szCs w:val="24"/>
        </w:rPr>
      </w:pPr>
      <w:r w:rsidRPr="004D566C">
        <w:rPr>
          <w:rFonts w:ascii="Times New Roman" w:hAnsi="Times New Roman" w:cs="Times New Roman"/>
          <w:sz w:val="24"/>
          <w:szCs w:val="24"/>
        </w:rPr>
        <w:t>Ms</w:t>
      </w:r>
      <w:r w:rsidRPr="004D2252">
        <w:rPr>
          <w:rFonts w:ascii="Times New Roman" w:hAnsi="Times New Roman" w:cs="Times New Roman"/>
          <w:i/>
          <w:sz w:val="24"/>
          <w:szCs w:val="24"/>
        </w:rPr>
        <w:t xml:space="preserve"> </w:t>
      </w:r>
      <w:r w:rsidR="0058780C" w:rsidRPr="004D2252">
        <w:rPr>
          <w:rFonts w:ascii="Times New Roman" w:hAnsi="Times New Roman" w:cs="Times New Roman"/>
          <w:i/>
          <w:sz w:val="24"/>
          <w:szCs w:val="24"/>
        </w:rPr>
        <w:t>F Chinwawadzimba</w:t>
      </w:r>
      <w:r w:rsidR="0058780C">
        <w:rPr>
          <w:rFonts w:ascii="Times New Roman" w:hAnsi="Times New Roman" w:cs="Times New Roman"/>
          <w:sz w:val="24"/>
          <w:szCs w:val="24"/>
        </w:rPr>
        <w:t>,</w:t>
      </w:r>
      <w:r w:rsidR="00802A9B">
        <w:rPr>
          <w:rFonts w:ascii="Times New Roman" w:hAnsi="Times New Roman" w:cs="Times New Roman"/>
          <w:sz w:val="24"/>
          <w:szCs w:val="24"/>
        </w:rPr>
        <w:t xml:space="preserve"> for the </w:t>
      </w:r>
      <w:r w:rsidR="008C1BC4">
        <w:rPr>
          <w:rFonts w:ascii="Times New Roman" w:hAnsi="Times New Roman" w:cs="Times New Roman"/>
          <w:sz w:val="24"/>
          <w:szCs w:val="24"/>
        </w:rPr>
        <w:t>1</w:t>
      </w:r>
      <w:r w:rsidR="008C1BC4" w:rsidRPr="008C1BC4">
        <w:rPr>
          <w:rFonts w:ascii="Times New Roman" w:hAnsi="Times New Roman" w:cs="Times New Roman"/>
          <w:sz w:val="24"/>
          <w:szCs w:val="24"/>
          <w:vertAlign w:val="superscript"/>
        </w:rPr>
        <w:t>st</w:t>
      </w:r>
      <w:r w:rsidR="008C1BC4">
        <w:rPr>
          <w:rFonts w:ascii="Times New Roman" w:hAnsi="Times New Roman" w:cs="Times New Roman"/>
          <w:sz w:val="24"/>
          <w:szCs w:val="24"/>
        </w:rPr>
        <w:t xml:space="preserve"> </w:t>
      </w:r>
      <w:r w:rsidR="00802A9B">
        <w:rPr>
          <w:rFonts w:ascii="Times New Roman" w:hAnsi="Times New Roman" w:cs="Times New Roman"/>
          <w:sz w:val="24"/>
          <w:szCs w:val="24"/>
        </w:rPr>
        <w:t>defendant</w:t>
      </w:r>
    </w:p>
    <w:p w:rsidR="00802A9B" w:rsidRDefault="00802A9B" w:rsidP="00802A9B">
      <w:pPr>
        <w:spacing w:after="0" w:line="360" w:lineRule="auto"/>
        <w:jc w:val="both"/>
        <w:rPr>
          <w:rFonts w:ascii="Times New Roman" w:hAnsi="Times New Roman" w:cs="Times New Roman"/>
          <w:sz w:val="24"/>
          <w:szCs w:val="24"/>
        </w:rPr>
      </w:pPr>
    </w:p>
    <w:p w:rsidR="00622BFF" w:rsidRPr="00FB16B2" w:rsidRDefault="00FB16B2" w:rsidP="00622BF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2A9B" w:rsidRPr="00FB16B2">
        <w:rPr>
          <w:rFonts w:ascii="Times New Roman" w:hAnsi="Times New Roman" w:cs="Times New Roman"/>
          <w:sz w:val="24"/>
          <w:szCs w:val="24"/>
        </w:rPr>
        <w:t>MUNANGATI-MANONGWA J:</w:t>
      </w:r>
      <w:r w:rsidRPr="00FB16B2">
        <w:rPr>
          <w:rFonts w:ascii="Times New Roman" w:hAnsi="Times New Roman" w:cs="Times New Roman"/>
          <w:sz w:val="24"/>
          <w:szCs w:val="24"/>
        </w:rPr>
        <w:t xml:space="preserve"> </w:t>
      </w:r>
      <w:r w:rsidR="00D25597" w:rsidRPr="00FB16B2">
        <w:rPr>
          <w:rFonts w:ascii="Times New Roman" w:hAnsi="Times New Roman" w:cs="Times New Roman"/>
          <w:sz w:val="24"/>
          <w:szCs w:val="24"/>
        </w:rPr>
        <w:t xml:space="preserve">When parties appeared before </w:t>
      </w:r>
      <w:r w:rsidR="004D2252" w:rsidRPr="00FB16B2">
        <w:rPr>
          <w:rFonts w:ascii="Times New Roman" w:hAnsi="Times New Roman" w:cs="Times New Roman"/>
          <w:sz w:val="24"/>
          <w:szCs w:val="24"/>
        </w:rPr>
        <w:t xml:space="preserve">me </w:t>
      </w:r>
      <w:r w:rsidR="00D25597" w:rsidRPr="00FB16B2">
        <w:rPr>
          <w:rFonts w:ascii="Times New Roman" w:hAnsi="Times New Roman" w:cs="Times New Roman"/>
          <w:sz w:val="24"/>
          <w:szCs w:val="24"/>
        </w:rPr>
        <w:t>they agreed that th</w:t>
      </w:r>
      <w:r w:rsidR="00906399" w:rsidRPr="00FB16B2">
        <w:rPr>
          <w:rFonts w:ascii="Times New Roman" w:hAnsi="Times New Roman" w:cs="Times New Roman"/>
          <w:sz w:val="24"/>
          <w:szCs w:val="24"/>
        </w:rPr>
        <w:t>i</w:t>
      </w:r>
      <w:r w:rsidR="00D25597" w:rsidRPr="00FB16B2">
        <w:rPr>
          <w:rFonts w:ascii="Times New Roman" w:hAnsi="Times New Roman" w:cs="Times New Roman"/>
          <w:sz w:val="24"/>
          <w:szCs w:val="24"/>
        </w:rPr>
        <w:t xml:space="preserve">s matter proceeds as a </w:t>
      </w:r>
      <w:r w:rsidR="004D2252" w:rsidRPr="00FB16B2">
        <w:rPr>
          <w:rFonts w:ascii="Times New Roman" w:hAnsi="Times New Roman" w:cs="Times New Roman"/>
          <w:sz w:val="24"/>
          <w:szCs w:val="24"/>
        </w:rPr>
        <w:t>s</w:t>
      </w:r>
      <w:r w:rsidR="00906399" w:rsidRPr="00FB16B2">
        <w:rPr>
          <w:rFonts w:ascii="Times New Roman" w:hAnsi="Times New Roman" w:cs="Times New Roman"/>
          <w:sz w:val="24"/>
          <w:szCs w:val="24"/>
        </w:rPr>
        <w:t>t</w:t>
      </w:r>
      <w:r w:rsidR="004D2252" w:rsidRPr="00FB16B2">
        <w:rPr>
          <w:rFonts w:ascii="Times New Roman" w:hAnsi="Times New Roman" w:cs="Times New Roman"/>
          <w:sz w:val="24"/>
          <w:szCs w:val="24"/>
        </w:rPr>
        <w:t>at</w:t>
      </w:r>
      <w:r w:rsidR="00906399" w:rsidRPr="00FB16B2">
        <w:rPr>
          <w:rFonts w:ascii="Times New Roman" w:hAnsi="Times New Roman" w:cs="Times New Roman"/>
          <w:sz w:val="24"/>
          <w:szCs w:val="24"/>
        </w:rPr>
        <w:t xml:space="preserve">ed </w:t>
      </w:r>
      <w:r w:rsidR="00F05929" w:rsidRPr="00FB16B2">
        <w:rPr>
          <w:rFonts w:ascii="Times New Roman" w:hAnsi="Times New Roman" w:cs="Times New Roman"/>
          <w:sz w:val="24"/>
          <w:szCs w:val="24"/>
        </w:rPr>
        <w:t xml:space="preserve">case. </w:t>
      </w:r>
      <w:r>
        <w:rPr>
          <w:rFonts w:ascii="Times New Roman" w:hAnsi="Times New Roman" w:cs="Times New Roman"/>
          <w:sz w:val="24"/>
          <w:szCs w:val="24"/>
        </w:rPr>
        <w:t>The first p</w:t>
      </w:r>
      <w:r w:rsidR="00D25597" w:rsidRPr="00FB16B2">
        <w:rPr>
          <w:rFonts w:ascii="Times New Roman" w:hAnsi="Times New Roman" w:cs="Times New Roman"/>
          <w:sz w:val="24"/>
          <w:szCs w:val="24"/>
        </w:rPr>
        <w:t>laintiff is CRIEFF INVESTMENTS (PRIVATE) LIMITED, a company duly incorporated acc</w:t>
      </w:r>
      <w:r w:rsidR="003A1EFC" w:rsidRPr="00FB16B2">
        <w:rPr>
          <w:rFonts w:ascii="Times New Roman" w:hAnsi="Times New Roman" w:cs="Times New Roman"/>
          <w:sz w:val="24"/>
          <w:szCs w:val="24"/>
        </w:rPr>
        <w:t xml:space="preserve">ording to the laws of Zimbabwe, </w:t>
      </w:r>
      <w:r w:rsidR="00C414CD">
        <w:rPr>
          <w:rFonts w:ascii="Times New Roman" w:hAnsi="Times New Roman" w:cs="Times New Roman"/>
          <w:sz w:val="24"/>
          <w:szCs w:val="24"/>
        </w:rPr>
        <w:t>the second</w:t>
      </w:r>
      <w:r w:rsidR="00D25597" w:rsidRPr="00FB16B2">
        <w:rPr>
          <w:rFonts w:ascii="Times New Roman" w:hAnsi="Times New Roman" w:cs="Times New Roman"/>
          <w:sz w:val="24"/>
          <w:szCs w:val="24"/>
        </w:rPr>
        <w:t xml:space="preserve"> </w:t>
      </w:r>
      <w:r w:rsidR="00C414CD">
        <w:rPr>
          <w:rFonts w:ascii="Times New Roman" w:hAnsi="Times New Roman" w:cs="Times New Roman"/>
          <w:sz w:val="24"/>
          <w:szCs w:val="24"/>
        </w:rPr>
        <w:t>p</w:t>
      </w:r>
      <w:r w:rsidR="00D25597" w:rsidRPr="00FB16B2">
        <w:rPr>
          <w:rFonts w:ascii="Times New Roman" w:hAnsi="Times New Roman" w:cs="Times New Roman"/>
          <w:sz w:val="24"/>
          <w:szCs w:val="24"/>
        </w:rPr>
        <w:t>laintiff is ALDAWILI</w:t>
      </w:r>
      <w:r w:rsidR="003A1EFC" w:rsidRPr="00FB16B2">
        <w:rPr>
          <w:rFonts w:ascii="Times New Roman" w:hAnsi="Times New Roman" w:cs="Times New Roman"/>
          <w:sz w:val="24"/>
          <w:szCs w:val="24"/>
        </w:rPr>
        <w:t>A INVESTMENTS (PRIVATE) LIMITED</w:t>
      </w:r>
      <w:r w:rsidR="00D25597" w:rsidRPr="00FB16B2">
        <w:rPr>
          <w:rFonts w:ascii="Times New Roman" w:hAnsi="Times New Roman" w:cs="Times New Roman"/>
          <w:sz w:val="24"/>
          <w:szCs w:val="24"/>
        </w:rPr>
        <w:t xml:space="preserve">. The </w:t>
      </w:r>
      <w:r w:rsidR="00C414CD">
        <w:rPr>
          <w:rFonts w:ascii="Times New Roman" w:hAnsi="Times New Roman" w:cs="Times New Roman"/>
          <w:sz w:val="24"/>
          <w:szCs w:val="24"/>
        </w:rPr>
        <w:t>second p</w:t>
      </w:r>
      <w:r w:rsidR="00D25597" w:rsidRPr="00FB16B2">
        <w:rPr>
          <w:rFonts w:ascii="Times New Roman" w:hAnsi="Times New Roman" w:cs="Times New Roman"/>
          <w:sz w:val="24"/>
          <w:szCs w:val="24"/>
        </w:rPr>
        <w:t xml:space="preserve">laintiff changed its name to </w:t>
      </w:r>
      <w:r w:rsidR="00C414CD">
        <w:rPr>
          <w:rFonts w:ascii="Times New Roman" w:hAnsi="Times New Roman" w:cs="Times New Roman"/>
          <w:sz w:val="24"/>
          <w:szCs w:val="24"/>
        </w:rPr>
        <w:t>the first p</w:t>
      </w:r>
      <w:r w:rsidR="00D25597" w:rsidRPr="00FB16B2">
        <w:rPr>
          <w:rFonts w:ascii="Times New Roman" w:hAnsi="Times New Roman" w:cs="Times New Roman"/>
          <w:sz w:val="24"/>
          <w:szCs w:val="24"/>
        </w:rPr>
        <w:t>laintiff. In essence the</w:t>
      </w:r>
      <w:r w:rsidR="00C414CD">
        <w:rPr>
          <w:rFonts w:ascii="Times New Roman" w:hAnsi="Times New Roman" w:cs="Times New Roman"/>
          <w:sz w:val="24"/>
          <w:szCs w:val="24"/>
        </w:rPr>
        <w:t xml:space="preserve"> first </w:t>
      </w:r>
      <w:r w:rsidR="00D25597" w:rsidRPr="00FB16B2">
        <w:rPr>
          <w:rFonts w:ascii="Times New Roman" w:hAnsi="Times New Roman" w:cs="Times New Roman"/>
          <w:sz w:val="24"/>
          <w:szCs w:val="24"/>
        </w:rPr>
        <w:t xml:space="preserve">and </w:t>
      </w:r>
      <w:r w:rsidR="00C414CD">
        <w:rPr>
          <w:rFonts w:ascii="Times New Roman" w:hAnsi="Times New Roman" w:cs="Times New Roman"/>
          <w:sz w:val="24"/>
          <w:szCs w:val="24"/>
        </w:rPr>
        <w:t>the second p</w:t>
      </w:r>
      <w:r w:rsidR="00622BFF" w:rsidRPr="00FB16B2">
        <w:rPr>
          <w:rFonts w:ascii="Times New Roman" w:hAnsi="Times New Roman" w:cs="Times New Roman"/>
          <w:sz w:val="24"/>
          <w:szCs w:val="24"/>
        </w:rPr>
        <w:t>laintiff are</w:t>
      </w:r>
      <w:r w:rsidR="00D25597" w:rsidRPr="00FB16B2">
        <w:rPr>
          <w:rFonts w:ascii="Times New Roman" w:hAnsi="Times New Roman" w:cs="Times New Roman"/>
          <w:sz w:val="24"/>
          <w:szCs w:val="24"/>
        </w:rPr>
        <w:t xml:space="preserve"> one party. </w:t>
      </w:r>
      <w:r w:rsidR="00C414CD">
        <w:rPr>
          <w:rFonts w:ascii="Times New Roman" w:hAnsi="Times New Roman" w:cs="Times New Roman"/>
          <w:sz w:val="24"/>
          <w:szCs w:val="24"/>
        </w:rPr>
        <w:t>The first d</w:t>
      </w:r>
      <w:r w:rsidR="00D25597" w:rsidRPr="00FB16B2">
        <w:rPr>
          <w:rFonts w:ascii="Times New Roman" w:hAnsi="Times New Roman" w:cs="Times New Roman"/>
          <w:sz w:val="24"/>
          <w:szCs w:val="24"/>
        </w:rPr>
        <w:t xml:space="preserve">efendant is GRAND HOME CENTRE PRIVATE LIMITED, a company duly incorporated according to the laws of Zimbabwe and whose address for service is care of its legal practitioners of record. The </w:t>
      </w:r>
      <w:r w:rsidR="00C414CD">
        <w:rPr>
          <w:rFonts w:ascii="Times New Roman" w:hAnsi="Times New Roman" w:cs="Times New Roman"/>
          <w:sz w:val="24"/>
          <w:szCs w:val="24"/>
        </w:rPr>
        <w:t xml:space="preserve">second </w:t>
      </w:r>
      <w:r w:rsidR="00D25597" w:rsidRPr="00FB16B2">
        <w:rPr>
          <w:rFonts w:ascii="Times New Roman" w:hAnsi="Times New Roman" w:cs="Times New Roman"/>
          <w:sz w:val="24"/>
          <w:szCs w:val="24"/>
        </w:rPr>
        <w:t xml:space="preserve">and </w:t>
      </w:r>
      <w:r w:rsidR="00C414CD">
        <w:rPr>
          <w:rFonts w:ascii="Times New Roman" w:hAnsi="Times New Roman" w:cs="Times New Roman"/>
          <w:sz w:val="24"/>
          <w:szCs w:val="24"/>
        </w:rPr>
        <w:t>the third d</w:t>
      </w:r>
      <w:r w:rsidR="00D25597" w:rsidRPr="00FB16B2">
        <w:rPr>
          <w:rFonts w:ascii="Times New Roman" w:hAnsi="Times New Roman" w:cs="Times New Roman"/>
          <w:sz w:val="24"/>
          <w:szCs w:val="24"/>
        </w:rPr>
        <w:t xml:space="preserve">efendants </w:t>
      </w:r>
      <w:r w:rsidR="004D2252" w:rsidRPr="00FB16B2">
        <w:rPr>
          <w:rFonts w:ascii="Times New Roman" w:hAnsi="Times New Roman" w:cs="Times New Roman"/>
          <w:sz w:val="24"/>
          <w:szCs w:val="24"/>
        </w:rPr>
        <w:t>a</w:t>
      </w:r>
      <w:r w:rsidR="00D25597" w:rsidRPr="00FB16B2">
        <w:rPr>
          <w:rFonts w:ascii="Times New Roman" w:hAnsi="Times New Roman" w:cs="Times New Roman"/>
          <w:sz w:val="24"/>
          <w:szCs w:val="24"/>
        </w:rPr>
        <w:t xml:space="preserve">re male adults who had been acting </w:t>
      </w:r>
      <w:r w:rsidR="00C414CD">
        <w:rPr>
          <w:rFonts w:ascii="Times New Roman" w:hAnsi="Times New Roman" w:cs="Times New Roman"/>
          <w:sz w:val="24"/>
          <w:szCs w:val="24"/>
        </w:rPr>
        <w:t>as legal practitioners for the p</w:t>
      </w:r>
      <w:r w:rsidR="00D25597" w:rsidRPr="00FB16B2">
        <w:rPr>
          <w:rFonts w:ascii="Times New Roman" w:hAnsi="Times New Roman" w:cs="Times New Roman"/>
          <w:sz w:val="24"/>
          <w:szCs w:val="24"/>
        </w:rPr>
        <w:t>laintiffs</w:t>
      </w:r>
      <w:r w:rsidR="003A1EFC" w:rsidRPr="00FB16B2">
        <w:rPr>
          <w:rFonts w:ascii="Times New Roman" w:hAnsi="Times New Roman" w:cs="Times New Roman"/>
          <w:sz w:val="24"/>
          <w:szCs w:val="24"/>
        </w:rPr>
        <w:t>.</w:t>
      </w:r>
      <w:r w:rsidR="00D25597" w:rsidRPr="00FB16B2">
        <w:rPr>
          <w:rFonts w:ascii="Times New Roman" w:hAnsi="Times New Roman" w:cs="Times New Roman"/>
          <w:sz w:val="24"/>
          <w:szCs w:val="24"/>
        </w:rPr>
        <w:t xml:space="preserve"> The </w:t>
      </w:r>
      <w:r w:rsidR="00C414CD">
        <w:rPr>
          <w:rFonts w:ascii="Times New Roman" w:hAnsi="Times New Roman" w:cs="Times New Roman"/>
          <w:sz w:val="24"/>
          <w:szCs w:val="24"/>
        </w:rPr>
        <w:t>fourth and fifth</w:t>
      </w:r>
      <w:r w:rsidR="00D25597" w:rsidRPr="00FB16B2">
        <w:rPr>
          <w:rFonts w:ascii="Times New Roman" w:hAnsi="Times New Roman" w:cs="Times New Roman"/>
          <w:sz w:val="24"/>
          <w:szCs w:val="24"/>
        </w:rPr>
        <w:t xml:space="preserve"> </w:t>
      </w:r>
      <w:r w:rsidR="00C414CD">
        <w:rPr>
          <w:rFonts w:ascii="Times New Roman" w:hAnsi="Times New Roman" w:cs="Times New Roman"/>
          <w:sz w:val="24"/>
          <w:szCs w:val="24"/>
        </w:rPr>
        <w:t>d</w:t>
      </w:r>
      <w:r w:rsidR="00D25597" w:rsidRPr="00FB16B2">
        <w:rPr>
          <w:rFonts w:ascii="Times New Roman" w:hAnsi="Times New Roman" w:cs="Times New Roman"/>
          <w:sz w:val="24"/>
          <w:szCs w:val="24"/>
        </w:rPr>
        <w:t xml:space="preserve">efendants are cited in their official capacity. </w:t>
      </w:r>
    </w:p>
    <w:p w:rsidR="004D2252" w:rsidRPr="00FB16B2" w:rsidRDefault="00622BFF" w:rsidP="00622BFF">
      <w:pPr>
        <w:widowControl w:val="0"/>
        <w:spacing w:after="0" w:line="360" w:lineRule="auto"/>
        <w:ind w:firstLine="720"/>
        <w:jc w:val="both"/>
        <w:rPr>
          <w:rFonts w:ascii="Times New Roman" w:hAnsi="Times New Roman" w:cs="Times New Roman"/>
          <w:sz w:val="24"/>
          <w:szCs w:val="24"/>
        </w:rPr>
      </w:pPr>
      <w:r w:rsidRPr="00FB16B2">
        <w:rPr>
          <w:rFonts w:ascii="Times New Roman" w:hAnsi="Times New Roman" w:cs="Times New Roman"/>
          <w:sz w:val="24"/>
          <w:szCs w:val="24"/>
        </w:rPr>
        <w:t xml:space="preserve">The agreed facts are as follows; </w:t>
      </w:r>
      <w:r w:rsidR="00AC3458" w:rsidRPr="00FB16B2">
        <w:rPr>
          <w:rFonts w:ascii="Times New Roman" w:hAnsi="Times New Roman" w:cs="Times New Roman"/>
          <w:sz w:val="24"/>
          <w:szCs w:val="24"/>
        </w:rPr>
        <w:t>t</w:t>
      </w:r>
      <w:r w:rsidR="00A35456">
        <w:rPr>
          <w:rFonts w:ascii="Times New Roman" w:hAnsi="Times New Roman" w:cs="Times New Roman"/>
          <w:sz w:val="24"/>
          <w:szCs w:val="24"/>
        </w:rPr>
        <w:t>he p</w:t>
      </w:r>
      <w:r w:rsidR="00D25597" w:rsidRPr="00FB16B2">
        <w:rPr>
          <w:rFonts w:ascii="Times New Roman" w:hAnsi="Times New Roman" w:cs="Times New Roman"/>
          <w:sz w:val="24"/>
          <w:szCs w:val="24"/>
        </w:rPr>
        <w:t xml:space="preserve">laintiffs are the owners </w:t>
      </w:r>
      <w:r w:rsidR="00BA1655" w:rsidRPr="00FB16B2">
        <w:rPr>
          <w:rFonts w:ascii="Times New Roman" w:hAnsi="Times New Roman" w:cs="Times New Roman"/>
          <w:sz w:val="24"/>
          <w:szCs w:val="24"/>
        </w:rPr>
        <w:t>of the immovable property</w:t>
      </w:r>
      <w:r w:rsidR="00D25597" w:rsidRPr="00FB16B2">
        <w:rPr>
          <w:rFonts w:ascii="Times New Roman" w:hAnsi="Times New Roman" w:cs="Times New Roman"/>
          <w:sz w:val="24"/>
          <w:szCs w:val="24"/>
        </w:rPr>
        <w:t xml:space="preserve"> </w:t>
      </w:r>
      <w:r w:rsidR="00CB0226" w:rsidRPr="00FB16B2">
        <w:rPr>
          <w:rFonts w:ascii="Times New Roman" w:hAnsi="Times New Roman" w:cs="Times New Roman"/>
          <w:sz w:val="24"/>
          <w:szCs w:val="24"/>
        </w:rPr>
        <w:t>called stand</w:t>
      </w:r>
      <w:r w:rsidR="00BA1655" w:rsidRPr="00FB16B2">
        <w:rPr>
          <w:rFonts w:ascii="Times New Roman" w:hAnsi="Times New Roman" w:cs="Times New Roman"/>
          <w:sz w:val="24"/>
          <w:szCs w:val="24"/>
        </w:rPr>
        <w:t xml:space="preserve"> </w:t>
      </w:r>
      <w:r w:rsidR="00D25597" w:rsidRPr="00FB16B2">
        <w:rPr>
          <w:rFonts w:ascii="Times New Roman" w:hAnsi="Times New Roman" w:cs="Times New Roman"/>
          <w:sz w:val="24"/>
          <w:szCs w:val="24"/>
        </w:rPr>
        <w:t>346 Be</w:t>
      </w:r>
      <w:r w:rsidR="00AC3458" w:rsidRPr="00FB16B2">
        <w:rPr>
          <w:rFonts w:ascii="Times New Roman" w:hAnsi="Times New Roman" w:cs="Times New Roman"/>
          <w:sz w:val="24"/>
          <w:szCs w:val="24"/>
        </w:rPr>
        <w:t>verly East Township</w:t>
      </w:r>
      <w:r w:rsidR="00CB0226" w:rsidRPr="00FB16B2">
        <w:rPr>
          <w:rFonts w:ascii="Times New Roman" w:hAnsi="Times New Roman" w:cs="Times New Roman"/>
          <w:sz w:val="24"/>
          <w:szCs w:val="24"/>
        </w:rPr>
        <w:t>, Salisbury. It is common cause</w:t>
      </w:r>
      <w:r w:rsidR="00AC3458" w:rsidRPr="00FB16B2">
        <w:rPr>
          <w:rFonts w:ascii="Times New Roman" w:hAnsi="Times New Roman" w:cs="Times New Roman"/>
          <w:sz w:val="24"/>
          <w:szCs w:val="24"/>
        </w:rPr>
        <w:t xml:space="preserve"> </w:t>
      </w:r>
      <w:r w:rsidR="00665C24" w:rsidRPr="00FB16B2">
        <w:rPr>
          <w:rFonts w:ascii="Times New Roman" w:hAnsi="Times New Roman" w:cs="Times New Roman"/>
          <w:sz w:val="24"/>
          <w:szCs w:val="24"/>
        </w:rPr>
        <w:t xml:space="preserve">that the Plaintiffs </w:t>
      </w:r>
      <w:r w:rsidR="00AC3458" w:rsidRPr="00FB16B2">
        <w:rPr>
          <w:rFonts w:ascii="Times New Roman" w:hAnsi="Times New Roman" w:cs="Times New Roman"/>
          <w:sz w:val="24"/>
          <w:szCs w:val="24"/>
        </w:rPr>
        <w:t>enga</w:t>
      </w:r>
      <w:r w:rsidR="00D25597" w:rsidRPr="00FB16B2">
        <w:rPr>
          <w:rFonts w:ascii="Times New Roman" w:hAnsi="Times New Roman" w:cs="Times New Roman"/>
          <w:sz w:val="24"/>
          <w:szCs w:val="24"/>
        </w:rPr>
        <w:t>ged the</w:t>
      </w:r>
      <w:r w:rsidR="00C414CD">
        <w:rPr>
          <w:rFonts w:ascii="Times New Roman" w:hAnsi="Times New Roman" w:cs="Times New Roman"/>
          <w:sz w:val="24"/>
          <w:szCs w:val="24"/>
        </w:rPr>
        <w:t xml:space="preserve"> second</w:t>
      </w:r>
      <w:r w:rsidR="00A35456">
        <w:rPr>
          <w:rFonts w:ascii="Times New Roman" w:hAnsi="Times New Roman" w:cs="Times New Roman"/>
          <w:sz w:val="24"/>
          <w:szCs w:val="24"/>
        </w:rPr>
        <w:t xml:space="preserve"> </w:t>
      </w:r>
      <w:r w:rsidR="00D25597" w:rsidRPr="00FB16B2">
        <w:rPr>
          <w:rFonts w:ascii="Times New Roman" w:hAnsi="Times New Roman" w:cs="Times New Roman"/>
          <w:sz w:val="24"/>
          <w:szCs w:val="24"/>
        </w:rPr>
        <w:t xml:space="preserve">and </w:t>
      </w:r>
      <w:r w:rsidR="00C414CD">
        <w:rPr>
          <w:rFonts w:ascii="Times New Roman" w:hAnsi="Times New Roman" w:cs="Times New Roman"/>
          <w:sz w:val="24"/>
          <w:szCs w:val="24"/>
        </w:rPr>
        <w:t>the third</w:t>
      </w:r>
      <w:r w:rsidR="00A35456">
        <w:rPr>
          <w:rFonts w:ascii="Times New Roman" w:hAnsi="Times New Roman" w:cs="Times New Roman"/>
          <w:sz w:val="24"/>
          <w:szCs w:val="24"/>
        </w:rPr>
        <w:t xml:space="preserve"> d</w:t>
      </w:r>
      <w:r w:rsidR="00D25597" w:rsidRPr="00FB16B2">
        <w:rPr>
          <w:rFonts w:ascii="Times New Roman" w:hAnsi="Times New Roman" w:cs="Times New Roman"/>
          <w:sz w:val="24"/>
          <w:szCs w:val="24"/>
        </w:rPr>
        <w:t xml:space="preserve">efendants as their legal representatives to represent them in various matters. Sometime in 2009 the </w:t>
      </w:r>
      <w:r w:rsidR="00C414CD">
        <w:rPr>
          <w:rFonts w:ascii="Times New Roman" w:hAnsi="Times New Roman" w:cs="Times New Roman"/>
          <w:sz w:val="24"/>
          <w:szCs w:val="24"/>
        </w:rPr>
        <w:t>second</w:t>
      </w:r>
      <w:r w:rsidR="00A35456">
        <w:rPr>
          <w:rFonts w:ascii="Times New Roman" w:hAnsi="Times New Roman" w:cs="Times New Roman"/>
          <w:sz w:val="24"/>
          <w:szCs w:val="24"/>
        </w:rPr>
        <w:t xml:space="preserve"> </w:t>
      </w:r>
      <w:r w:rsidR="00D25597" w:rsidRPr="00FB16B2">
        <w:rPr>
          <w:rFonts w:ascii="Times New Roman" w:hAnsi="Times New Roman" w:cs="Times New Roman"/>
          <w:sz w:val="24"/>
          <w:szCs w:val="24"/>
        </w:rPr>
        <w:t xml:space="preserve">and </w:t>
      </w:r>
      <w:r w:rsidR="00C414CD">
        <w:rPr>
          <w:rFonts w:ascii="Times New Roman" w:hAnsi="Times New Roman" w:cs="Times New Roman"/>
          <w:sz w:val="24"/>
          <w:szCs w:val="24"/>
        </w:rPr>
        <w:t>the third</w:t>
      </w:r>
      <w:r w:rsidR="00A35456">
        <w:rPr>
          <w:rFonts w:ascii="Times New Roman" w:hAnsi="Times New Roman" w:cs="Times New Roman"/>
          <w:sz w:val="24"/>
          <w:szCs w:val="24"/>
        </w:rPr>
        <w:t xml:space="preserve"> d</w:t>
      </w:r>
      <w:r w:rsidR="00D25597" w:rsidRPr="00FB16B2">
        <w:rPr>
          <w:rFonts w:ascii="Times New Roman" w:hAnsi="Times New Roman" w:cs="Times New Roman"/>
          <w:sz w:val="24"/>
          <w:szCs w:val="24"/>
        </w:rPr>
        <w:t>efendants sold the Plaintiffs’ immovable property to the</w:t>
      </w:r>
      <w:r w:rsidR="00C414CD">
        <w:rPr>
          <w:rFonts w:ascii="Times New Roman" w:hAnsi="Times New Roman" w:cs="Times New Roman"/>
          <w:sz w:val="24"/>
          <w:szCs w:val="24"/>
        </w:rPr>
        <w:t xml:space="preserve"> first</w:t>
      </w:r>
      <w:r w:rsidR="00A35456">
        <w:rPr>
          <w:rFonts w:ascii="Times New Roman" w:hAnsi="Times New Roman" w:cs="Times New Roman"/>
          <w:sz w:val="24"/>
          <w:szCs w:val="24"/>
        </w:rPr>
        <w:t xml:space="preserve"> d</w:t>
      </w:r>
      <w:r w:rsidR="00F209CB" w:rsidRPr="00FB16B2">
        <w:rPr>
          <w:rFonts w:ascii="Times New Roman" w:hAnsi="Times New Roman" w:cs="Times New Roman"/>
          <w:sz w:val="24"/>
          <w:szCs w:val="24"/>
        </w:rPr>
        <w:t>efendant</w:t>
      </w:r>
      <w:r w:rsidR="00D25597" w:rsidRPr="00FB16B2">
        <w:rPr>
          <w:rFonts w:ascii="Times New Roman" w:hAnsi="Times New Roman" w:cs="Times New Roman"/>
          <w:sz w:val="24"/>
          <w:szCs w:val="24"/>
        </w:rPr>
        <w:t>.</w:t>
      </w:r>
      <w:r w:rsidR="00CB0226" w:rsidRPr="00FB16B2">
        <w:rPr>
          <w:rFonts w:ascii="Times New Roman" w:hAnsi="Times New Roman" w:cs="Times New Roman"/>
          <w:sz w:val="24"/>
          <w:szCs w:val="24"/>
        </w:rPr>
        <w:t xml:space="preserve"> </w:t>
      </w:r>
      <w:r w:rsidR="00D25597" w:rsidRPr="00FB16B2">
        <w:rPr>
          <w:rFonts w:ascii="Times New Roman" w:hAnsi="Times New Roman" w:cs="Times New Roman"/>
          <w:sz w:val="24"/>
          <w:szCs w:val="24"/>
        </w:rPr>
        <w:t>The</w:t>
      </w:r>
      <w:r w:rsidR="00C414CD">
        <w:rPr>
          <w:rFonts w:ascii="Times New Roman" w:hAnsi="Times New Roman" w:cs="Times New Roman"/>
          <w:sz w:val="24"/>
          <w:szCs w:val="24"/>
        </w:rPr>
        <w:t xml:space="preserve"> first</w:t>
      </w:r>
      <w:r w:rsidR="00A35456">
        <w:rPr>
          <w:rFonts w:ascii="Times New Roman" w:hAnsi="Times New Roman" w:cs="Times New Roman"/>
          <w:sz w:val="24"/>
          <w:szCs w:val="24"/>
        </w:rPr>
        <w:t xml:space="preserve"> d</w:t>
      </w:r>
      <w:r w:rsidR="00D25597" w:rsidRPr="00FB16B2">
        <w:rPr>
          <w:rFonts w:ascii="Times New Roman" w:hAnsi="Times New Roman" w:cs="Times New Roman"/>
          <w:sz w:val="24"/>
          <w:szCs w:val="24"/>
        </w:rPr>
        <w:t xml:space="preserve">efendant duly paid the purchase price to </w:t>
      </w:r>
      <w:r w:rsidR="00D25597" w:rsidRPr="00FB16B2">
        <w:rPr>
          <w:rFonts w:ascii="Times New Roman" w:hAnsi="Times New Roman" w:cs="Times New Roman"/>
          <w:sz w:val="24"/>
          <w:szCs w:val="24"/>
        </w:rPr>
        <w:lastRenderedPageBreak/>
        <w:t>the</w:t>
      </w:r>
      <w:r w:rsidR="00CB0226" w:rsidRPr="00FB16B2">
        <w:rPr>
          <w:rFonts w:ascii="Times New Roman" w:hAnsi="Times New Roman" w:cs="Times New Roman"/>
          <w:sz w:val="24"/>
          <w:szCs w:val="24"/>
        </w:rPr>
        <w:t xml:space="preserve"> </w:t>
      </w:r>
      <w:r w:rsidR="00C414CD">
        <w:rPr>
          <w:rFonts w:ascii="Times New Roman" w:hAnsi="Times New Roman" w:cs="Times New Roman"/>
          <w:sz w:val="24"/>
          <w:szCs w:val="24"/>
        </w:rPr>
        <w:t>third</w:t>
      </w:r>
      <w:r w:rsidR="00003BE6">
        <w:rPr>
          <w:rFonts w:ascii="Times New Roman" w:hAnsi="Times New Roman" w:cs="Times New Roman"/>
          <w:sz w:val="24"/>
          <w:szCs w:val="24"/>
        </w:rPr>
        <w:t xml:space="preserve"> d</w:t>
      </w:r>
      <w:r w:rsidR="00D25597" w:rsidRPr="00FB16B2">
        <w:rPr>
          <w:rFonts w:ascii="Times New Roman" w:hAnsi="Times New Roman" w:cs="Times New Roman"/>
          <w:sz w:val="24"/>
          <w:szCs w:val="24"/>
        </w:rPr>
        <w:t xml:space="preserve">efendant. </w:t>
      </w:r>
      <w:r w:rsidR="004D2252" w:rsidRPr="00FB16B2">
        <w:rPr>
          <w:rFonts w:ascii="Times New Roman" w:hAnsi="Times New Roman" w:cs="Times New Roman"/>
          <w:sz w:val="24"/>
          <w:szCs w:val="24"/>
        </w:rPr>
        <w:t>The property was transferred into the name of the</w:t>
      </w:r>
      <w:r w:rsidR="00C414CD">
        <w:rPr>
          <w:rFonts w:ascii="Times New Roman" w:hAnsi="Times New Roman" w:cs="Times New Roman"/>
          <w:sz w:val="24"/>
          <w:szCs w:val="24"/>
        </w:rPr>
        <w:t xml:space="preserve"> first</w:t>
      </w:r>
      <w:r w:rsidR="00003BE6">
        <w:rPr>
          <w:rFonts w:ascii="Times New Roman" w:hAnsi="Times New Roman" w:cs="Times New Roman"/>
          <w:sz w:val="24"/>
          <w:szCs w:val="24"/>
        </w:rPr>
        <w:t xml:space="preserve"> d</w:t>
      </w:r>
      <w:r w:rsidR="004D2252" w:rsidRPr="00FB16B2">
        <w:rPr>
          <w:rFonts w:ascii="Times New Roman" w:hAnsi="Times New Roman" w:cs="Times New Roman"/>
          <w:sz w:val="24"/>
          <w:szCs w:val="24"/>
        </w:rPr>
        <w:t>efendant.</w:t>
      </w:r>
    </w:p>
    <w:p w:rsidR="004D2252" w:rsidRPr="00FB16B2" w:rsidRDefault="008309C0" w:rsidP="00D96774">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Sometime in 2010 the p</w:t>
      </w:r>
      <w:r w:rsidR="004D2252" w:rsidRPr="00FB16B2">
        <w:rPr>
          <w:rFonts w:ascii="Times New Roman" w:hAnsi="Times New Roman" w:cs="Times New Roman"/>
          <w:sz w:val="24"/>
          <w:szCs w:val="24"/>
        </w:rPr>
        <w:t>laintiffs discover</w:t>
      </w:r>
      <w:r w:rsidR="00AC3458" w:rsidRPr="00FB16B2">
        <w:rPr>
          <w:rFonts w:ascii="Times New Roman" w:hAnsi="Times New Roman" w:cs="Times New Roman"/>
          <w:sz w:val="24"/>
          <w:szCs w:val="24"/>
        </w:rPr>
        <w:t>ed</w:t>
      </w:r>
      <w:r w:rsidR="004D2252" w:rsidRPr="00FB16B2">
        <w:rPr>
          <w:rFonts w:ascii="Times New Roman" w:hAnsi="Times New Roman" w:cs="Times New Roman"/>
          <w:sz w:val="24"/>
          <w:szCs w:val="24"/>
        </w:rPr>
        <w:t xml:space="preserve"> that their property was sold and they instituted criminal proceedings against the </w:t>
      </w:r>
      <w:r w:rsidR="00C414CD">
        <w:rPr>
          <w:rFonts w:ascii="Times New Roman" w:hAnsi="Times New Roman" w:cs="Times New Roman"/>
          <w:sz w:val="24"/>
          <w:szCs w:val="24"/>
        </w:rPr>
        <w:t>second</w:t>
      </w:r>
      <w:r w:rsidR="00003BE6">
        <w:rPr>
          <w:rFonts w:ascii="Times New Roman" w:hAnsi="Times New Roman" w:cs="Times New Roman"/>
          <w:sz w:val="24"/>
          <w:szCs w:val="24"/>
        </w:rPr>
        <w:t xml:space="preserve"> d</w:t>
      </w:r>
      <w:r w:rsidR="004D2252" w:rsidRPr="00FB16B2">
        <w:rPr>
          <w:rFonts w:ascii="Times New Roman" w:hAnsi="Times New Roman" w:cs="Times New Roman"/>
          <w:sz w:val="24"/>
          <w:szCs w:val="24"/>
        </w:rPr>
        <w:t xml:space="preserve">efendant. The </w:t>
      </w:r>
      <w:r w:rsidR="00C414CD">
        <w:rPr>
          <w:rFonts w:ascii="Times New Roman" w:hAnsi="Times New Roman" w:cs="Times New Roman"/>
          <w:sz w:val="24"/>
          <w:szCs w:val="24"/>
        </w:rPr>
        <w:t>second</w:t>
      </w:r>
      <w:r w:rsidR="00003BE6">
        <w:rPr>
          <w:rFonts w:ascii="Times New Roman" w:hAnsi="Times New Roman" w:cs="Times New Roman"/>
          <w:sz w:val="24"/>
          <w:szCs w:val="24"/>
        </w:rPr>
        <w:t xml:space="preserve"> d</w:t>
      </w:r>
      <w:r w:rsidR="004D2252" w:rsidRPr="00FB16B2">
        <w:rPr>
          <w:rFonts w:ascii="Times New Roman" w:hAnsi="Times New Roman" w:cs="Times New Roman"/>
          <w:sz w:val="24"/>
          <w:szCs w:val="24"/>
        </w:rPr>
        <w:t xml:space="preserve">efendant was convicted </w:t>
      </w:r>
      <w:r w:rsidR="00D96774" w:rsidRPr="00FB16B2">
        <w:rPr>
          <w:rFonts w:ascii="Times New Roman" w:hAnsi="Times New Roman" w:cs="Times New Roman"/>
          <w:sz w:val="24"/>
          <w:szCs w:val="24"/>
        </w:rPr>
        <w:t xml:space="preserve">of </w:t>
      </w:r>
      <w:r w:rsidR="004D2252" w:rsidRPr="00FB16B2">
        <w:rPr>
          <w:rFonts w:ascii="Times New Roman" w:hAnsi="Times New Roman" w:cs="Times New Roman"/>
          <w:sz w:val="24"/>
          <w:szCs w:val="24"/>
        </w:rPr>
        <w:t>fraud for</w:t>
      </w:r>
      <w:r w:rsidR="00483C92">
        <w:rPr>
          <w:rFonts w:ascii="Times New Roman" w:hAnsi="Times New Roman" w:cs="Times New Roman"/>
          <w:sz w:val="24"/>
          <w:szCs w:val="24"/>
        </w:rPr>
        <w:t xml:space="preserve"> disposing the property of the p</w:t>
      </w:r>
      <w:r w:rsidR="004D2252" w:rsidRPr="00FB16B2">
        <w:rPr>
          <w:rFonts w:ascii="Times New Roman" w:hAnsi="Times New Roman" w:cs="Times New Roman"/>
          <w:sz w:val="24"/>
          <w:szCs w:val="24"/>
        </w:rPr>
        <w:t>laintiffs with</w:t>
      </w:r>
      <w:r w:rsidR="00D96774" w:rsidRPr="00FB16B2">
        <w:rPr>
          <w:rFonts w:ascii="Times New Roman" w:hAnsi="Times New Roman" w:cs="Times New Roman"/>
          <w:sz w:val="24"/>
          <w:szCs w:val="24"/>
        </w:rPr>
        <w:t>out being authorised by</w:t>
      </w:r>
      <w:r w:rsidR="00F209CB" w:rsidRPr="00FB16B2">
        <w:rPr>
          <w:rFonts w:ascii="Times New Roman" w:hAnsi="Times New Roman" w:cs="Times New Roman"/>
          <w:sz w:val="24"/>
          <w:szCs w:val="24"/>
        </w:rPr>
        <w:t xml:space="preserve"> the Plaintiffs</w:t>
      </w:r>
      <w:r w:rsidR="004D2252" w:rsidRPr="00FB16B2">
        <w:rPr>
          <w:rFonts w:ascii="Times New Roman" w:hAnsi="Times New Roman" w:cs="Times New Roman"/>
          <w:sz w:val="24"/>
          <w:szCs w:val="24"/>
        </w:rPr>
        <w:t>. The criminal proceedings have been appealed against and to date the matter has not been prosecuted. The</w:t>
      </w:r>
      <w:r w:rsidR="00C414CD">
        <w:rPr>
          <w:rFonts w:ascii="Times New Roman" w:hAnsi="Times New Roman" w:cs="Times New Roman"/>
          <w:sz w:val="24"/>
          <w:szCs w:val="24"/>
        </w:rPr>
        <w:t xml:space="preserve"> first</w:t>
      </w:r>
      <w:r w:rsidR="00003BE6">
        <w:rPr>
          <w:rFonts w:ascii="Times New Roman" w:hAnsi="Times New Roman" w:cs="Times New Roman"/>
          <w:sz w:val="24"/>
          <w:szCs w:val="24"/>
        </w:rPr>
        <w:t xml:space="preserve"> d</w:t>
      </w:r>
      <w:r w:rsidR="004D2252" w:rsidRPr="00FB16B2">
        <w:rPr>
          <w:rFonts w:ascii="Times New Roman" w:hAnsi="Times New Roman" w:cs="Times New Roman"/>
          <w:sz w:val="24"/>
          <w:szCs w:val="24"/>
        </w:rPr>
        <w:t xml:space="preserve">efendant was not </w:t>
      </w:r>
      <w:r w:rsidR="00D96774" w:rsidRPr="00FB16B2">
        <w:rPr>
          <w:rFonts w:ascii="Times New Roman" w:hAnsi="Times New Roman" w:cs="Times New Roman"/>
          <w:sz w:val="24"/>
          <w:szCs w:val="24"/>
        </w:rPr>
        <w:t>party to</w:t>
      </w:r>
      <w:r w:rsidR="004D2252" w:rsidRPr="00FB16B2">
        <w:rPr>
          <w:rFonts w:ascii="Times New Roman" w:hAnsi="Times New Roman" w:cs="Times New Roman"/>
          <w:sz w:val="24"/>
          <w:szCs w:val="24"/>
        </w:rPr>
        <w:t xml:space="preserve"> the fraud and innocently purchased the property from the </w:t>
      </w:r>
      <w:r w:rsidR="00C414CD">
        <w:rPr>
          <w:rFonts w:ascii="Times New Roman" w:hAnsi="Times New Roman" w:cs="Times New Roman"/>
          <w:sz w:val="24"/>
          <w:szCs w:val="24"/>
        </w:rPr>
        <w:t>third</w:t>
      </w:r>
      <w:r w:rsidR="00003BE6">
        <w:rPr>
          <w:rFonts w:ascii="Times New Roman" w:hAnsi="Times New Roman" w:cs="Times New Roman"/>
          <w:sz w:val="24"/>
          <w:szCs w:val="24"/>
        </w:rPr>
        <w:t xml:space="preserve"> d</w:t>
      </w:r>
      <w:r w:rsidR="004D2252" w:rsidRPr="00FB16B2">
        <w:rPr>
          <w:rFonts w:ascii="Times New Roman" w:hAnsi="Times New Roman" w:cs="Times New Roman"/>
          <w:sz w:val="24"/>
          <w:szCs w:val="24"/>
        </w:rPr>
        <w:t xml:space="preserve">efendant. </w:t>
      </w:r>
    </w:p>
    <w:p w:rsidR="004D2252" w:rsidRPr="00FB16B2" w:rsidRDefault="004D2252" w:rsidP="00D96774">
      <w:pPr>
        <w:widowControl w:val="0"/>
        <w:spacing w:after="0" w:line="360" w:lineRule="auto"/>
        <w:ind w:firstLine="720"/>
        <w:jc w:val="both"/>
        <w:rPr>
          <w:rFonts w:ascii="Times New Roman" w:hAnsi="Times New Roman" w:cs="Times New Roman"/>
          <w:sz w:val="24"/>
          <w:szCs w:val="24"/>
        </w:rPr>
      </w:pPr>
      <w:r w:rsidRPr="00FB16B2">
        <w:rPr>
          <w:rFonts w:ascii="Times New Roman" w:hAnsi="Times New Roman" w:cs="Times New Roman"/>
          <w:sz w:val="24"/>
          <w:szCs w:val="24"/>
        </w:rPr>
        <w:t>When the</w:t>
      </w:r>
      <w:r w:rsidR="00C414CD">
        <w:rPr>
          <w:rFonts w:ascii="Times New Roman" w:hAnsi="Times New Roman" w:cs="Times New Roman"/>
          <w:sz w:val="24"/>
          <w:szCs w:val="24"/>
        </w:rPr>
        <w:t xml:space="preserve"> first</w:t>
      </w:r>
      <w:r w:rsidR="00003BE6">
        <w:rPr>
          <w:rFonts w:ascii="Times New Roman" w:hAnsi="Times New Roman" w:cs="Times New Roman"/>
          <w:sz w:val="24"/>
          <w:szCs w:val="24"/>
        </w:rPr>
        <w:t xml:space="preserve"> d</w:t>
      </w:r>
      <w:r w:rsidRPr="00FB16B2">
        <w:rPr>
          <w:rFonts w:ascii="Times New Roman" w:hAnsi="Times New Roman" w:cs="Times New Roman"/>
          <w:sz w:val="24"/>
          <w:szCs w:val="24"/>
        </w:rPr>
        <w:t xml:space="preserve">efendant received transfer of the property it erected a perimeter wall sometime in November 2009. The perimeter wall was later demolished by the Plaintiffs in August 2010 when they discovered that their property had been sold fraudulently. After the conviction </w:t>
      </w:r>
      <w:r w:rsidR="00CB0226" w:rsidRPr="00FB16B2">
        <w:rPr>
          <w:rFonts w:ascii="Times New Roman" w:hAnsi="Times New Roman" w:cs="Times New Roman"/>
          <w:sz w:val="24"/>
          <w:szCs w:val="24"/>
        </w:rPr>
        <w:t xml:space="preserve">of the </w:t>
      </w:r>
      <w:r w:rsidR="00C414CD">
        <w:rPr>
          <w:rFonts w:ascii="Times New Roman" w:hAnsi="Times New Roman" w:cs="Times New Roman"/>
          <w:sz w:val="24"/>
          <w:szCs w:val="24"/>
        </w:rPr>
        <w:t>second</w:t>
      </w:r>
      <w:r w:rsidR="00003BE6">
        <w:rPr>
          <w:rFonts w:ascii="Times New Roman" w:hAnsi="Times New Roman" w:cs="Times New Roman"/>
          <w:sz w:val="24"/>
          <w:szCs w:val="24"/>
        </w:rPr>
        <w:t xml:space="preserve"> d</w:t>
      </w:r>
      <w:r w:rsidR="00AC3458" w:rsidRPr="00FB16B2">
        <w:rPr>
          <w:rFonts w:ascii="Times New Roman" w:hAnsi="Times New Roman" w:cs="Times New Roman"/>
          <w:sz w:val="24"/>
          <w:szCs w:val="24"/>
        </w:rPr>
        <w:t xml:space="preserve">efendant </w:t>
      </w:r>
      <w:r w:rsidRPr="00FB16B2">
        <w:rPr>
          <w:rFonts w:ascii="Times New Roman" w:hAnsi="Times New Roman" w:cs="Times New Roman"/>
          <w:sz w:val="24"/>
          <w:szCs w:val="24"/>
        </w:rPr>
        <w:t>the Plaintiffs instituted the present proceedings. The</w:t>
      </w:r>
      <w:r w:rsidR="00C414CD">
        <w:rPr>
          <w:rFonts w:ascii="Times New Roman" w:hAnsi="Times New Roman" w:cs="Times New Roman"/>
          <w:sz w:val="24"/>
          <w:szCs w:val="24"/>
        </w:rPr>
        <w:t xml:space="preserve"> second</w:t>
      </w:r>
      <w:r w:rsidR="00003BE6">
        <w:rPr>
          <w:rFonts w:ascii="Times New Roman" w:hAnsi="Times New Roman" w:cs="Times New Roman"/>
          <w:sz w:val="24"/>
          <w:szCs w:val="24"/>
        </w:rPr>
        <w:t xml:space="preserve"> </w:t>
      </w:r>
      <w:r w:rsidRPr="00FB16B2">
        <w:rPr>
          <w:rFonts w:ascii="Times New Roman" w:hAnsi="Times New Roman" w:cs="Times New Roman"/>
          <w:sz w:val="24"/>
          <w:szCs w:val="24"/>
        </w:rPr>
        <w:t xml:space="preserve">and </w:t>
      </w:r>
      <w:r w:rsidR="00C414CD">
        <w:rPr>
          <w:rFonts w:ascii="Times New Roman" w:hAnsi="Times New Roman" w:cs="Times New Roman"/>
          <w:sz w:val="24"/>
          <w:szCs w:val="24"/>
        </w:rPr>
        <w:t>the third</w:t>
      </w:r>
      <w:r w:rsidR="00003BE6">
        <w:rPr>
          <w:rFonts w:ascii="Times New Roman" w:hAnsi="Times New Roman" w:cs="Times New Roman"/>
          <w:sz w:val="24"/>
          <w:szCs w:val="24"/>
        </w:rPr>
        <w:t xml:space="preserve"> d</w:t>
      </w:r>
      <w:r w:rsidRPr="00FB16B2">
        <w:rPr>
          <w:rFonts w:ascii="Times New Roman" w:hAnsi="Times New Roman" w:cs="Times New Roman"/>
          <w:sz w:val="24"/>
          <w:szCs w:val="24"/>
        </w:rPr>
        <w:t>efendants were in default at the pre-trial conference and default judgment was obtained against them.</w:t>
      </w:r>
      <w:r w:rsidR="00BA1655" w:rsidRPr="00FB16B2">
        <w:rPr>
          <w:rFonts w:ascii="Times New Roman" w:hAnsi="Times New Roman" w:cs="Times New Roman"/>
          <w:sz w:val="24"/>
          <w:szCs w:val="24"/>
        </w:rPr>
        <w:t xml:space="preserve"> </w:t>
      </w:r>
      <w:r w:rsidRPr="00FB16B2">
        <w:rPr>
          <w:rFonts w:ascii="Times New Roman" w:hAnsi="Times New Roman" w:cs="Times New Roman"/>
          <w:sz w:val="24"/>
          <w:szCs w:val="24"/>
        </w:rPr>
        <w:t>The matter was referred to trial and in terms of the pre-</w:t>
      </w:r>
      <w:r w:rsidR="00BA1655" w:rsidRPr="00FB16B2">
        <w:rPr>
          <w:rFonts w:ascii="Times New Roman" w:hAnsi="Times New Roman" w:cs="Times New Roman"/>
          <w:sz w:val="24"/>
          <w:szCs w:val="24"/>
        </w:rPr>
        <w:t>trial conference three issues wer</w:t>
      </w:r>
      <w:r w:rsidRPr="00FB16B2">
        <w:rPr>
          <w:rFonts w:ascii="Times New Roman" w:hAnsi="Times New Roman" w:cs="Times New Roman"/>
          <w:sz w:val="24"/>
          <w:szCs w:val="24"/>
        </w:rPr>
        <w:t>e to be determined namely;</w:t>
      </w:r>
    </w:p>
    <w:p w:rsidR="004D2252" w:rsidRPr="00FB16B2" w:rsidRDefault="004D2252" w:rsidP="004D2252">
      <w:pPr>
        <w:pStyle w:val="ListParagraph"/>
        <w:rPr>
          <w:rFonts w:ascii="Times New Roman" w:hAnsi="Times New Roman" w:cs="Times New Roman"/>
          <w:sz w:val="24"/>
          <w:szCs w:val="24"/>
        </w:rPr>
      </w:pPr>
    </w:p>
    <w:p w:rsidR="004D2252" w:rsidRPr="00FB16B2" w:rsidRDefault="004D2252" w:rsidP="004D2252">
      <w:pPr>
        <w:pStyle w:val="ListParagraph"/>
        <w:widowControl w:val="0"/>
        <w:numPr>
          <w:ilvl w:val="0"/>
          <w:numId w:val="4"/>
        </w:numPr>
        <w:spacing w:after="0" w:line="360" w:lineRule="auto"/>
        <w:jc w:val="both"/>
        <w:rPr>
          <w:rFonts w:ascii="Times New Roman" w:hAnsi="Times New Roman" w:cs="Times New Roman"/>
          <w:sz w:val="24"/>
          <w:szCs w:val="24"/>
        </w:rPr>
      </w:pPr>
      <w:r w:rsidRPr="00FB16B2">
        <w:rPr>
          <w:rFonts w:ascii="Times New Roman" w:hAnsi="Times New Roman" w:cs="Times New Roman"/>
          <w:sz w:val="24"/>
          <w:szCs w:val="24"/>
        </w:rPr>
        <w:t>Whether or not the Plaintiffs authorised the sale of Stand No. 346 Beverley East, Township.</w:t>
      </w:r>
    </w:p>
    <w:p w:rsidR="004D2252" w:rsidRPr="00FB16B2" w:rsidRDefault="004D2252" w:rsidP="004D2252">
      <w:pPr>
        <w:pStyle w:val="ListParagraph"/>
        <w:widowControl w:val="0"/>
        <w:numPr>
          <w:ilvl w:val="0"/>
          <w:numId w:val="4"/>
        </w:numPr>
        <w:spacing w:after="0" w:line="360" w:lineRule="auto"/>
        <w:jc w:val="both"/>
        <w:rPr>
          <w:rFonts w:ascii="Times New Roman" w:hAnsi="Times New Roman" w:cs="Times New Roman"/>
          <w:sz w:val="24"/>
          <w:szCs w:val="24"/>
        </w:rPr>
      </w:pPr>
      <w:r w:rsidRPr="00FB16B2">
        <w:rPr>
          <w:rFonts w:ascii="Times New Roman" w:hAnsi="Times New Roman" w:cs="Times New Roman"/>
          <w:sz w:val="24"/>
          <w:szCs w:val="24"/>
        </w:rPr>
        <w:t>Whether or not the transfer was fraudulent?</w:t>
      </w:r>
    </w:p>
    <w:p w:rsidR="004D2252" w:rsidRPr="00FB16B2" w:rsidRDefault="004D2252" w:rsidP="004D2252">
      <w:pPr>
        <w:pStyle w:val="ListParagraph"/>
        <w:widowControl w:val="0"/>
        <w:numPr>
          <w:ilvl w:val="0"/>
          <w:numId w:val="4"/>
        </w:numPr>
        <w:spacing w:after="0" w:line="360" w:lineRule="auto"/>
        <w:jc w:val="both"/>
        <w:rPr>
          <w:rFonts w:ascii="Times New Roman" w:hAnsi="Times New Roman" w:cs="Times New Roman"/>
          <w:sz w:val="24"/>
          <w:szCs w:val="24"/>
        </w:rPr>
      </w:pPr>
      <w:r w:rsidRPr="00FB16B2">
        <w:rPr>
          <w:rFonts w:ascii="Times New Roman" w:hAnsi="Times New Roman" w:cs="Times New Roman"/>
          <w:sz w:val="24"/>
          <w:szCs w:val="24"/>
        </w:rPr>
        <w:t>Whether or not the Plaintiffs should be estopped from alleging that the</w:t>
      </w:r>
      <w:r w:rsidR="00C414CD">
        <w:rPr>
          <w:rFonts w:ascii="Times New Roman" w:hAnsi="Times New Roman" w:cs="Times New Roman"/>
          <w:sz w:val="24"/>
          <w:szCs w:val="24"/>
        </w:rPr>
        <w:t xml:space="preserve"> second</w:t>
      </w:r>
      <w:r w:rsidR="001E2248">
        <w:rPr>
          <w:rFonts w:ascii="Times New Roman" w:hAnsi="Times New Roman" w:cs="Times New Roman"/>
          <w:sz w:val="24"/>
          <w:szCs w:val="24"/>
        </w:rPr>
        <w:t xml:space="preserve"> </w:t>
      </w:r>
      <w:r w:rsidRPr="00FB16B2">
        <w:rPr>
          <w:rFonts w:ascii="Times New Roman" w:hAnsi="Times New Roman" w:cs="Times New Roman"/>
          <w:sz w:val="24"/>
          <w:szCs w:val="24"/>
        </w:rPr>
        <w:t xml:space="preserve">and </w:t>
      </w:r>
      <w:r w:rsidR="00C414CD">
        <w:rPr>
          <w:rFonts w:ascii="Times New Roman" w:hAnsi="Times New Roman" w:cs="Times New Roman"/>
          <w:sz w:val="24"/>
          <w:szCs w:val="24"/>
        </w:rPr>
        <w:t>the third</w:t>
      </w:r>
      <w:r w:rsidR="001E2248">
        <w:rPr>
          <w:rFonts w:ascii="Times New Roman" w:hAnsi="Times New Roman" w:cs="Times New Roman"/>
          <w:sz w:val="24"/>
          <w:szCs w:val="24"/>
        </w:rPr>
        <w:t xml:space="preserve"> d</w:t>
      </w:r>
      <w:r w:rsidRPr="00FB16B2">
        <w:rPr>
          <w:rFonts w:ascii="Times New Roman" w:hAnsi="Times New Roman" w:cs="Times New Roman"/>
          <w:sz w:val="24"/>
          <w:szCs w:val="24"/>
        </w:rPr>
        <w:t>efendants had no mandate to sell the property?</w:t>
      </w:r>
    </w:p>
    <w:p w:rsidR="00D96774" w:rsidRPr="00FB16B2" w:rsidRDefault="009775B1" w:rsidP="00D2559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D2252" w:rsidRPr="00FB16B2">
        <w:rPr>
          <w:rFonts w:ascii="Times New Roman" w:hAnsi="Times New Roman" w:cs="Times New Roman"/>
          <w:sz w:val="24"/>
          <w:szCs w:val="24"/>
        </w:rPr>
        <w:t xml:space="preserve">With the default judgment against the </w:t>
      </w:r>
      <w:r w:rsidR="00C414CD">
        <w:rPr>
          <w:rFonts w:ascii="Times New Roman" w:hAnsi="Times New Roman" w:cs="Times New Roman"/>
          <w:sz w:val="24"/>
          <w:szCs w:val="24"/>
        </w:rPr>
        <w:t>second</w:t>
      </w:r>
      <w:r w:rsidR="001E2248">
        <w:rPr>
          <w:rFonts w:ascii="Times New Roman" w:hAnsi="Times New Roman" w:cs="Times New Roman"/>
          <w:sz w:val="24"/>
          <w:szCs w:val="24"/>
        </w:rPr>
        <w:t xml:space="preserve"> </w:t>
      </w:r>
      <w:r w:rsidR="004D2252" w:rsidRPr="00FB16B2">
        <w:rPr>
          <w:rFonts w:ascii="Times New Roman" w:hAnsi="Times New Roman" w:cs="Times New Roman"/>
          <w:sz w:val="24"/>
          <w:szCs w:val="24"/>
        </w:rPr>
        <w:t xml:space="preserve">and </w:t>
      </w:r>
      <w:r w:rsidR="00C414CD">
        <w:rPr>
          <w:rFonts w:ascii="Times New Roman" w:hAnsi="Times New Roman" w:cs="Times New Roman"/>
          <w:sz w:val="24"/>
          <w:szCs w:val="24"/>
        </w:rPr>
        <w:t>the third</w:t>
      </w:r>
      <w:r w:rsidR="001E2248">
        <w:rPr>
          <w:rFonts w:ascii="Times New Roman" w:hAnsi="Times New Roman" w:cs="Times New Roman"/>
          <w:sz w:val="24"/>
          <w:szCs w:val="24"/>
        </w:rPr>
        <w:t xml:space="preserve"> d</w:t>
      </w:r>
      <w:r w:rsidR="004D2252" w:rsidRPr="00FB16B2">
        <w:rPr>
          <w:rFonts w:ascii="Times New Roman" w:hAnsi="Times New Roman" w:cs="Times New Roman"/>
          <w:sz w:val="24"/>
          <w:szCs w:val="24"/>
        </w:rPr>
        <w:t>ef</w:t>
      </w:r>
      <w:r w:rsidR="00AC3458" w:rsidRPr="00FB16B2">
        <w:rPr>
          <w:rFonts w:ascii="Times New Roman" w:hAnsi="Times New Roman" w:cs="Times New Roman"/>
          <w:sz w:val="24"/>
          <w:szCs w:val="24"/>
        </w:rPr>
        <w:t>endants, the first two issues fe</w:t>
      </w:r>
      <w:r w:rsidR="004D2252" w:rsidRPr="00FB16B2">
        <w:rPr>
          <w:rFonts w:ascii="Times New Roman" w:hAnsi="Times New Roman" w:cs="Times New Roman"/>
          <w:sz w:val="24"/>
          <w:szCs w:val="24"/>
        </w:rPr>
        <w:t>ll away. The sole issue that remains for determination is whether or not the Plaintiffs should be estopped from alleging that the</w:t>
      </w:r>
      <w:r w:rsidR="00C414CD">
        <w:rPr>
          <w:rFonts w:ascii="Times New Roman" w:hAnsi="Times New Roman" w:cs="Times New Roman"/>
          <w:sz w:val="24"/>
          <w:szCs w:val="24"/>
        </w:rPr>
        <w:t xml:space="preserve"> second</w:t>
      </w:r>
      <w:r w:rsidR="001E2248">
        <w:rPr>
          <w:rFonts w:ascii="Times New Roman" w:hAnsi="Times New Roman" w:cs="Times New Roman"/>
          <w:sz w:val="24"/>
          <w:szCs w:val="24"/>
        </w:rPr>
        <w:t xml:space="preserve"> </w:t>
      </w:r>
      <w:r w:rsidR="004D2252" w:rsidRPr="00FB16B2">
        <w:rPr>
          <w:rFonts w:ascii="Times New Roman" w:hAnsi="Times New Roman" w:cs="Times New Roman"/>
          <w:sz w:val="24"/>
          <w:szCs w:val="24"/>
        </w:rPr>
        <w:t xml:space="preserve">and </w:t>
      </w:r>
      <w:r w:rsidR="00C414CD">
        <w:rPr>
          <w:rFonts w:ascii="Times New Roman" w:hAnsi="Times New Roman" w:cs="Times New Roman"/>
          <w:sz w:val="24"/>
          <w:szCs w:val="24"/>
        </w:rPr>
        <w:t>the third</w:t>
      </w:r>
      <w:r w:rsidR="001E2248">
        <w:rPr>
          <w:rFonts w:ascii="Times New Roman" w:hAnsi="Times New Roman" w:cs="Times New Roman"/>
          <w:sz w:val="24"/>
          <w:szCs w:val="24"/>
        </w:rPr>
        <w:t xml:space="preserve"> d</w:t>
      </w:r>
      <w:r w:rsidR="004D2252" w:rsidRPr="00FB16B2">
        <w:rPr>
          <w:rFonts w:ascii="Times New Roman" w:hAnsi="Times New Roman" w:cs="Times New Roman"/>
          <w:sz w:val="24"/>
          <w:szCs w:val="24"/>
        </w:rPr>
        <w:t>efendants had no mandate to sell the property?</w:t>
      </w:r>
    </w:p>
    <w:p w:rsidR="00802A9B" w:rsidRDefault="00FB16B2" w:rsidP="00802A9B">
      <w:pPr>
        <w:spacing w:after="0" w:line="360" w:lineRule="auto"/>
        <w:jc w:val="both"/>
        <w:rPr>
          <w:rFonts w:ascii="Times New Roman" w:hAnsi="Times New Roman" w:cs="Times New Roman"/>
          <w:sz w:val="24"/>
          <w:szCs w:val="24"/>
        </w:rPr>
      </w:pPr>
      <w:r>
        <w:rPr>
          <w:rFonts w:ascii="Times New Roman" w:hAnsi="Times New Roman" w:cs="Times New Roman"/>
          <w:smallCaps/>
          <w:sz w:val="24"/>
          <w:szCs w:val="24"/>
        </w:rPr>
        <w:tab/>
      </w:r>
      <w:r w:rsidR="00906399" w:rsidRPr="00D25597">
        <w:rPr>
          <w:rFonts w:ascii="Times New Roman" w:hAnsi="Times New Roman" w:cs="Times New Roman"/>
          <w:smallCaps/>
          <w:sz w:val="24"/>
          <w:szCs w:val="24"/>
        </w:rPr>
        <w:t>Corbett</w:t>
      </w:r>
      <w:r w:rsidR="00906399" w:rsidRPr="00D25597">
        <w:rPr>
          <w:rFonts w:ascii="Times New Roman" w:hAnsi="Times New Roman" w:cs="Times New Roman"/>
          <w:sz w:val="24"/>
          <w:szCs w:val="24"/>
        </w:rPr>
        <w:t xml:space="preserve"> JA </w:t>
      </w:r>
      <w:r w:rsidR="007A56FF">
        <w:rPr>
          <w:rFonts w:ascii="Times New Roman" w:hAnsi="Times New Roman" w:cs="Times New Roman"/>
          <w:sz w:val="24"/>
          <w:szCs w:val="24"/>
        </w:rPr>
        <w:t xml:space="preserve">in </w:t>
      </w:r>
      <w:r w:rsidR="007A56FF" w:rsidRPr="00AF64FC">
        <w:rPr>
          <w:rFonts w:ascii="Times New Roman" w:hAnsi="Times New Roman" w:cs="Times New Roman"/>
          <w:i/>
          <w:sz w:val="24"/>
          <w:szCs w:val="24"/>
        </w:rPr>
        <w:t>Aris Enterprises (Finance) (Pty) Ltd</w:t>
      </w:r>
      <w:r w:rsidR="007A56FF">
        <w:rPr>
          <w:rFonts w:ascii="Times New Roman" w:hAnsi="Times New Roman" w:cs="Times New Roman"/>
          <w:sz w:val="24"/>
          <w:szCs w:val="24"/>
        </w:rPr>
        <w:t xml:space="preserve"> v </w:t>
      </w:r>
      <w:r w:rsidR="007A56FF" w:rsidRPr="00AF64FC">
        <w:rPr>
          <w:rFonts w:ascii="Times New Roman" w:hAnsi="Times New Roman" w:cs="Times New Roman"/>
          <w:i/>
          <w:sz w:val="24"/>
          <w:szCs w:val="24"/>
        </w:rPr>
        <w:t>Protea Assurance Co. Ltd</w:t>
      </w:r>
      <w:r w:rsidR="007A56FF">
        <w:rPr>
          <w:rFonts w:ascii="Times New Roman" w:hAnsi="Times New Roman" w:cs="Times New Roman"/>
          <w:sz w:val="24"/>
          <w:szCs w:val="24"/>
        </w:rPr>
        <w:t xml:space="preserve"> 1981 (3) SA 275 (A) aptly described the doctrine of estoppel as such; “The essence of the doctrine of estoppel is that a person is precluded; i.e. estopped, from denying the truth of a representation previously made by him to another person if the latter, believing in the truth of the representation, acted thereon to his prejudice.” </w:t>
      </w:r>
    </w:p>
    <w:p w:rsidR="00B015EC" w:rsidRDefault="00B015EC" w:rsidP="00802A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AC3458">
        <w:rPr>
          <w:rFonts w:ascii="Times New Roman" w:hAnsi="Times New Roman" w:cs="Times New Roman"/>
          <w:sz w:val="24"/>
          <w:szCs w:val="24"/>
        </w:rPr>
        <w:t>re</w:t>
      </w:r>
      <w:r>
        <w:rPr>
          <w:rFonts w:ascii="Times New Roman" w:hAnsi="Times New Roman" w:cs="Times New Roman"/>
          <w:sz w:val="24"/>
          <w:szCs w:val="24"/>
        </w:rPr>
        <w:t xml:space="preserve">presentation can be either in express terms or by conduct including silence or inaction. Van der Merwe in his book </w:t>
      </w:r>
      <w:r w:rsidRPr="00C67F8E">
        <w:rPr>
          <w:rFonts w:ascii="Times New Roman" w:hAnsi="Times New Roman" w:cs="Times New Roman"/>
          <w:i/>
          <w:sz w:val="24"/>
          <w:szCs w:val="24"/>
        </w:rPr>
        <w:t>Contract General Principles</w:t>
      </w:r>
      <w:r>
        <w:rPr>
          <w:rFonts w:ascii="Times New Roman" w:hAnsi="Times New Roman" w:cs="Times New Roman"/>
          <w:sz w:val="24"/>
          <w:szCs w:val="24"/>
        </w:rPr>
        <w:t xml:space="preserve"> 4</w:t>
      </w:r>
      <w:r w:rsidRPr="00B015EC">
        <w:rPr>
          <w:rFonts w:ascii="Times New Roman" w:hAnsi="Times New Roman" w:cs="Times New Roman"/>
          <w:sz w:val="24"/>
          <w:szCs w:val="24"/>
          <w:vertAlign w:val="superscript"/>
        </w:rPr>
        <w:t>th</w:t>
      </w:r>
      <w:r w:rsidR="00665C24">
        <w:rPr>
          <w:rFonts w:ascii="Times New Roman" w:hAnsi="Times New Roman" w:cs="Times New Roman"/>
          <w:sz w:val="24"/>
          <w:szCs w:val="24"/>
          <w:vertAlign w:val="superscript"/>
        </w:rPr>
        <w:t xml:space="preserve"> </w:t>
      </w:r>
      <w:r>
        <w:rPr>
          <w:rFonts w:ascii="Times New Roman" w:hAnsi="Times New Roman" w:cs="Times New Roman"/>
          <w:sz w:val="24"/>
          <w:szCs w:val="24"/>
        </w:rPr>
        <w:t>ed at p 29</w:t>
      </w:r>
      <w:r w:rsidR="00AC3458">
        <w:rPr>
          <w:rFonts w:ascii="Times New Roman" w:hAnsi="Times New Roman" w:cs="Times New Roman"/>
          <w:sz w:val="24"/>
          <w:szCs w:val="24"/>
        </w:rPr>
        <w:t>,</w:t>
      </w:r>
      <w:r>
        <w:rPr>
          <w:rFonts w:ascii="Times New Roman" w:hAnsi="Times New Roman" w:cs="Times New Roman"/>
          <w:sz w:val="24"/>
          <w:szCs w:val="24"/>
        </w:rPr>
        <w:t xml:space="preserve"> </w:t>
      </w:r>
      <w:r w:rsidR="00AC3458">
        <w:rPr>
          <w:rFonts w:ascii="Times New Roman" w:hAnsi="Times New Roman" w:cs="Times New Roman"/>
          <w:sz w:val="24"/>
          <w:szCs w:val="24"/>
        </w:rPr>
        <w:t>states that</w:t>
      </w:r>
      <w:r w:rsidR="00BA1655">
        <w:rPr>
          <w:rFonts w:ascii="Times New Roman" w:hAnsi="Times New Roman" w:cs="Times New Roman"/>
          <w:sz w:val="24"/>
          <w:szCs w:val="24"/>
        </w:rPr>
        <w:t xml:space="preserve"> </w:t>
      </w:r>
      <w:r>
        <w:rPr>
          <w:rFonts w:ascii="Times New Roman" w:hAnsi="Times New Roman" w:cs="Times New Roman"/>
          <w:sz w:val="24"/>
          <w:szCs w:val="24"/>
        </w:rPr>
        <w:t>the defence of estoppel requires</w:t>
      </w:r>
      <w:r w:rsidR="00DF7EC2">
        <w:rPr>
          <w:rFonts w:ascii="Times New Roman" w:hAnsi="Times New Roman" w:cs="Times New Roman"/>
          <w:sz w:val="24"/>
          <w:szCs w:val="24"/>
        </w:rPr>
        <w:t xml:space="preserve"> that the party relying on it prove the following:</w:t>
      </w:r>
    </w:p>
    <w:p w:rsidR="00DF7EC2" w:rsidRDefault="00DF7EC2" w:rsidP="00DF7E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other party (estoppel-denier) made a representation about the correct facts;</w:t>
      </w:r>
    </w:p>
    <w:p w:rsidR="00DF7EC2" w:rsidRDefault="00DF7EC2" w:rsidP="00DF7E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That the misrepresentation was accompanied by fault (either </w:t>
      </w:r>
      <w:r w:rsidRPr="00BA1655">
        <w:rPr>
          <w:rFonts w:ascii="Times New Roman" w:hAnsi="Times New Roman" w:cs="Times New Roman"/>
          <w:i/>
          <w:sz w:val="24"/>
          <w:szCs w:val="24"/>
        </w:rPr>
        <w:t>dolus</w:t>
      </w:r>
      <w:r>
        <w:rPr>
          <w:rFonts w:ascii="Times New Roman" w:hAnsi="Times New Roman" w:cs="Times New Roman"/>
          <w:sz w:val="24"/>
          <w:szCs w:val="24"/>
        </w:rPr>
        <w:t xml:space="preserve"> or negligence)</w:t>
      </w:r>
    </w:p>
    <w:p w:rsidR="00875E6C" w:rsidRDefault="00875E6C" w:rsidP="00DF7E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he (the esto</w:t>
      </w:r>
      <w:r w:rsidR="00AC3458">
        <w:rPr>
          <w:rFonts w:ascii="Times New Roman" w:hAnsi="Times New Roman" w:cs="Times New Roman"/>
          <w:sz w:val="24"/>
          <w:szCs w:val="24"/>
        </w:rPr>
        <w:t>ppel-raiser) reasonably relied</w:t>
      </w:r>
      <w:r w:rsidR="00CB0226">
        <w:rPr>
          <w:rFonts w:ascii="Times New Roman" w:hAnsi="Times New Roman" w:cs="Times New Roman"/>
          <w:sz w:val="24"/>
          <w:szCs w:val="24"/>
        </w:rPr>
        <w:t xml:space="preserve"> o</w:t>
      </w:r>
      <w:r>
        <w:rPr>
          <w:rFonts w:ascii="Times New Roman" w:hAnsi="Times New Roman" w:cs="Times New Roman"/>
          <w:sz w:val="24"/>
          <w:szCs w:val="24"/>
        </w:rPr>
        <w:t>n the misrepresentation</w:t>
      </w:r>
      <w:r w:rsidR="00921FCB">
        <w:rPr>
          <w:rFonts w:ascii="Times New Roman" w:hAnsi="Times New Roman" w:cs="Times New Roman"/>
          <w:sz w:val="24"/>
          <w:szCs w:val="24"/>
        </w:rPr>
        <w:t>.</w:t>
      </w:r>
    </w:p>
    <w:p w:rsidR="00875E6C" w:rsidRDefault="00875E6C" w:rsidP="00DF7E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he act</w:t>
      </w:r>
      <w:r w:rsidR="00AC3458">
        <w:rPr>
          <w:rFonts w:ascii="Times New Roman" w:hAnsi="Times New Roman" w:cs="Times New Roman"/>
          <w:sz w:val="24"/>
          <w:szCs w:val="24"/>
        </w:rPr>
        <w:t>ed upon the misrepresentation</w:t>
      </w:r>
      <w:r>
        <w:rPr>
          <w:rFonts w:ascii="Times New Roman" w:hAnsi="Times New Roman" w:cs="Times New Roman"/>
          <w:sz w:val="24"/>
          <w:szCs w:val="24"/>
        </w:rPr>
        <w:t xml:space="preserve"> to his prejudice</w:t>
      </w:r>
      <w:r w:rsidR="00921FCB">
        <w:rPr>
          <w:rFonts w:ascii="Times New Roman" w:hAnsi="Times New Roman" w:cs="Times New Roman"/>
          <w:sz w:val="24"/>
          <w:szCs w:val="24"/>
        </w:rPr>
        <w:t>.</w:t>
      </w:r>
    </w:p>
    <w:p w:rsidR="00875E6C" w:rsidRDefault="00875E6C" w:rsidP="00DF7E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(act to his) prejudice was caused by the misrepresentation.</w:t>
      </w:r>
    </w:p>
    <w:p w:rsidR="00802A9B" w:rsidRDefault="00875E6C" w:rsidP="00802A9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impression is one fit to be maintained by the law.</w:t>
      </w:r>
    </w:p>
    <w:p w:rsidR="00665C24" w:rsidRPr="00665C24" w:rsidRDefault="00665C24" w:rsidP="00665C24">
      <w:pPr>
        <w:spacing w:after="0" w:line="360" w:lineRule="auto"/>
        <w:ind w:left="720"/>
        <w:jc w:val="both"/>
        <w:rPr>
          <w:rFonts w:ascii="Times New Roman" w:hAnsi="Times New Roman" w:cs="Times New Roman"/>
          <w:sz w:val="24"/>
          <w:szCs w:val="24"/>
        </w:rPr>
      </w:pPr>
    </w:p>
    <w:p w:rsidR="00F87B92" w:rsidRDefault="00AC3458" w:rsidP="00802A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These elements are</w:t>
      </w:r>
      <w:r w:rsidR="00F87B92">
        <w:rPr>
          <w:rFonts w:ascii="Times New Roman" w:hAnsi="Times New Roman" w:cs="Times New Roman"/>
          <w:sz w:val="24"/>
          <w:szCs w:val="24"/>
        </w:rPr>
        <w:t xml:space="preserve"> not to be hard and fast requirements which cannot undergo change.</w:t>
      </w:r>
      <w:r w:rsidR="00BA1655">
        <w:rPr>
          <w:rFonts w:ascii="Times New Roman" w:hAnsi="Times New Roman" w:cs="Times New Roman"/>
          <w:sz w:val="24"/>
          <w:szCs w:val="24"/>
        </w:rPr>
        <w:t xml:space="preserve"> </w:t>
      </w:r>
      <w:r w:rsidR="00F87B92">
        <w:rPr>
          <w:rFonts w:ascii="Times New Roman" w:hAnsi="Times New Roman" w:cs="Times New Roman"/>
          <w:sz w:val="24"/>
          <w:szCs w:val="24"/>
        </w:rPr>
        <w:t>The first defendant seeks</w:t>
      </w:r>
      <w:r>
        <w:rPr>
          <w:rFonts w:ascii="Times New Roman" w:hAnsi="Times New Roman" w:cs="Times New Roman"/>
          <w:sz w:val="24"/>
          <w:szCs w:val="24"/>
        </w:rPr>
        <w:t xml:space="preserve"> to maintain that the plaintiff</w:t>
      </w:r>
      <w:r w:rsidR="00F87B92">
        <w:rPr>
          <w:rFonts w:ascii="Times New Roman" w:hAnsi="Times New Roman" w:cs="Times New Roman"/>
          <w:sz w:val="24"/>
          <w:szCs w:val="24"/>
        </w:rPr>
        <w:t xml:space="preserve">s should be estopped from alleging that second and third defendants had no mandate to sell the </w:t>
      </w:r>
      <w:r w:rsidR="00C247CA">
        <w:rPr>
          <w:rFonts w:ascii="Times New Roman" w:hAnsi="Times New Roman" w:cs="Times New Roman"/>
          <w:sz w:val="24"/>
          <w:szCs w:val="24"/>
        </w:rPr>
        <w:t>property. F</w:t>
      </w:r>
      <w:r w:rsidR="00F87B92">
        <w:rPr>
          <w:rFonts w:ascii="Times New Roman" w:hAnsi="Times New Roman" w:cs="Times New Roman"/>
          <w:sz w:val="24"/>
          <w:szCs w:val="24"/>
        </w:rPr>
        <w:t xml:space="preserve">urther since the </w:t>
      </w:r>
      <w:r w:rsidR="00B65154">
        <w:rPr>
          <w:rFonts w:ascii="Times New Roman" w:hAnsi="Times New Roman" w:cs="Times New Roman"/>
          <w:sz w:val="24"/>
          <w:szCs w:val="24"/>
        </w:rPr>
        <w:t>second</w:t>
      </w:r>
      <w:r w:rsidR="00F87B92">
        <w:rPr>
          <w:rFonts w:ascii="Times New Roman" w:hAnsi="Times New Roman" w:cs="Times New Roman"/>
          <w:sz w:val="24"/>
          <w:szCs w:val="24"/>
        </w:rPr>
        <w:t xml:space="preserve"> defendant is challenging his conviction on </w:t>
      </w:r>
      <w:r w:rsidR="00C247CA">
        <w:rPr>
          <w:rFonts w:ascii="Times New Roman" w:hAnsi="Times New Roman" w:cs="Times New Roman"/>
          <w:sz w:val="24"/>
          <w:szCs w:val="24"/>
        </w:rPr>
        <w:t>appeal</w:t>
      </w:r>
      <w:r w:rsidR="00F87B92">
        <w:rPr>
          <w:rFonts w:ascii="Times New Roman" w:hAnsi="Times New Roman" w:cs="Times New Roman"/>
          <w:sz w:val="24"/>
          <w:szCs w:val="24"/>
        </w:rPr>
        <w:t xml:space="preserve"> reliance cannot be placed on the conviction</w:t>
      </w:r>
      <w:r>
        <w:rPr>
          <w:rFonts w:ascii="Times New Roman" w:hAnsi="Times New Roman" w:cs="Times New Roman"/>
          <w:sz w:val="24"/>
          <w:szCs w:val="24"/>
        </w:rPr>
        <w:t>,</w:t>
      </w:r>
      <w:r w:rsidR="00F87B92">
        <w:rPr>
          <w:rFonts w:ascii="Times New Roman" w:hAnsi="Times New Roman" w:cs="Times New Roman"/>
          <w:sz w:val="24"/>
          <w:szCs w:val="24"/>
        </w:rPr>
        <w:t xml:space="preserve"> moreso when the third defendant has no standing </w:t>
      </w:r>
      <w:r w:rsidR="00E33A69">
        <w:rPr>
          <w:rFonts w:ascii="Times New Roman" w:hAnsi="Times New Roman" w:cs="Times New Roman"/>
          <w:sz w:val="24"/>
          <w:szCs w:val="24"/>
        </w:rPr>
        <w:t xml:space="preserve">conviction </w:t>
      </w:r>
      <w:r w:rsidR="00F87B92">
        <w:rPr>
          <w:rFonts w:ascii="Times New Roman" w:hAnsi="Times New Roman" w:cs="Times New Roman"/>
          <w:sz w:val="24"/>
          <w:szCs w:val="24"/>
        </w:rPr>
        <w:t xml:space="preserve">for fraud in this case. Ms </w:t>
      </w:r>
      <w:r w:rsidR="00F87B92" w:rsidRPr="00204CD0">
        <w:rPr>
          <w:rFonts w:ascii="Times New Roman" w:hAnsi="Times New Roman" w:cs="Times New Roman"/>
          <w:i/>
          <w:sz w:val="24"/>
          <w:szCs w:val="24"/>
        </w:rPr>
        <w:t>Chimwadzimba</w:t>
      </w:r>
      <w:r w:rsidR="00F87B92">
        <w:rPr>
          <w:rFonts w:ascii="Times New Roman" w:hAnsi="Times New Roman" w:cs="Times New Roman"/>
          <w:sz w:val="24"/>
          <w:szCs w:val="24"/>
        </w:rPr>
        <w:t xml:space="preserve"> further submitted that the first defendant had constructed a perimeter wall around the property in 2009 which was only demolished in 2010. Thus the silence of the plaintiff’s amounted to some form of </w:t>
      </w:r>
      <w:r w:rsidR="00C247CA">
        <w:rPr>
          <w:rFonts w:ascii="Times New Roman" w:hAnsi="Times New Roman" w:cs="Times New Roman"/>
          <w:sz w:val="24"/>
          <w:szCs w:val="24"/>
        </w:rPr>
        <w:t>misrepresentation</w:t>
      </w:r>
      <w:r w:rsidR="00F87B92">
        <w:rPr>
          <w:rFonts w:ascii="Times New Roman" w:hAnsi="Times New Roman" w:cs="Times New Roman"/>
          <w:sz w:val="24"/>
          <w:szCs w:val="24"/>
        </w:rPr>
        <w:t xml:space="preserve"> as no one </w:t>
      </w:r>
      <w:r w:rsidR="00E33A69">
        <w:rPr>
          <w:rFonts w:ascii="Times New Roman" w:hAnsi="Times New Roman" w:cs="Times New Roman"/>
          <w:sz w:val="24"/>
          <w:szCs w:val="24"/>
        </w:rPr>
        <w:t>raised</w:t>
      </w:r>
      <w:r w:rsidR="00F87B92">
        <w:rPr>
          <w:rFonts w:ascii="Times New Roman" w:hAnsi="Times New Roman" w:cs="Times New Roman"/>
          <w:sz w:val="24"/>
          <w:szCs w:val="24"/>
        </w:rPr>
        <w:t xml:space="preserve"> the issue.</w:t>
      </w:r>
    </w:p>
    <w:p w:rsidR="00F87B92" w:rsidRDefault="00F87B92" w:rsidP="00802A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defendant has not pointed to any conduct </w:t>
      </w:r>
      <w:r w:rsidR="00AC3458">
        <w:rPr>
          <w:rFonts w:ascii="Times New Roman" w:hAnsi="Times New Roman" w:cs="Times New Roman"/>
          <w:sz w:val="24"/>
          <w:szCs w:val="24"/>
        </w:rPr>
        <w:t xml:space="preserve">upon </w:t>
      </w:r>
      <w:r>
        <w:rPr>
          <w:rFonts w:ascii="Times New Roman" w:hAnsi="Times New Roman" w:cs="Times New Roman"/>
          <w:sz w:val="24"/>
          <w:szCs w:val="24"/>
        </w:rPr>
        <w:t xml:space="preserve">which the plaintiffs could have misrepresented to the first defendant the nature of the </w:t>
      </w:r>
      <w:r w:rsidR="00AC3458">
        <w:rPr>
          <w:rFonts w:ascii="Times New Roman" w:hAnsi="Times New Roman" w:cs="Times New Roman"/>
          <w:sz w:val="24"/>
          <w:szCs w:val="24"/>
        </w:rPr>
        <w:t xml:space="preserve">true </w:t>
      </w:r>
      <w:r>
        <w:rPr>
          <w:rFonts w:ascii="Times New Roman" w:hAnsi="Times New Roman" w:cs="Times New Roman"/>
          <w:sz w:val="24"/>
          <w:szCs w:val="24"/>
        </w:rPr>
        <w:t xml:space="preserve">existing facts. The first plaintiff still holds its original title deed and maintained it never passed a resolution authorising the second defendant to sell the property. </w:t>
      </w:r>
      <w:r w:rsidR="00C247CA">
        <w:rPr>
          <w:rFonts w:ascii="Times New Roman" w:hAnsi="Times New Roman" w:cs="Times New Roman"/>
          <w:sz w:val="24"/>
          <w:szCs w:val="24"/>
        </w:rPr>
        <w:t>This</w:t>
      </w:r>
      <w:r>
        <w:rPr>
          <w:rFonts w:ascii="Times New Roman" w:hAnsi="Times New Roman" w:cs="Times New Roman"/>
          <w:sz w:val="24"/>
          <w:szCs w:val="24"/>
        </w:rPr>
        <w:t xml:space="preserve"> explains why the</w:t>
      </w:r>
      <w:r w:rsidR="006C000E">
        <w:rPr>
          <w:rFonts w:ascii="Times New Roman" w:hAnsi="Times New Roman" w:cs="Times New Roman"/>
          <w:sz w:val="24"/>
          <w:szCs w:val="24"/>
        </w:rPr>
        <w:t xml:space="preserve"> second defendant was charged with</w:t>
      </w:r>
      <w:r>
        <w:rPr>
          <w:rFonts w:ascii="Times New Roman" w:hAnsi="Times New Roman" w:cs="Times New Roman"/>
          <w:sz w:val="24"/>
          <w:szCs w:val="24"/>
        </w:rPr>
        <w:t xml:space="preserve"> fraud and ult</w:t>
      </w:r>
      <w:r w:rsidR="00665C24">
        <w:rPr>
          <w:rFonts w:ascii="Times New Roman" w:hAnsi="Times New Roman" w:cs="Times New Roman"/>
          <w:sz w:val="24"/>
          <w:szCs w:val="24"/>
        </w:rPr>
        <w:t>imately convicted. No express</w:t>
      </w:r>
      <w:r>
        <w:rPr>
          <w:rFonts w:ascii="Times New Roman" w:hAnsi="Times New Roman" w:cs="Times New Roman"/>
          <w:sz w:val="24"/>
          <w:szCs w:val="24"/>
        </w:rPr>
        <w:t xml:space="preserve"> or </w:t>
      </w:r>
      <w:r w:rsidR="006C000E">
        <w:rPr>
          <w:rFonts w:ascii="Times New Roman" w:hAnsi="Times New Roman" w:cs="Times New Roman"/>
          <w:sz w:val="24"/>
          <w:szCs w:val="24"/>
        </w:rPr>
        <w:t xml:space="preserve">tacit </w:t>
      </w:r>
      <w:r>
        <w:rPr>
          <w:rFonts w:ascii="Times New Roman" w:hAnsi="Times New Roman" w:cs="Times New Roman"/>
          <w:sz w:val="24"/>
          <w:szCs w:val="24"/>
        </w:rPr>
        <w:t xml:space="preserve">conduct of the plaintiffs can be said to have </w:t>
      </w:r>
      <w:r w:rsidR="00C247CA">
        <w:rPr>
          <w:rFonts w:ascii="Times New Roman" w:hAnsi="Times New Roman" w:cs="Times New Roman"/>
          <w:sz w:val="24"/>
          <w:szCs w:val="24"/>
        </w:rPr>
        <w:t>caused</w:t>
      </w:r>
      <w:r>
        <w:rPr>
          <w:rFonts w:ascii="Times New Roman" w:hAnsi="Times New Roman" w:cs="Times New Roman"/>
          <w:sz w:val="24"/>
          <w:szCs w:val="24"/>
        </w:rPr>
        <w:t xml:space="preserve"> the first defendant to believe that the second </w:t>
      </w:r>
      <w:r w:rsidR="00C247CA">
        <w:rPr>
          <w:rFonts w:ascii="Times New Roman" w:hAnsi="Times New Roman" w:cs="Times New Roman"/>
          <w:sz w:val="24"/>
          <w:szCs w:val="24"/>
        </w:rPr>
        <w:t>a</w:t>
      </w:r>
      <w:r>
        <w:rPr>
          <w:rFonts w:ascii="Times New Roman" w:hAnsi="Times New Roman" w:cs="Times New Roman"/>
          <w:sz w:val="24"/>
          <w:szCs w:val="24"/>
        </w:rPr>
        <w:t>nd third defendants had</w:t>
      </w:r>
      <w:r w:rsidR="00AC3458">
        <w:rPr>
          <w:rFonts w:ascii="Times New Roman" w:hAnsi="Times New Roman" w:cs="Times New Roman"/>
          <w:sz w:val="24"/>
          <w:szCs w:val="24"/>
        </w:rPr>
        <w:t xml:space="preserve"> authority to</w:t>
      </w:r>
      <w:r w:rsidR="00F13230">
        <w:rPr>
          <w:rFonts w:ascii="Times New Roman" w:hAnsi="Times New Roman" w:cs="Times New Roman"/>
          <w:sz w:val="24"/>
          <w:szCs w:val="24"/>
        </w:rPr>
        <w:t xml:space="preserve"> dispose of the</w:t>
      </w:r>
      <w:r>
        <w:rPr>
          <w:rFonts w:ascii="Times New Roman" w:hAnsi="Times New Roman" w:cs="Times New Roman"/>
          <w:sz w:val="24"/>
          <w:szCs w:val="24"/>
        </w:rPr>
        <w:t xml:space="preserve"> property as the documents relied on</w:t>
      </w:r>
      <w:r w:rsidR="00F13230">
        <w:rPr>
          <w:rFonts w:ascii="Times New Roman" w:hAnsi="Times New Roman" w:cs="Times New Roman"/>
          <w:sz w:val="24"/>
          <w:szCs w:val="24"/>
        </w:rPr>
        <w:t>,</w:t>
      </w:r>
      <w:r>
        <w:rPr>
          <w:rFonts w:ascii="Times New Roman" w:hAnsi="Times New Roman" w:cs="Times New Roman"/>
          <w:sz w:val="24"/>
          <w:szCs w:val="24"/>
        </w:rPr>
        <w:t xml:space="preserve"> being the resolution and powers of attorney</w:t>
      </w:r>
      <w:r w:rsidR="00F13230">
        <w:rPr>
          <w:rFonts w:ascii="Times New Roman" w:hAnsi="Times New Roman" w:cs="Times New Roman"/>
          <w:sz w:val="24"/>
          <w:szCs w:val="24"/>
        </w:rPr>
        <w:t>,</w:t>
      </w:r>
      <w:r>
        <w:rPr>
          <w:rFonts w:ascii="Times New Roman" w:hAnsi="Times New Roman" w:cs="Times New Roman"/>
          <w:sz w:val="24"/>
          <w:szCs w:val="24"/>
        </w:rPr>
        <w:t xml:space="preserve"> were </w:t>
      </w:r>
      <w:r w:rsidR="00C247CA">
        <w:rPr>
          <w:rFonts w:ascii="Times New Roman" w:hAnsi="Times New Roman" w:cs="Times New Roman"/>
          <w:sz w:val="24"/>
          <w:szCs w:val="24"/>
        </w:rPr>
        <w:t>fraudulent</w:t>
      </w:r>
      <w:r>
        <w:rPr>
          <w:rFonts w:ascii="Times New Roman" w:hAnsi="Times New Roman" w:cs="Times New Roman"/>
          <w:sz w:val="24"/>
          <w:szCs w:val="24"/>
        </w:rPr>
        <w:t xml:space="preserve">. There being no </w:t>
      </w:r>
      <w:r w:rsidR="00C247CA">
        <w:rPr>
          <w:rFonts w:ascii="Times New Roman" w:hAnsi="Times New Roman" w:cs="Times New Roman"/>
          <w:sz w:val="24"/>
          <w:szCs w:val="24"/>
        </w:rPr>
        <w:t>misrepresentation</w:t>
      </w:r>
      <w:r>
        <w:rPr>
          <w:rFonts w:ascii="Times New Roman" w:hAnsi="Times New Roman" w:cs="Times New Roman"/>
          <w:sz w:val="24"/>
          <w:szCs w:val="24"/>
        </w:rPr>
        <w:t xml:space="preserve"> from the pl</w:t>
      </w:r>
      <w:r w:rsidR="00F90891">
        <w:rPr>
          <w:rFonts w:ascii="Times New Roman" w:hAnsi="Times New Roman" w:cs="Times New Roman"/>
          <w:sz w:val="24"/>
          <w:szCs w:val="24"/>
        </w:rPr>
        <w:t>aintiff</w:t>
      </w:r>
      <w:r w:rsidR="002578D5">
        <w:rPr>
          <w:rFonts w:ascii="Times New Roman" w:hAnsi="Times New Roman" w:cs="Times New Roman"/>
          <w:sz w:val="24"/>
          <w:szCs w:val="24"/>
        </w:rPr>
        <w:t>s the defence of estoppel cannot hold. Further, the building of the w</w:t>
      </w:r>
      <w:r w:rsidR="00EF07A2">
        <w:rPr>
          <w:rFonts w:ascii="Times New Roman" w:hAnsi="Times New Roman" w:cs="Times New Roman"/>
          <w:sz w:val="24"/>
          <w:szCs w:val="24"/>
        </w:rPr>
        <w:t xml:space="preserve">all by the first defendant came </w:t>
      </w:r>
      <w:r w:rsidR="002578D5">
        <w:rPr>
          <w:rFonts w:ascii="Times New Roman" w:hAnsi="Times New Roman" w:cs="Times New Roman"/>
          <w:sz w:val="24"/>
          <w:szCs w:val="24"/>
        </w:rPr>
        <w:t xml:space="preserve">after the conclusion and transfer of the sale and nothing turns on it. The first defendant had already entered into the sham sale. </w:t>
      </w:r>
      <w:r w:rsidR="000D4EF1">
        <w:rPr>
          <w:rFonts w:ascii="Times New Roman" w:hAnsi="Times New Roman" w:cs="Times New Roman"/>
          <w:sz w:val="24"/>
          <w:szCs w:val="24"/>
        </w:rPr>
        <w:t>It</w:t>
      </w:r>
      <w:r w:rsidR="002578D5">
        <w:rPr>
          <w:rFonts w:ascii="Times New Roman" w:hAnsi="Times New Roman" w:cs="Times New Roman"/>
          <w:sz w:val="24"/>
          <w:szCs w:val="24"/>
        </w:rPr>
        <w:t xml:space="preserve"> is tha</w:t>
      </w:r>
      <w:r w:rsidR="00F13230">
        <w:rPr>
          <w:rFonts w:ascii="Times New Roman" w:hAnsi="Times New Roman" w:cs="Times New Roman"/>
          <w:sz w:val="24"/>
          <w:szCs w:val="24"/>
        </w:rPr>
        <w:t xml:space="preserve">t misrepresentation which causes the </w:t>
      </w:r>
      <w:r w:rsidR="002578D5">
        <w:rPr>
          <w:rFonts w:ascii="Times New Roman" w:hAnsi="Times New Roman" w:cs="Times New Roman"/>
          <w:sz w:val="24"/>
          <w:szCs w:val="24"/>
        </w:rPr>
        <w:t xml:space="preserve">raiser to act </w:t>
      </w:r>
      <w:r w:rsidR="00F13230">
        <w:rPr>
          <w:rFonts w:ascii="Times New Roman" w:hAnsi="Times New Roman" w:cs="Times New Roman"/>
          <w:sz w:val="24"/>
          <w:szCs w:val="24"/>
        </w:rPr>
        <w:t>to his/its detriment that raises</w:t>
      </w:r>
      <w:r w:rsidR="002578D5">
        <w:rPr>
          <w:rFonts w:ascii="Times New Roman" w:hAnsi="Times New Roman" w:cs="Times New Roman"/>
          <w:sz w:val="24"/>
          <w:szCs w:val="24"/>
        </w:rPr>
        <w:t xml:space="preserve"> the defence of estoppel not subsequent acts. In any event the plaintiffs</w:t>
      </w:r>
      <w:r w:rsidR="00F90891">
        <w:rPr>
          <w:rFonts w:ascii="Times New Roman" w:hAnsi="Times New Roman" w:cs="Times New Roman"/>
          <w:sz w:val="24"/>
          <w:szCs w:val="24"/>
        </w:rPr>
        <w:t>’</w:t>
      </w:r>
      <w:r w:rsidR="002578D5">
        <w:rPr>
          <w:rFonts w:ascii="Times New Roman" w:hAnsi="Times New Roman" w:cs="Times New Roman"/>
          <w:sz w:val="24"/>
          <w:szCs w:val="24"/>
        </w:rPr>
        <w:t xml:space="preserve"> were not aware that their property had been sold until they discovered that fact in 2010 and instituted criminal proceedings.</w:t>
      </w:r>
    </w:p>
    <w:p w:rsidR="002578D5" w:rsidRDefault="002578D5" w:rsidP="00802A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Given that default judgment had already been granted against the second and third defendants, the bid to </w:t>
      </w:r>
      <w:r w:rsidR="00F13230">
        <w:rPr>
          <w:rFonts w:ascii="Times New Roman" w:hAnsi="Times New Roman" w:cs="Times New Roman"/>
          <w:sz w:val="24"/>
          <w:szCs w:val="24"/>
        </w:rPr>
        <w:t xml:space="preserve">defend </w:t>
      </w:r>
      <w:r>
        <w:rPr>
          <w:rFonts w:ascii="Times New Roman" w:hAnsi="Times New Roman" w:cs="Times New Roman"/>
          <w:sz w:val="24"/>
          <w:szCs w:val="24"/>
        </w:rPr>
        <w:t xml:space="preserve">this matter by the first defendant was a futile exercise. The raising of the </w:t>
      </w:r>
      <w:r w:rsidR="00F13230">
        <w:rPr>
          <w:rFonts w:ascii="Times New Roman" w:hAnsi="Times New Roman" w:cs="Times New Roman"/>
          <w:sz w:val="24"/>
          <w:szCs w:val="24"/>
        </w:rPr>
        <w:t xml:space="preserve">defence </w:t>
      </w:r>
      <w:r>
        <w:rPr>
          <w:rFonts w:ascii="Times New Roman" w:hAnsi="Times New Roman" w:cs="Times New Roman"/>
          <w:sz w:val="24"/>
          <w:szCs w:val="24"/>
        </w:rPr>
        <w:t xml:space="preserve">of estoppel </w:t>
      </w:r>
      <w:r w:rsidR="00F13230">
        <w:rPr>
          <w:rFonts w:ascii="Times New Roman" w:hAnsi="Times New Roman" w:cs="Times New Roman"/>
          <w:sz w:val="24"/>
          <w:szCs w:val="24"/>
        </w:rPr>
        <w:t xml:space="preserve">is </w:t>
      </w:r>
      <w:r>
        <w:rPr>
          <w:rFonts w:ascii="Times New Roman" w:hAnsi="Times New Roman" w:cs="Times New Roman"/>
          <w:sz w:val="24"/>
          <w:szCs w:val="24"/>
        </w:rPr>
        <w:t>also a clutch on straws.</w:t>
      </w:r>
    </w:p>
    <w:p w:rsidR="002578D5" w:rsidRDefault="00795834" w:rsidP="00802A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plaintiff</w:t>
      </w:r>
      <w:r w:rsidR="002578D5">
        <w:rPr>
          <w:rFonts w:ascii="Times New Roman" w:hAnsi="Times New Roman" w:cs="Times New Roman"/>
          <w:sz w:val="24"/>
          <w:szCs w:val="24"/>
        </w:rPr>
        <w:t>s having established their case on a balance of probabilities</w:t>
      </w:r>
      <w:r>
        <w:rPr>
          <w:rFonts w:ascii="Times New Roman" w:hAnsi="Times New Roman" w:cs="Times New Roman"/>
          <w:sz w:val="24"/>
          <w:szCs w:val="24"/>
        </w:rPr>
        <w:t>,</w:t>
      </w:r>
      <w:r w:rsidR="002578D5">
        <w:rPr>
          <w:rFonts w:ascii="Times New Roman" w:hAnsi="Times New Roman" w:cs="Times New Roman"/>
          <w:sz w:val="24"/>
          <w:szCs w:val="24"/>
        </w:rPr>
        <w:t xml:space="preserve"> they are entitled to the relief sought. Accordingly the following order is made</w:t>
      </w:r>
      <w:r w:rsidR="00046086">
        <w:rPr>
          <w:rFonts w:ascii="Times New Roman" w:hAnsi="Times New Roman" w:cs="Times New Roman"/>
          <w:sz w:val="24"/>
          <w:szCs w:val="24"/>
        </w:rPr>
        <w:t>:</w:t>
      </w:r>
    </w:p>
    <w:p w:rsidR="00046086" w:rsidRDefault="00046086" w:rsidP="00802A9B">
      <w:pPr>
        <w:spacing w:after="0" w:line="360" w:lineRule="auto"/>
        <w:jc w:val="both"/>
        <w:rPr>
          <w:rFonts w:ascii="Times New Roman" w:hAnsi="Times New Roman" w:cs="Times New Roman"/>
          <w:sz w:val="24"/>
          <w:szCs w:val="24"/>
        </w:rPr>
      </w:pPr>
    </w:p>
    <w:p w:rsidR="00046086" w:rsidRDefault="00046086" w:rsidP="0004608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agreement of sale signed by the </w:t>
      </w:r>
      <w:r w:rsidR="00C414CD">
        <w:rPr>
          <w:rFonts w:ascii="Times New Roman" w:hAnsi="Times New Roman" w:cs="Times New Roman"/>
          <w:sz w:val="24"/>
          <w:szCs w:val="24"/>
        </w:rPr>
        <w:t>first</w:t>
      </w:r>
      <w:r w:rsidR="00946C0E">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C414CD">
        <w:rPr>
          <w:rFonts w:ascii="Times New Roman" w:hAnsi="Times New Roman" w:cs="Times New Roman"/>
          <w:sz w:val="24"/>
          <w:szCs w:val="24"/>
        </w:rPr>
        <w:t>the second</w:t>
      </w:r>
      <w:r w:rsidR="00946C0E">
        <w:rPr>
          <w:rFonts w:ascii="Times New Roman" w:hAnsi="Times New Roman" w:cs="Times New Roman"/>
          <w:sz w:val="24"/>
          <w:szCs w:val="24"/>
        </w:rPr>
        <w:t xml:space="preserve"> </w:t>
      </w:r>
      <w:r>
        <w:rPr>
          <w:rFonts w:ascii="Times New Roman" w:hAnsi="Times New Roman" w:cs="Times New Roman"/>
          <w:sz w:val="24"/>
          <w:szCs w:val="24"/>
        </w:rPr>
        <w:t>defendants on the 30</w:t>
      </w:r>
      <w:r w:rsidRPr="00046086">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2009 pertaining to stand 346 Beverley East Township be and is hereby declared null and void.</w:t>
      </w:r>
    </w:p>
    <w:p w:rsidR="00046086" w:rsidRDefault="00046086" w:rsidP="0004608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deed of transfer no. 4835/09 issued by</w:t>
      </w:r>
      <w:r w:rsidR="00A42117">
        <w:rPr>
          <w:rFonts w:ascii="Times New Roman" w:hAnsi="Times New Roman" w:cs="Times New Roman"/>
          <w:sz w:val="24"/>
          <w:szCs w:val="24"/>
        </w:rPr>
        <w:t xml:space="preserve"> fourth</w:t>
      </w:r>
      <w:r>
        <w:rPr>
          <w:rFonts w:ascii="Times New Roman" w:hAnsi="Times New Roman" w:cs="Times New Roman"/>
          <w:sz w:val="24"/>
          <w:szCs w:val="24"/>
        </w:rPr>
        <w:t xml:space="preserve"> defendant be cancelled and that </w:t>
      </w:r>
      <w:r w:rsidR="00A42117">
        <w:rPr>
          <w:rFonts w:ascii="Times New Roman" w:hAnsi="Times New Roman" w:cs="Times New Roman"/>
          <w:sz w:val="24"/>
          <w:szCs w:val="24"/>
        </w:rPr>
        <w:t>fourth</w:t>
      </w:r>
      <w:r>
        <w:rPr>
          <w:rFonts w:ascii="Times New Roman" w:hAnsi="Times New Roman" w:cs="Times New Roman"/>
          <w:sz w:val="24"/>
          <w:szCs w:val="24"/>
        </w:rPr>
        <w:t xml:space="preserve"> defendant rectifies an</w:t>
      </w:r>
      <w:r w:rsidR="00F13230">
        <w:rPr>
          <w:rFonts w:ascii="Times New Roman" w:hAnsi="Times New Roman" w:cs="Times New Roman"/>
          <w:sz w:val="24"/>
          <w:szCs w:val="24"/>
        </w:rPr>
        <w:t>d</w:t>
      </w:r>
      <w:r>
        <w:rPr>
          <w:rFonts w:ascii="Times New Roman" w:hAnsi="Times New Roman" w:cs="Times New Roman"/>
          <w:sz w:val="24"/>
          <w:szCs w:val="24"/>
        </w:rPr>
        <w:t xml:space="preserve"> correct entries in his register to reflect </w:t>
      </w:r>
      <w:r w:rsidR="00C414CD">
        <w:rPr>
          <w:rFonts w:ascii="Times New Roman" w:hAnsi="Times New Roman" w:cs="Times New Roman"/>
          <w:sz w:val="24"/>
          <w:szCs w:val="24"/>
        </w:rPr>
        <w:t>the first</w:t>
      </w:r>
      <w:r w:rsidR="00946C0E">
        <w:rPr>
          <w:rFonts w:ascii="Times New Roman" w:hAnsi="Times New Roman" w:cs="Times New Roman"/>
          <w:sz w:val="24"/>
          <w:szCs w:val="24"/>
        </w:rPr>
        <w:t xml:space="preserve"> </w:t>
      </w:r>
      <w:r>
        <w:rPr>
          <w:rFonts w:ascii="Times New Roman" w:hAnsi="Times New Roman" w:cs="Times New Roman"/>
          <w:sz w:val="24"/>
          <w:szCs w:val="24"/>
        </w:rPr>
        <w:t>plaintiff Crieff Investments Private Limited as the registered owner of stand 346 Beverley East Township of subdivision A of Green Grove measuring 7355 square metres.</w:t>
      </w:r>
    </w:p>
    <w:p w:rsidR="00046086" w:rsidRDefault="00046086" w:rsidP="0004608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Stand 346 Beverley east Township of Subdivision A of Green Grove remain the sole and exclusive property of the first plaintiff.</w:t>
      </w:r>
    </w:p>
    <w:p w:rsidR="00046086" w:rsidRDefault="006F20FA" w:rsidP="0004608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w:t>
      </w:r>
      <w:r w:rsidR="00C414CD">
        <w:rPr>
          <w:rFonts w:ascii="Times New Roman" w:hAnsi="Times New Roman" w:cs="Times New Roman"/>
          <w:sz w:val="24"/>
          <w:szCs w:val="24"/>
        </w:rPr>
        <w:t>second</w:t>
      </w:r>
      <w:r w:rsidR="00946C0E">
        <w:rPr>
          <w:rFonts w:ascii="Times New Roman" w:hAnsi="Times New Roman" w:cs="Times New Roman"/>
          <w:sz w:val="24"/>
          <w:szCs w:val="24"/>
        </w:rPr>
        <w:t xml:space="preserve"> </w:t>
      </w:r>
      <w:r w:rsidR="00046086">
        <w:rPr>
          <w:rFonts w:ascii="Times New Roman" w:hAnsi="Times New Roman" w:cs="Times New Roman"/>
          <w:sz w:val="24"/>
          <w:szCs w:val="24"/>
        </w:rPr>
        <w:t xml:space="preserve">and </w:t>
      </w:r>
      <w:r w:rsidR="00C414CD">
        <w:rPr>
          <w:rFonts w:ascii="Times New Roman" w:hAnsi="Times New Roman" w:cs="Times New Roman"/>
          <w:sz w:val="24"/>
          <w:szCs w:val="24"/>
        </w:rPr>
        <w:t>third</w:t>
      </w:r>
      <w:r w:rsidR="00946C0E">
        <w:rPr>
          <w:rFonts w:ascii="Times New Roman" w:hAnsi="Times New Roman" w:cs="Times New Roman"/>
          <w:sz w:val="24"/>
          <w:szCs w:val="24"/>
        </w:rPr>
        <w:t xml:space="preserve"> </w:t>
      </w:r>
      <w:r w:rsidR="00046086">
        <w:rPr>
          <w:rFonts w:ascii="Times New Roman" w:hAnsi="Times New Roman" w:cs="Times New Roman"/>
          <w:sz w:val="24"/>
          <w:szCs w:val="24"/>
        </w:rPr>
        <w:t>defendants pay costs of suit jointly and severally the one paying the other to be absolved.</w:t>
      </w:r>
    </w:p>
    <w:p w:rsidR="00BE1F9F" w:rsidRDefault="00BE1F9F" w:rsidP="00BE1F9F">
      <w:pPr>
        <w:pStyle w:val="ListParagraph"/>
        <w:spacing w:after="0" w:line="360" w:lineRule="auto"/>
        <w:ind w:left="0"/>
        <w:jc w:val="both"/>
        <w:rPr>
          <w:rFonts w:ascii="Times New Roman" w:hAnsi="Times New Roman" w:cs="Times New Roman"/>
          <w:sz w:val="24"/>
          <w:szCs w:val="24"/>
        </w:rPr>
      </w:pPr>
    </w:p>
    <w:p w:rsidR="00BE1F9F" w:rsidRDefault="00BE1F9F" w:rsidP="00BE1F9F">
      <w:pPr>
        <w:pStyle w:val="ListParagraph"/>
        <w:spacing w:after="0" w:line="360" w:lineRule="auto"/>
        <w:ind w:left="0"/>
        <w:jc w:val="both"/>
        <w:rPr>
          <w:rFonts w:ascii="Times New Roman" w:hAnsi="Times New Roman" w:cs="Times New Roman"/>
          <w:sz w:val="24"/>
          <w:szCs w:val="24"/>
        </w:rPr>
      </w:pPr>
    </w:p>
    <w:p w:rsidR="000D4EF1" w:rsidRDefault="000D4EF1" w:rsidP="00BE1F9F">
      <w:pPr>
        <w:pStyle w:val="ListParagraph"/>
        <w:spacing w:after="0" w:line="360" w:lineRule="auto"/>
        <w:ind w:left="0"/>
        <w:jc w:val="both"/>
        <w:rPr>
          <w:rFonts w:ascii="Times New Roman" w:hAnsi="Times New Roman" w:cs="Times New Roman"/>
          <w:sz w:val="24"/>
          <w:szCs w:val="24"/>
        </w:rPr>
      </w:pPr>
    </w:p>
    <w:p w:rsidR="000D4EF1" w:rsidRDefault="000D4EF1" w:rsidP="00BE1F9F">
      <w:pPr>
        <w:pStyle w:val="ListParagraph"/>
        <w:spacing w:after="0" w:line="360" w:lineRule="auto"/>
        <w:ind w:left="0"/>
        <w:jc w:val="both"/>
        <w:rPr>
          <w:rFonts w:ascii="Times New Roman" w:hAnsi="Times New Roman" w:cs="Times New Roman"/>
          <w:sz w:val="24"/>
          <w:szCs w:val="24"/>
        </w:rPr>
      </w:pPr>
    </w:p>
    <w:p w:rsidR="00BE1F9F" w:rsidRDefault="00BE1F9F" w:rsidP="00BE1F9F">
      <w:pPr>
        <w:pStyle w:val="ListParagraph"/>
        <w:spacing w:after="0" w:line="240" w:lineRule="auto"/>
        <w:ind w:left="0"/>
        <w:jc w:val="both"/>
        <w:rPr>
          <w:rFonts w:ascii="Times New Roman" w:hAnsi="Times New Roman" w:cs="Times New Roman"/>
          <w:sz w:val="24"/>
          <w:szCs w:val="24"/>
        </w:rPr>
      </w:pPr>
      <w:r w:rsidRPr="00BE1F9F">
        <w:rPr>
          <w:rFonts w:ascii="Times New Roman" w:hAnsi="Times New Roman" w:cs="Times New Roman"/>
          <w:i/>
          <w:sz w:val="24"/>
          <w:szCs w:val="24"/>
        </w:rPr>
        <w:t>Musunga</w:t>
      </w:r>
      <w:r w:rsidR="00CB0226">
        <w:rPr>
          <w:rFonts w:ascii="Times New Roman" w:hAnsi="Times New Roman" w:cs="Times New Roman"/>
          <w:i/>
          <w:sz w:val="24"/>
          <w:szCs w:val="24"/>
        </w:rPr>
        <w:t xml:space="preserve"> </w:t>
      </w:r>
      <w:r w:rsidRPr="00BE1F9F">
        <w:rPr>
          <w:rFonts w:ascii="Times New Roman" w:hAnsi="Times New Roman" w:cs="Times New Roman"/>
          <w:i/>
          <w:sz w:val="24"/>
          <w:szCs w:val="24"/>
        </w:rPr>
        <w:t>&amp; Associates</w:t>
      </w:r>
      <w:r>
        <w:rPr>
          <w:rFonts w:ascii="Times New Roman" w:hAnsi="Times New Roman" w:cs="Times New Roman"/>
          <w:sz w:val="24"/>
          <w:szCs w:val="24"/>
        </w:rPr>
        <w:t>, plaintiff’s legal practitioners</w:t>
      </w:r>
    </w:p>
    <w:p w:rsidR="00BE1F9F" w:rsidRDefault="00BE1F9F" w:rsidP="00BE1F9F">
      <w:pPr>
        <w:pStyle w:val="ListParagraph"/>
        <w:spacing w:after="0" w:line="240" w:lineRule="auto"/>
        <w:ind w:left="0"/>
        <w:jc w:val="both"/>
        <w:rPr>
          <w:rFonts w:ascii="Times New Roman" w:hAnsi="Times New Roman" w:cs="Times New Roman"/>
          <w:sz w:val="24"/>
          <w:szCs w:val="24"/>
        </w:rPr>
      </w:pPr>
      <w:r w:rsidRPr="00BE1F9F">
        <w:rPr>
          <w:rFonts w:ascii="Times New Roman" w:hAnsi="Times New Roman" w:cs="Times New Roman"/>
          <w:i/>
          <w:sz w:val="24"/>
          <w:szCs w:val="24"/>
        </w:rPr>
        <w:t>Venturas and Samkange</w:t>
      </w:r>
      <w:r>
        <w:rPr>
          <w:rFonts w:ascii="Times New Roman" w:hAnsi="Times New Roman" w:cs="Times New Roman"/>
          <w:sz w:val="24"/>
          <w:szCs w:val="24"/>
        </w:rPr>
        <w:t xml:space="preserve">, </w:t>
      </w:r>
      <w:r w:rsidR="00C414CD">
        <w:rPr>
          <w:rFonts w:ascii="Times New Roman" w:hAnsi="Times New Roman" w:cs="Times New Roman"/>
          <w:sz w:val="24"/>
          <w:szCs w:val="24"/>
        </w:rPr>
        <w:t>the first</w:t>
      </w:r>
      <w:r w:rsidR="00BA1E9D">
        <w:rPr>
          <w:rFonts w:ascii="Times New Roman" w:hAnsi="Times New Roman" w:cs="Times New Roman"/>
          <w:sz w:val="24"/>
          <w:szCs w:val="24"/>
        </w:rPr>
        <w:t xml:space="preserve"> </w:t>
      </w:r>
      <w:r>
        <w:rPr>
          <w:rFonts w:ascii="Times New Roman" w:hAnsi="Times New Roman" w:cs="Times New Roman"/>
          <w:sz w:val="24"/>
          <w:szCs w:val="24"/>
        </w:rPr>
        <w:t>defendant’s legal practitioners</w:t>
      </w:r>
    </w:p>
    <w:p w:rsidR="00BE1F9F" w:rsidRDefault="00BE1F9F" w:rsidP="00BE1F9F">
      <w:pPr>
        <w:pStyle w:val="ListParagraph"/>
        <w:spacing w:after="0" w:line="240" w:lineRule="auto"/>
        <w:ind w:left="0"/>
        <w:jc w:val="both"/>
        <w:rPr>
          <w:rFonts w:ascii="Times New Roman" w:hAnsi="Times New Roman" w:cs="Times New Roman"/>
          <w:sz w:val="24"/>
          <w:szCs w:val="24"/>
        </w:rPr>
      </w:pPr>
      <w:r w:rsidRPr="00BE1F9F">
        <w:rPr>
          <w:rFonts w:ascii="Times New Roman" w:hAnsi="Times New Roman" w:cs="Times New Roman"/>
          <w:i/>
          <w:sz w:val="24"/>
          <w:szCs w:val="24"/>
        </w:rPr>
        <w:t>Nyamushaya, Kasuso and Rubaya</w:t>
      </w:r>
      <w:r>
        <w:rPr>
          <w:rFonts w:ascii="Times New Roman" w:hAnsi="Times New Roman" w:cs="Times New Roman"/>
          <w:sz w:val="24"/>
          <w:szCs w:val="24"/>
        </w:rPr>
        <w:t xml:space="preserve">, </w:t>
      </w:r>
      <w:r w:rsidR="00C414CD">
        <w:rPr>
          <w:rFonts w:ascii="Times New Roman" w:hAnsi="Times New Roman" w:cs="Times New Roman"/>
          <w:sz w:val="24"/>
          <w:szCs w:val="24"/>
        </w:rPr>
        <w:t>the second</w:t>
      </w:r>
      <w:r>
        <w:rPr>
          <w:rFonts w:ascii="Times New Roman" w:hAnsi="Times New Roman" w:cs="Times New Roman"/>
          <w:sz w:val="24"/>
          <w:szCs w:val="24"/>
        </w:rPr>
        <w:t xml:space="preserve">&amp; </w:t>
      </w:r>
      <w:r w:rsidR="00C414CD">
        <w:rPr>
          <w:rFonts w:ascii="Times New Roman" w:hAnsi="Times New Roman" w:cs="Times New Roman"/>
          <w:sz w:val="24"/>
          <w:szCs w:val="24"/>
        </w:rPr>
        <w:t>the third</w:t>
      </w:r>
      <w:r w:rsidR="00BA1E9D">
        <w:rPr>
          <w:rFonts w:ascii="Times New Roman" w:hAnsi="Times New Roman" w:cs="Times New Roman"/>
          <w:sz w:val="24"/>
          <w:szCs w:val="24"/>
        </w:rPr>
        <w:t xml:space="preserve"> </w:t>
      </w:r>
      <w:r>
        <w:rPr>
          <w:rFonts w:ascii="Times New Roman" w:hAnsi="Times New Roman" w:cs="Times New Roman"/>
          <w:sz w:val="24"/>
          <w:szCs w:val="24"/>
        </w:rPr>
        <w:t xml:space="preserve">defendant’s legal practitioners </w:t>
      </w:r>
    </w:p>
    <w:p w:rsidR="00BE1F9F" w:rsidRPr="00046086" w:rsidRDefault="00BE1F9F" w:rsidP="00BE1F9F">
      <w:pPr>
        <w:pStyle w:val="ListParagraph"/>
        <w:spacing w:after="0" w:line="360" w:lineRule="auto"/>
        <w:ind w:left="0"/>
        <w:jc w:val="both"/>
        <w:rPr>
          <w:rFonts w:ascii="Times New Roman" w:hAnsi="Times New Roman" w:cs="Times New Roman"/>
          <w:sz w:val="24"/>
          <w:szCs w:val="24"/>
        </w:rPr>
      </w:pPr>
    </w:p>
    <w:sectPr w:rsidR="00BE1F9F" w:rsidRPr="00046086" w:rsidSect="00BF681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C9A" w:rsidRDefault="006E5C9A" w:rsidP="00802A9B">
      <w:pPr>
        <w:spacing w:after="0" w:line="240" w:lineRule="auto"/>
      </w:pPr>
      <w:r>
        <w:separator/>
      </w:r>
    </w:p>
  </w:endnote>
  <w:endnote w:type="continuationSeparator" w:id="0">
    <w:p w:rsidR="006E5C9A" w:rsidRDefault="006E5C9A" w:rsidP="0080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C9A" w:rsidRDefault="006E5C9A" w:rsidP="00802A9B">
      <w:pPr>
        <w:spacing w:after="0" w:line="240" w:lineRule="auto"/>
      </w:pPr>
      <w:r>
        <w:separator/>
      </w:r>
    </w:p>
  </w:footnote>
  <w:footnote w:type="continuationSeparator" w:id="0">
    <w:p w:rsidR="006E5C9A" w:rsidRDefault="006E5C9A" w:rsidP="00802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074100"/>
      <w:docPartObj>
        <w:docPartGallery w:val="Page Numbers (Top of Page)"/>
        <w:docPartUnique/>
      </w:docPartObj>
    </w:sdtPr>
    <w:sdtEndPr>
      <w:rPr>
        <w:noProof/>
      </w:rPr>
    </w:sdtEndPr>
    <w:sdtContent>
      <w:p w:rsidR="00802A9B" w:rsidRDefault="006C5F63">
        <w:pPr>
          <w:pStyle w:val="Header"/>
          <w:jc w:val="right"/>
          <w:rPr>
            <w:noProof/>
          </w:rPr>
        </w:pPr>
        <w:r>
          <w:fldChar w:fldCharType="begin"/>
        </w:r>
        <w:r w:rsidR="00802A9B">
          <w:instrText xml:space="preserve"> PAGE   \* MERGEFORMAT </w:instrText>
        </w:r>
        <w:r>
          <w:fldChar w:fldCharType="separate"/>
        </w:r>
        <w:r w:rsidR="0031218F">
          <w:rPr>
            <w:noProof/>
          </w:rPr>
          <w:t>1</w:t>
        </w:r>
        <w:r>
          <w:rPr>
            <w:noProof/>
          </w:rPr>
          <w:fldChar w:fldCharType="end"/>
        </w:r>
      </w:p>
      <w:p w:rsidR="00802A9B" w:rsidRDefault="00802A9B">
        <w:pPr>
          <w:pStyle w:val="Header"/>
          <w:jc w:val="right"/>
          <w:rPr>
            <w:noProof/>
          </w:rPr>
        </w:pPr>
        <w:r>
          <w:rPr>
            <w:noProof/>
          </w:rPr>
          <w:t>HH</w:t>
        </w:r>
        <w:r w:rsidR="00F053A5">
          <w:rPr>
            <w:noProof/>
          </w:rPr>
          <w:t xml:space="preserve"> 734-18</w:t>
        </w:r>
      </w:p>
      <w:p w:rsidR="00802A9B" w:rsidRDefault="00802A9B">
        <w:pPr>
          <w:pStyle w:val="Header"/>
          <w:jc w:val="right"/>
        </w:pPr>
        <w:r>
          <w:rPr>
            <w:noProof/>
          </w:rPr>
          <w:t>HC 8895/12</w:t>
        </w:r>
      </w:p>
    </w:sdtContent>
  </w:sdt>
  <w:p w:rsidR="00802A9B" w:rsidRDefault="00802A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A3EF6"/>
    <w:multiLevelType w:val="hybridMultilevel"/>
    <w:tmpl w:val="762C0750"/>
    <w:lvl w:ilvl="0" w:tplc="74684D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8003B71"/>
    <w:multiLevelType w:val="hybridMultilevel"/>
    <w:tmpl w:val="6F78EDD2"/>
    <w:lvl w:ilvl="0" w:tplc="F744B8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0952172"/>
    <w:multiLevelType w:val="multilevel"/>
    <w:tmpl w:val="311EC1A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7BD27EC1"/>
    <w:multiLevelType w:val="hybridMultilevel"/>
    <w:tmpl w:val="C0169840"/>
    <w:lvl w:ilvl="0" w:tplc="A6A0C78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9B"/>
    <w:rsid w:val="00003BE6"/>
    <w:rsid w:val="00046086"/>
    <w:rsid w:val="0006378E"/>
    <w:rsid w:val="00070F76"/>
    <w:rsid w:val="000D4EF1"/>
    <w:rsid w:val="00112E4A"/>
    <w:rsid w:val="00133E79"/>
    <w:rsid w:val="0017720C"/>
    <w:rsid w:val="001E2248"/>
    <w:rsid w:val="00204CD0"/>
    <w:rsid w:val="002431A6"/>
    <w:rsid w:val="002578D5"/>
    <w:rsid w:val="0031218F"/>
    <w:rsid w:val="00341536"/>
    <w:rsid w:val="00356344"/>
    <w:rsid w:val="003A1EFC"/>
    <w:rsid w:val="00446746"/>
    <w:rsid w:val="00451CF4"/>
    <w:rsid w:val="00483C92"/>
    <w:rsid w:val="004D2252"/>
    <w:rsid w:val="004D566C"/>
    <w:rsid w:val="004E7AB7"/>
    <w:rsid w:val="0058780C"/>
    <w:rsid w:val="005A243E"/>
    <w:rsid w:val="005B1591"/>
    <w:rsid w:val="005D1034"/>
    <w:rsid w:val="006207CB"/>
    <w:rsid w:val="00622BFF"/>
    <w:rsid w:val="00665C24"/>
    <w:rsid w:val="00670E30"/>
    <w:rsid w:val="006C000E"/>
    <w:rsid w:val="006C5F63"/>
    <w:rsid w:val="006E5C9A"/>
    <w:rsid w:val="006F20FA"/>
    <w:rsid w:val="00791579"/>
    <w:rsid w:val="00795834"/>
    <w:rsid w:val="007A56FF"/>
    <w:rsid w:val="007B6AD3"/>
    <w:rsid w:val="007E670E"/>
    <w:rsid w:val="00802A9B"/>
    <w:rsid w:val="00810206"/>
    <w:rsid w:val="008309C0"/>
    <w:rsid w:val="00852961"/>
    <w:rsid w:val="00875E6C"/>
    <w:rsid w:val="008C1BC4"/>
    <w:rsid w:val="008F243B"/>
    <w:rsid w:val="00906399"/>
    <w:rsid w:val="00921FCB"/>
    <w:rsid w:val="0093127A"/>
    <w:rsid w:val="00946C0E"/>
    <w:rsid w:val="009775B1"/>
    <w:rsid w:val="009B259F"/>
    <w:rsid w:val="009B5E15"/>
    <w:rsid w:val="009F4F1F"/>
    <w:rsid w:val="00A15F05"/>
    <w:rsid w:val="00A35456"/>
    <w:rsid w:val="00A42117"/>
    <w:rsid w:val="00AC3458"/>
    <w:rsid w:val="00AD2460"/>
    <w:rsid w:val="00AF64FC"/>
    <w:rsid w:val="00B015EC"/>
    <w:rsid w:val="00B65154"/>
    <w:rsid w:val="00B95579"/>
    <w:rsid w:val="00BA1655"/>
    <w:rsid w:val="00BA1E9D"/>
    <w:rsid w:val="00BC3619"/>
    <w:rsid w:val="00BE1F9F"/>
    <w:rsid w:val="00BF6812"/>
    <w:rsid w:val="00C247CA"/>
    <w:rsid w:val="00C414CD"/>
    <w:rsid w:val="00C67F8E"/>
    <w:rsid w:val="00CB0226"/>
    <w:rsid w:val="00CB6FA7"/>
    <w:rsid w:val="00CF32D3"/>
    <w:rsid w:val="00D25597"/>
    <w:rsid w:val="00D96774"/>
    <w:rsid w:val="00DA3FB3"/>
    <w:rsid w:val="00DD4A8D"/>
    <w:rsid w:val="00DF79FD"/>
    <w:rsid w:val="00DF7EC2"/>
    <w:rsid w:val="00E07768"/>
    <w:rsid w:val="00E33A69"/>
    <w:rsid w:val="00E75FE8"/>
    <w:rsid w:val="00E94513"/>
    <w:rsid w:val="00ED1EA7"/>
    <w:rsid w:val="00EF07A2"/>
    <w:rsid w:val="00F053A5"/>
    <w:rsid w:val="00F05929"/>
    <w:rsid w:val="00F13230"/>
    <w:rsid w:val="00F209CB"/>
    <w:rsid w:val="00F87B92"/>
    <w:rsid w:val="00F90891"/>
    <w:rsid w:val="00FA3C2D"/>
    <w:rsid w:val="00FB16B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64DF20-FCAD-4C19-9790-CF46134C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A9B"/>
  </w:style>
  <w:style w:type="paragraph" w:styleId="Footer">
    <w:name w:val="footer"/>
    <w:basedOn w:val="Normal"/>
    <w:link w:val="FooterChar"/>
    <w:uiPriority w:val="99"/>
    <w:unhideWhenUsed/>
    <w:rsid w:val="00802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A9B"/>
  </w:style>
  <w:style w:type="paragraph" w:styleId="ListParagraph">
    <w:name w:val="List Paragraph"/>
    <w:basedOn w:val="Normal"/>
    <w:uiPriority w:val="34"/>
    <w:qFormat/>
    <w:rsid w:val="00DF7EC2"/>
    <w:pPr>
      <w:ind w:left="720"/>
      <w:contextualSpacing/>
    </w:pPr>
  </w:style>
  <w:style w:type="paragraph" w:styleId="BalloonText">
    <w:name w:val="Balloon Text"/>
    <w:basedOn w:val="Normal"/>
    <w:link w:val="BalloonTextChar"/>
    <w:uiPriority w:val="99"/>
    <w:semiHidden/>
    <w:unhideWhenUsed/>
    <w:rsid w:val="00F20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2018-11-08T08:56:00Z</cp:lastPrinted>
  <dcterms:created xsi:type="dcterms:W3CDTF">2018-11-15T13:12:00Z</dcterms:created>
  <dcterms:modified xsi:type="dcterms:W3CDTF">2018-11-15T13:12:00Z</dcterms:modified>
</cp:coreProperties>
</file>