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EB3" w:rsidRDefault="00ED6C7E">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COSMAS ZEZERE </w:t>
      </w:r>
    </w:p>
    <w:p w:rsidR="009E4EB3" w:rsidRDefault="00ED6C7E">
      <w:pPr>
        <w:rPr>
          <w:rFonts w:ascii="Times New Roman" w:hAnsi="Times New Roman" w:cs="Times New Roman"/>
          <w:sz w:val="24"/>
          <w:szCs w:val="24"/>
        </w:rPr>
      </w:pPr>
      <w:r>
        <w:rPr>
          <w:rFonts w:ascii="Times New Roman" w:hAnsi="Times New Roman" w:cs="Times New Roman"/>
          <w:sz w:val="24"/>
          <w:szCs w:val="24"/>
        </w:rPr>
        <w:t>versus</w:t>
      </w:r>
    </w:p>
    <w:p w:rsidR="009E4EB3" w:rsidRDefault="00ED6C7E">
      <w:pPr>
        <w:spacing w:after="0" w:line="240" w:lineRule="auto"/>
        <w:rPr>
          <w:rFonts w:ascii="Times New Roman" w:hAnsi="Times New Roman" w:cs="Times New Roman"/>
          <w:sz w:val="24"/>
          <w:szCs w:val="24"/>
        </w:rPr>
      </w:pPr>
      <w:r>
        <w:rPr>
          <w:rFonts w:ascii="Times New Roman" w:hAnsi="Times New Roman" w:cs="Times New Roman"/>
          <w:sz w:val="24"/>
          <w:szCs w:val="24"/>
        </w:rPr>
        <w:t>EARTHWALES (PRIVATE) LIMITED</w:t>
      </w:r>
    </w:p>
    <w:p w:rsidR="009E4EB3" w:rsidRDefault="009E4EB3">
      <w:pPr>
        <w:spacing w:after="0" w:line="240" w:lineRule="auto"/>
        <w:rPr>
          <w:rFonts w:ascii="Times New Roman" w:hAnsi="Times New Roman" w:cs="Times New Roman"/>
          <w:sz w:val="24"/>
          <w:szCs w:val="24"/>
        </w:rPr>
      </w:pPr>
    </w:p>
    <w:p w:rsidR="009E4EB3" w:rsidRDefault="00ED6C7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E4EB3" w:rsidRDefault="009E4EB3">
      <w:pPr>
        <w:spacing w:after="0" w:line="240" w:lineRule="auto"/>
        <w:rPr>
          <w:rFonts w:ascii="Times New Roman" w:hAnsi="Times New Roman" w:cs="Times New Roman"/>
          <w:sz w:val="24"/>
          <w:szCs w:val="24"/>
        </w:rPr>
      </w:pPr>
    </w:p>
    <w:p w:rsidR="009E4EB3" w:rsidRDefault="00ED6C7E">
      <w:pPr>
        <w:spacing w:after="0" w:line="240" w:lineRule="auto"/>
        <w:rPr>
          <w:rFonts w:ascii="Times New Roman" w:hAnsi="Times New Roman" w:cs="Times New Roman"/>
          <w:sz w:val="24"/>
          <w:szCs w:val="24"/>
        </w:rPr>
      </w:pPr>
      <w:r>
        <w:rPr>
          <w:rFonts w:ascii="Times New Roman" w:hAnsi="Times New Roman" w:cs="Times New Roman"/>
          <w:sz w:val="24"/>
          <w:szCs w:val="24"/>
        </w:rPr>
        <w:t>VAMBAI SHENJERE</w:t>
      </w:r>
    </w:p>
    <w:p w:rsidR="009E4EB3" w:rsidRDefault="009E4EB3">
      <w:pPr>
        <w:spacing w:after="0" w:line="240" w:lineRule="auto"/>
        <w:rPr>
          <w:rFonts w:ascii="Times New Roman" w:hAnsi="Times New Roman" w:cs="Times New Roman"/>
          <w:sz w:val="24"/>
          <w:szCs w:val="24"/>
        </w:rPr>
      </w:pPr>
    </w:p>
    <w:p w:rsidR="009E4EB3" w:rsidRDefault="00ED6C7E">
      <w:pPr>
        <w:spacing w:after="0" w:line="240" w:lineRule="auto"/>
        <w:rPr>
          <w:rFonts w:ascii="Times New Roman" w:hAnsi="Times New Roman" w:cs="Times New Roman"/>
          <w:sz w:val="24"/>
          <w:szCs w:val="24"/>
        </w:rPr>
      </w:pPr>
      <w:r>
        <w:rPr>
          <w:rFonts w:ascii="Times New Roman" w:hAnsi="Times New Roman" w:cs="Times New Roman"/>
          <w:sz w:val="24"/>
          <w:szCs w:val="24"/>
        </w:rPr>
        <w:t>HIGH COURTG OF ZIMBABWE</w:t>
      </w:r>
    </w:p>
    <w:p w:rsidR="009E4EB3" w:rsidRDefault="00ED6C7E">
      <w:pPr>
        <w:spacing w:after="0" w:line="240" w:lineRule="auto"/>
        <w:rPr>
          <w:rFonts w:ascii="Times New Roman" w:hAnsi="Times New Roman" w:cs="Times New Roman"/>
          <w:sz w:val="24"/>
          <w:szCs w:val="24"/>
        </w:rPr>
      </w:pPr>
      <w:r>
        <w:rPr>
          <w:rFonts w:ascii="Times New Roman" w:hAnsi="Times New Roman" w:cs="Times New Roman"/>
          <w:sz w:val="24"/>
          <w:szCs w:val="24"/>
        </w:rPr>
        <w:t>COMMERCIAL DIVISION</w:t>
      </w:r>
    </w:p>
    <w:p w:rsidR="009E4EB3" w:rsidRDefault="00ED6C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9E4EB3" w:rsidRDefault="00ED6C7E">
      <w:pPr>
        <w:spacing w:after="0" w:line="240" w:lineRule="auto"/>
        <w:rPr>
          <w:rFonts w:ascii="Times New Roman" w:hAnsi="Times New Roman" w:cs="Times New Roman"/>
          <w:sz w:val="24"/>
          <w:szCs w:val="24"/>
        </w:rPr>
      </w:pPr>
      <w:r>
        <w:rPr>
          <w:rFonts w:ascii="Times New Roman" w:hAnsi="Times New Roman" w:cs="Times New Roman"/>
          <w:sz w:val="24"/>
          <w:szCs w:val="24"/>
        </w:rPr>
        <w:t>HARARE, 28 July 2023 &amp; 17 January 2024</w:t>
      </w:r>
    </w:p>
    <w:p w:rsidR="009E4EB3" w:rsidRDefault="009E4EB3">
      <w:pPr>
        <w:spacing w:after="0" w:line="240" w:lineRule="auto"/>
        <w:rPr>
          <w:rFonts w:ascii="Times New Roman" w:hAnsi="Times New Roman" w:cs="Times New Roman"/>
          <w:b/>
          <w:sz w:val="24"/>
          <w:szCs w:val="24"/>
        </w:rPr>
      </w:pPr>
    </w:p>
    <w:p w:rsidR="009E4EB3" w:rsidRDefault="00ED6C7E">
      <w:pPr>
        <w:spacing w:after="0" w:line="240" w:lineRule="auto"/>
        <w:rPr>
          <w:rFonts w:ascii="Times New Roman" w:hAnsi="Times New Roman" w:cs="Times New Roman"/>
          <w:b/>
          <w:sz w:val="24"/>
          <w:szCs w:val="24"/>
        </w:rPr>
      </w:pPr>
      <w:r>
        <w:rPr>
          <w:rFonts w:ascii="Times New Roman" w:hAnsi="Times New Roman" w:cs="Times New Roman"/>
          <w:b/>
          <w:sz w:val="24"/>
          <w:szCs w:val="24"/>
        </w:rPr>
        <w:t>COURT APPLICATION</w:t>
      </w:r>
    </w:p>
    <w:p w:rsidR="009E4EB3" w:rsidRDefault="009E4EB3">
      <w:pPr>
        <w:spacing w:after="0" w:line="240" w:lineRule="auto"/>
        <w:jc w:val="both"/>
        <w:rPr>
          <w:rFonts w:ascii="Times New Roman" w:hAnsi="Times New Roman" w:cs="Times New Roman"/>
          <w:sz w:val="24"/>
          <w:szCs w:val="24"/>
        </w:rPr>
      </w:pPr>
    </w:p>
    <w:p w:rsidR="009E4EB3" w:rsidRDefault="00ED6C7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S V Tendere, for the applicant</w:t>
      </w:r>
      <w:r>
        <w:rPr>
          <w:rFonts w:ascii="Times New Roman" w:hAnsi="Times New Roman" w:cs="Times New Roman"/>
          <w:sz w:val="24"/>
          <w:szCs w:val="24"/>
          <w:lang w:val="en-US"/>
        </w:rPr>
        <w:t>00</w:t>
      </w:r>
    </w:p>
    <w:p w:rsidR="009E4EB3" w:rsidRDefault="00ED6C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Gonese,  for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9E4EB3" w:rsidRDefault="009E4EB3">
      <w:pPr>
        <w:spacing w:after="0" w:line="240" w:lineRule="auto"/>
        <w:jc w:val="both"/>
        <w:rPr>
          <w:rFonts w:ascii="Times New Roman" w:hAnsi="Times New Roman" w:cs="Times New Roman"/>
          <w:sz w:val="24"/>
          <w:szCs w:val="24"/>
        </w:rPr>
      </w:pPr>
    </w:p>
    <w:p w:rsidR="009E4EB3" w:rsidRDefault="00ED6C7E">
      <w:pPr>
        <w:spacing w:after="0" w:line="240" w:lineRule="auto"/>
        <w:rPr>
          <w:b/>
          <w:bCs/>
        </w:rPr>
      </w:pPr>
      <w:r>
        <w:rPr>
          <w:rFonts w:ascii="Times New Roman" w:hAnsi="Times New Roman" w:cs="Times New Roman"/>
          <w:b/>
          <w:bCs/>
          <w:sz w:val="24"/>
          <w:szCs w:val="24"/>
        </w:rPr>
        <w:t xml:space="preserve">MANZUNZU J  </w:t>
      </w:r>
    </w:p>
    <w:p w:rsidR="009E4EB3" w:rsidRDefault="009E4EB3">
      <w:pPr>
        <w:rPr>
          <w:rFonts w:ascii="Times New Roman" w:hAnsi="Times New Roman" w:cs="Times New Roman"/>
          <w:b/>
          <w:bCs/>
          <w:sz w:val="24"/>
          <w:szCs w:val="24"/>
        </w:rPr>
      </w:pPr>
    </w:p>
    <w:p w:rsidR="009E4EB3" w:rsidRDefault="00ED6C7E">
      <w:pPr>
        <w:rPr>
          <w:rFonts w:ascii="Times New Roman" w:hAnsi="Times New Roman" w:cs="Times New Roman"/>
          <w:b/>
          <w:bCs/>
          <w:sz w:val="24"/>
          <w:szCs w:val="24"/>
        </w:rPr>
      </w:pPr>
      <w:r>
        <w:rPr>
          <w:rFonts w:ascii="Times New Roman" w:hAnsi="Times New Roman" w:cs="Times New Roman"/>
          <w:b/>
          <w:bCs/>
          <w:sz w:val="24"/>
          <w:szCs w:val="24"/>
        </w:rPr>
        <w:t>INTRODUCTION</w:t>
      </w:r>
    </w:p>
    <w:p w:rsidR="009E4EB3" w:rsidRDefault="00ED6C7E">
      <w:pPr>
        <w:jc w:val="both"/>
        <w:rPr>
          <w:rFonts w:ascii="Times New Roman" w:hAnsi="Times New Roman" w:cs="Times New Roman"/>
          <w:sz w:val="24"/>
          <w:szCs w:val="24"/>
        </w:rPr>
      </w:pPr>
      <w:r>
        <w:rPr>
          <w:rFonts w:ascii="Times New Roman" w:hAnsi="Times New Roman" w:cs="Times New Roman"/>
          <w:sz w:val="24"/>
          <w:szCs w:val="24"/>
        </w:rPr>
        <w:t>This is an application in terms of section 14 of the High Court Act, Chapter 7:06 seeking a declaratory order in the following terms;</w:t>
      </w:r>
    </w:p>
    <w:p w:rsidR="009E4EB3" w:rsidRDefault="00ED6C7E">
      <w:pPr>
        <w:ind w:firstLine="720"/>
        <w:jc w:val="both"/>
        <w:rPr>
          <w:rFonts w:ascii="Times New Roman" w:hAnsi="Times New Roman" w:cs="Times New Roman"/>
          <w:i/>
          <w:sz w:val="24"/>
          <w:szCs w:val="24"/>
        </w:rPr>
      </w:pPr>
      <w:r>
        <w:rPr>
          <w:rFonts w:ascii="Times New Roman" w:hAnsi="Times New Roman" w:cs="Times New Roman"/>
          <w:i/>
          <w:sz w:val="24"/>
          <w:szCs w:val="24"/>
        </w:rPr>
        <w:t>“1. The application is hereby granted.</w:t>
      </w:r>
    </w:p>
    <w:p w:rsidR="009E4EB3" w:rsidRDefault="00ED6C7E">
      <w:pPr>
        <w:ind w:firstLine="720"/>
        <w:jc w:val="both"/>
        <w:rPr>
          <w:rFonts w:ascii="Times New Roman" w:hAnsi="Times New Roman" w:cs="Times New Roman"/>
          <w:i/>
          <w:sz w:val="24"/>
          <w:szCs w:val="24"/>
          <w:lang w:val="en-US"/>
        </w:rPr>
      </w:pPr>
      <w:r>
        <w:rPr>
          <w:rFonts w:ascii="Times New Roman" w:hAnsi="Times New Roman" w:cs="Times New Roman"/>
          <w:i/>
          <w:sz w:val="24"/>
          <w:szCs w:val="24"/>
        </w:rPr>
        <w:t xml:space="preserve">  2. It is hereby declared that the partnership agreement entered into by and between </w:t>
      </w:r>
      <w:r>
        <w:rPr>
          <w:rFonts w:ascii="Times New Roman" w:hAnsi="Times New Roman" w:cs="Times New Roman"/>
          <w:i/>
          <w:sz w:val="24"/>
          <w:szCs w:val="24"/>
          <w:lang w:val="en-US"/>
        </w:rPr>
        <w:tab/>
        <w:t xml:space="preserve">     </w:t>
      </w:r>
      <w:r>
        <w:rPr>
          <w:rFonts w:ascii="Times New Roman" w:hAnsi="Times New Roman" w:cs="Times New Roman"/>
          <w:i/>
          <w:sz w:val="24"/>
          <w:szCs w:val="24"/>
        </w:rPr>
        <w:t>the   parties authorizing applicant and 2</w:t>
      </w:r>
      <w:r>
        <w:rPr>
          <w:rFonts w:ascii="Times New Roman" w:hAnsi="Times New Roman" w:cs="Times New Roman"/>
          <w:i/>
          <w:sz w:val="24"/>
          <w:szCs w:val="24"/>
          <w:vertAlign w:val="superscript"/>
        </w:rPr>
        <w:t>nd</w:t>
      </w:r>
      <w:r>
        <w:rPr>
          <w:rFonts w:ascii="Times New Roman" w:hAnsi="Times New Roman" w:cs="Times New Roman"/>
          <w:i/>
          <w:sz w:val="24"/>
          <w:szCs w:val="24"/>
        </w:rPr>
        <w:t xml:space="preserve"> respondent to use 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respondent’s </w:t>
      </w: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ab/>
        <w:t xml:space="preserve">     </w:t>
      </w:r>
    </w:p>
    <w:p w:rsidR="009E4EB3" w:rsidRDefault="00ED6C7E">
      <w:pPr>
        <w:ind w:firstLineChars="426" w:firstLine="1022"/>
        <w:jc w:val="both"/>
        <w:rPr>
          <w:rFonts w:ascii="Times New Roman" w:hAnsi="Times New Roman" w:cs="Times New Roman"/>
          <w:i/>
          <w:sz w:val="24"/>
          <w:szCs w:val="24"/>
        </w:rPr>
      </w:pPr>
      <w:r>
        <w:rPr>
          <w:rFonts w:ascii="Times New Roman" w:hAnsi="Times New Roman" w:cs="Times New Roman"/>
          <w:i/>
          <w:sz w:val="24"/>
          <w:szCs w:val="24"/>
        </w:rPr>
        <w:t>company credentials is valid and binding.</w:t>
      </w:r>
    </w:p>
    <w:p w:rsidR="009E4EB3" w:rsidRDefault="00ED6C7E">
      <w:pPr>
        <w:ind w:firstLine="720"/>
        <w:jc w:val="both"/>
        <w:rPr>
          <w:rFonts w:ascii="Times New Roman" w:hAnsi="Times New Roman" w:cs="Times New Roman"/>
          <w:sz w:val="24"/>
          <w:szCs w:val="24"/>
        </w:rPr>
      </w:pPr>
      <w:r>
        <w:rPr>
          <w:rFonts w:ascii="Times New Roman" w:hAnsi="Times New Roman" w:cs="Times New Roman"/>
          <w:i/>
          <w:sz w:val="24"/>
          <w:szCs w:val="24"/>
        </w:rPr>
        <w:t xml:space="preserve">  3. 1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respondent shall pay costs of suit at the legal practitioner and client scale</w:t>
      </w:r>
      <w:r>
        <w:rPr>
          <w:rFonts w:ascii="Times New Roman" w:hAnsi="Times New Roman" w:cs="Times New Roman"/>
          <w:sz w:val="24"/>
          <w:szCs w:val="24"/>
        </w:rPr>
        <w:t>.”</w:t>
      </w:r>
    </w:p>
    <w:p w:rsidR="009E4EB3" w:rsidRDefault="00ED6C7E">
      <w:pPr>
        <w:jc w:val="both"/>
        <w:rPr>
          <w:rFonts w:ascii="Times New Roman" w:hAnsi="Times New Roman" w:cs="Times New Roman"/>
          <w:sz w:val="24"/>
          <w:szCs w:val="24"/>
        </w:rPr>
      </w:pPr>
      <w:r>
        <w:rPr>
          <w:rFonts w:ascii="Times New Roman" w:hAnsi="Times New Roman" w:cs="Times New Roman"/>
          <w:sz w:val="24"/>
          <w:szCs w:val="24"/>
        </w:rPr>
        <w:t>The application is opposed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9E4EB3" w:rsidRDefault="009E4EB3">
      <w:pPr>
        <w:jc w:val="both"/>
        <w:rPr>
          <w:rFonts w:ascii="Times New Roman" w:hAnsi="Times New Roman" w:cs="Times New Roman"/>
          <w:b/>
          <w:bCs/>
          <w:sz w:val="24"/>
          <w:szCs w:val="24"/>
        </w:rPr>
      </w:pPr>
    </w:p>
    <w:p w:rsidR="009E4EB3" w:rsidRDefault="00ED6C7E">
      <w:pPr>
        <w:jc w:val="both"/>
        <w:rPr>
          <w:rFonts w:ascii="Times New Roman" w:hAnsi="Times New Roman" w:cs="Times New Roman"/>
          <w:b/>
          <w:bCs/>
          <w:sz w:val="24"/>
          <w:szCs w:val="24"/>
        </w:rPr>
      </w:pPr>
      <w:r>
        <w:rPr>
          <w:rFonts w:ascii="Times New Roman" w:hAnsi="Times New Roman" w:cs="Times New Roman"/>
          <w:b/>
          <w:bCs/>
          <w:sz w:val="24"/>
          <w:szCs w:val="24"/>
        </w:rPr>
        <w:t>APPLICANT’S CASE</w:t>
      </w:r>
    </w:p>
    <w:p w:rsidR="009E4EB3" w:rsidRDefault="00ED6C7E">
      <w:pPr>
        <w:jc w:val="both"/>
        <w:rPr>
          <w:rFonts w:ascii="Times New Roman" w:hAnsi="Times New Roman" w:cs="Times New Roman"/>
          <w:sz w:val="24"/>
          <w:szCs w:val="24"/>
        </w:rPr>
      </w:pPr>
      <w:r>
        <w:rPr>
          <w:rFonts w:ascii="Times New Roman" w:hAnsi="Times New Roman" w:cs="Times New Roman"/>
          <w:sz w:val="24"/>
          <w:szCs w:val="24"/>
        </w:rPr>
        <w:t>The applicant’s case is that in July 2022, him, together with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entered into a verbal partners</w:t>
      </w:r>
      <w:r>
        <w:rPr>
          <w:rFonts w:ascii="Times New Roman" w:hAnsi="Times New Roman" w:cs="Times New Roman"/>
          <w:sz w:val="24"/>
          <w:szCs w:val="24"/>
        </w:rPr>
        <w:t>hip agreement with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material term of the agreement was that the applicant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will use the name and registration papers of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enter into a contract with Crafts Properties (Private) Limited  for a lan</w:t>
      </w:r>
      <w:r>
        <w:rPr>
          <w:rFonts w:ascii="Times New Roman" w:hAnsi="Times New Roman" w:cs="Times New Roman"/>
          <w:sz w:val="24"/>
          <w:szCs w:val="24"/>
        </w:rPr>
        <w:t>d development project in Kadoma.</w:t>
      </w:r>
    </w:p>
    <w:p w:rsidR="009E4EB3" w:rsidRDefault="00ED6C7E">
      <w:pPr>
        <w:jc w:val="both"/>
        <w:rPr>
          <w:rFonts w:ascii="Times New Roman" w:hAnsi="Times New Roman" w:cs="Times New Roman"/>
          <w:b/>
          <w:bCs/>
          <w:sz w:val="24"/>
          <w:szCs w:val="24"/>
        </w:rPr>
      </w:pPr>
      <w:r>
        <w:rPr>
          <w:rFonts w:ascii="Times New Roman" w:hAnsi="Times New Roman" w:cs="Times New Roman"/>
          <w:sz w:val="24"/>
          <w:szCs w:val="24"/>
        </w:rPr>
        <w:t>The verbal partnership agreement is said to be confirmed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a letter dated 27 September 2022. In October 2022, while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in prison,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Pr>
          <w:rFonts w:ascii="Times New Roman" w:hAnsi="Times New Roman" w:cs="Times New Roman"/>
          <w:sz w:val="24"/>
          <w:szCs w:val="24"/>
        </w:rPr>
        <w:lastRenderedPageBreak/>
        <w:t>purported to cancel the agreeme</w:t>
      </w:r>
      <w:r>
        <w:rPr>
          <w:rFonts w:ascii="Times New Roman" w:hAnsi="Times New Roman" w:cs="Times New Roman"/>
          <w:sz w:val="24"/>
          <w:szCs w:val="24"/>
        </w:rPr>
        <w:t>nt which cancellation is viewed by the applicant as invalid.  The applicant seeks an order that the alleged agreement declared valid.</w:t>
      </w:r>
    </w:p>
    <w:p w:rsidR="009E4EB3" w:rsidRDefault="009E4EB3">
      <w:pPr>
        <w:jc w:val="both"/>
        <w:rPr>
          <w:rFonts w:ascii="Times New Roman" w:hAnsi="Times New Roman" w:cs="Times New Roman"/>
          <w:b/>
          <w:bCs/>
          <w:sz w:val="24"/>
          <w:szCs w:val="24"/>
        </w:rPr>
      </w:pPr>
    </w:p>
    <w:p w:rsidR="009E4EB3" w:rsidRDefault="00ED6C7E">
      <w:pPr>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RESPONDENT’S CASE.</w:t>
      </w:r>
    </w:p>
    <w:p w:rsidR="009E4EB3" w:rsidRDefault="00ED6C7E">
      <w:pPr>
        <w:jc w:val="both"/>
        <w:rPr>
          <w:rFonts w:ascii="Times New Roman" w:hAnsi="Times New Roman" w:cs="Times New Roman"/>
          <w:sz w:val="24"/>
          <w:szCs w:val="24"/>
        </w:rPr>
      </w:pPr>
      <w:r>
        <w:rPr>
          <w:rFonts w:ascii="Times New Roman" w:hAnsi="Times New Roman" w:cs="Times New Roman"/>
          <w:sz w:val="24"/>
          <w:szCs w:val="24"/>
        </w:rPr>
        <w:t xml:space="preserve">The respondent, apart from denying the existence of a partnership agreement, has raised two </w:t>
      </w:r>
      <w:r>
        <w:rPr>
          <w:rFonts w:ascii="Times New Roman" w:hAnsi="Times New Roman" w:cs="Times New Roman"/>
          <w:sz w:val="24"/>
          <w:szCs w:val="24"/>
        </w:rPr>
        <w:t>preliminary points which are subject of this judgment.</w:t>
      </w:r>
    </w:p>
    <w:p w:rsidR="009E4EB3" w:rsidRDefault="00ED6C7E">
      <w:pPr>
        <w:jc w:val="both"/>
        <w:rPr>
          <w:rFonts w:ascii="Times New Roman" w:hAnsi="Times New Roman" w:cs="Times New Roman"/>
          <w:sz w:val="24"/>
          <w:szCs w:val="24"/>
        </w:rPr>
      </w:pPr>
      <w:r>
        <w:rPr>
          <w:rFonts w:ascii="Times New Roman" w:hAnsi="Times New Roman" w:cs="Times New Roman"/>
          <w:sz w:val="24"/>
          <w:szCs w:val="24"/>
        </w:rPr>
        <w:t>I will now deal with preliminary points hereunder.</w:t>
      </w:r>
    </w:p>
    <w:p w:rsidR="009E4EB3" w:rsidRDefault="00ED6C7E">
      <w:pPr>
        <w:pStyle w:val="ListParagraph"/>
        <w:numPr>
          <w:ilvl w:val="0"/>
          <w:numId w:val="1"/>
        </w:numPr>
        <w:jc w:val="both"/>
        <w:rPr>
          <w:rFonts w:ascii="Times New Roman" w:hAnsi="Times New Roman" w:cs="Times New Roman"/>
          <w:i/>
          <w:sz w:val="24"/>
          <w:szCs w:val="24"/>
        </w:rPr>
      </w:pPr>
      <w:r>
        <w:rPr>
          <w:rFonts w:ascii="Times New Roman" w:hAnsi="Times New Roman" w:cs="Times New Roman"/>
          <w:i/>
          <w:sz w:val="24"/>
          <w:szCs w:val="24"/>
        </w:rPr>
        <w:t>Material Disputes of Fact</w:t>
      </w:r>
    </w:p>
    <w:p w:rsidR="009E4EB3" w:rsidRDefault="00ED6C7E">
      <w:pPr>
        <w:jc w:val="both"/>
        <w:rPr>
          <w:rFonts w:ascii="Times New Roman" w:hAnsi="Times New Roman" w:cs="Times New Roman"/>
          <w:sz w:val="24"/>
          <w:szCs w:val="24"/>
        </w:rPr>
      </w:pPr>
      <w:r>
        <w:rPr>
          <w:rFonts w:ascii="Times New Roman" w:hAnsi="Times New Roman" w:cs="Times New Roman"/>
          <w:sz w:val="24"/>
          <w:szCs w:val="24"/>
        </w:rPr>
        <w:t>several authorities have  settled  what amounts to material disputes of fact in a case. It arises when the court is faced wi</w:t>
      </w:r>
      <w:r>
        <w:rPr>
          <w:rFonts w:ascii="Times New Roman" w:hAnsi="Times New Roman" w:cs="Times New Roman"/>
          <w:sz w:val="24"/>
          <w:szCs w:val="24"/>
        </w:rPr>
        <w:t>th two conflicting stories, which in the absence of further oral evidence, the court cannot decide where the truth lies. The court is put in a position where it will say, ‘it is not safe to decide for either side unless more evidence is led.’ The case cann</w:t>
      </w:r>
      <w:r>
        <w:rPr>
          <w:rFonts w:ascii="Times New Roman" w:hAnsi="Times New Roman" w:cs="Times New Roman"/>
          <w:sz w:val="24"/>
          <w:szCs w:val="24"/>
        </w:rPr>
        <w:t>ot be decided on the four corners of the record without more.</w:t>
      </w:r>
    </w:p>
    <w:p w:rsidR="009E4EB3" w:rsidRDefault="00ED6C7E">
      <w:pPr>
        <w:jc w:val="both"/>
        <w:rPr>
          <w:rFonts w:ascii="Times New Roman" w:hAnsi="Times New Roman" w:cs="Times New Roman"/>
          <w:i/>
          <w:sz w:val="24"/>
          <w:szCs w:val="24"/>
        </w:rPr>
      </w:pPr>
      <w:r>
        <w:rPr>
          <w:rFonts w:ascii="Times New Roman" w:hAnsi="Times New Roman" w:cs="Times New Roman"/>
          <w:sz w:val="24"/>
          <w:szCs w:val="24"/>
        </w:rPr>
        <w:t xml:space="preserve">In   Supa Plant Investments Pvt ltd v Chidavaenzi 2009 (2) ZLR 132 (H) at 136 F-G the court remarked; </w:t>
      </w:r>
      <w:r>
        <w:t xml:space="preserve"> </w:t>
      </w:r>
      <w:r>
        <w:rPr>
          <w:rFonts w:ascii="Times New Roman" w:hAnsi="Times New Roman" w:cs="Times New Roman"/>
          <w:i/>
          <w:sz w:val="24"/>
          <w:szCs w:val="24"/>
        </w:rPr>
        <w:t>“A material dispute of fact arises when material facts alleged by the applicant are dispute</w:t>
      </w:r>
      <w:r>
        <w:rPr>
          <w:rFonts w:ascii="Times New Roman" w:hAnsi="Times New Roman" w:cs="Times New Roman"/>
          <w:i/>
          <w:sz w:val="24"/>
          <w:szCs w:val="24"/>
        </w:rPr>
        <w:t>d and traversed by the respondent in such a manner as to leave the court with no ready answer to the dispute between the parties in the absence of further evidence.”</w:t>
      </w:r>
    </w:p>
    <w:p w:rsidR="009E4EB3" w:rsidRDefault="00ED6C7E">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This court in furtherance of the above remarks stated in Grain Marketing Board v  Mandizha</w:t>
      </w:r>
      <w:r>
        <w:rPr>
          <w:rFonts w:ascii="Times New Roman" w:eastAsia="Calibri" w:hAnsi="Times New Roman" w:cs="Times New Roman"/>
          <w:sz w:val="24"/>
          <w:szCs w:val="24"/>
          <w:lang w:val="en-US"/>
        </w:rPr>
        <w:t xml:space="preserve"> HH14/16 that;</w:t>
      </w:r>
    </w:p>
    <w:p w:rsidR="009E4EB3" w:rsidRDefault="00ED6C7E">
      <w:pPr>
        <w:ind w:firstLine="720"/>
        <w:jc w:val="both"/>
        <w:rPr>
          <w:rFonts w:ascii="Times New Roman" w:hAnsi="Times New Roman"/>
          <w:i/>
          <w:sz w:val="24"/>
          <w:szCs w:val="24"/>
        </w:rPr>
      </w:pPr>
      <w:r>
        <w:rPr>
          <w:rFonts w:ascii="Times New Roman" w:hAnsi="Times New Roman"/>
          <w:i/>
          <w:sz w:val="24"/>
          <w:szCs w:val="24"/>
        </w:rPr>
        <w:t xml:space="preserve">“Put differently, it is my view that, the phrase material dispute of facts, in the </w:t>
      </w:r>
      <w:r>
        <w:rPr>
          <w:rFonts w:ascii="Times New Roman" w:hAnsi="Times New Roman"/>
          <w:i/>
          <w:sz w:val="24"/>
          <w:szCs w:val="24"/>
          <w:lang w:val="en-US"/>
        </w:rPr>
        <w:tab/>
      </w:r>
      <w:r>
        <w:rPr>
          <w:rFonts w:ascii="Times New Roman" w:hAnsi="Times New Roman"/>
          <w:i/>
          <w:sz w:val="24"/>
          <w:szCs w:val="24"/>
        </w:rPr>
        <w:t xml:space="preserve">application procedure, refers to the untenable position where  averments are made in </w:t>
      </w:r>
      <w:r>
        <w:rPr>
          <w:rFonts w:ascii="Times New Roman" w:hAnsi="Times New Roman"/>
          <w:i/>
          <w:sz w:val="24"/>
          <w:szCs w:val="24"/>
          <w:lang w:val="en-US"/>
        </w:rPr>
        <w:tab/>
      </w:r>
      <w:r>
        <w:rPr>
          <w:rFonts w:ascii="Times New Roman" w:hAnsi="Times New Roman"/>
          <w:i/>
          <w:sz w:val="24"/>
          <w:szCs w:val="24"/>
        </w:rPr>
        <w:t>an affidavit, which averments have a direct bearing on the outcome of t</w:t>
      </w:r>
      <w:r>
        <w:rPr>
          <w:rFonts w:ascii="Times New Roman" w:hAnsi="Times New Roman"/>
          <w:i/>
          <w:sz w:val="24"/>
          <w:szCs w:val="24"/>
        </w:rPr>
        <w:t xml:space="preserve">he matter, yet </w:t>
      </w:r>
      <w:r>
        <w:rPr>
          <w:rFonts w:ascii="Times New Roman" w:hAnsi="Times New Roman"/>
          <w:i/>
          <w:sz w:val="24"/>
          <w:szCs w:val="24"/>
          <w:lang w:val="en-US"/>
        </w:rPr>
        <w:tab/>
      </w:r>
      <w:r>
        <w:rPr>
          <w:rFonts w:ascii="Times New Roman" w:hAnsi="Times New Roman"/>
          <w:i/>
          <w:sz w:val="24"/>
          <w:szCs w:val="24"/>
        </w:rPr>
        <w:t xml:space="preserve">the papers which will be before the court, from the founding affidavit, the opposing </w:t>
      </w:r>
      <w:r>
        <w:rPr>
          <w:rFonts w:ascii="Times New Roman" w:hAnsi="Times New Roman"/>
          <w:i/>
          <w:sz w:val="24"/>
          <w:szCs w:val="24"/>
          <w:lang w:val="en-US"/>
        </w:rPr>
        <w:tab/>
      </w:r>
      <w:r>
        <w:rPr>
          <w:rFonts w:ascii="Times New Roman" w:hAnsi="Times New Roman"/>
          <w:i/>
          <w:sz w:val="24"/>
          <w:szCs w:val="24"/>
        </w:rPr>
        <w:t xml:space="preserve">affidavit, the answering affidavit, the annexures attached, the heads of argument, the </w:t>
      </w:r>
      <w:r>
        <w:rPr>
          <w:rFonts w:ascii="Times New Roman" w:hAnsi="Times New Roman"/>
          <w:i/>
          <w:sz w:val="24"/>
          <w:szCs w:val="24"/>
          <w:lang w:val="en-US"/>
        </w:rPr>
        <w:tab/>
      </w:r>
      <w:r>
        <w:rPr>
          <w:rFonts w:ascii="Times New Roman" w:hAnsi="Times New Roman"/>
          <w:i/>
          <w:sz w:val="24"/>
          <w:szCs w:val="24"/>
        </w:rPr>
        <w:t>parties oral address at the hearing of the matter, leave the court</w:t>
      </w:r>
      <w:r>
        <w:rPr>
          <w:rFonts w:ascii="Times New Roman" w:hAnsi="Times New Roman"/>
          <w:i/>
          <w:sz w:val="24"/>
          <w:szCs w:val="24"/>
        </w:rPr>
        <w:t xml:space="preserve"> riddled with doubt </w:t>
      </w:r>
      <w:r>
        <w:rPr>
          <w:rFonts w:ascii="Times New Roman" w:hAnsi="Times New Roman"/>
          <w:i/>
          <w:sz w:val="24"/>
          <w:szCs w:val="24"/>
          <w:lang w:val="en-US"/>
        </w:rPr>
        <w:tab/>
      </w:r>
      <w:r>
        <w:rPr>
          <w:rFonts w:ascii="Times New Roman" w:hAnsi="Times New Roman"/>
          <w:i/>
          <w:sz w:val="24"/>
          <w:szCs w:val="24"/>
        </w:rPr>
        <w:t xml:space="preserve">and uncertainty as to the veracity of the averments, to the extent that it ought to have </w:t>
      </w:r>
      <w:r>
        <w:rPr>
          <w:rFonts w:ascii="Times New Roman" w:hAnsi="Times New Roman"/>
          <w:i/>
          <w:sz w:val="24"/>
          <w:szCs w:val="24"/>
          <w:lang w:val="en-US"/>
        </w:rPr>
        <w:tab/>
      </w:r>
      <w:r>
        <w:rPr>
          <w:rFonts w:ascii="Times New Roman" w:hAnsi="Times New Roman"/>
          <w:i/>
          <w:sz w:val="24"/>
          <w:szCs w:val="24"/>
        </w:rPr>
        <w:t xml:space="preserve">been clear to the applicant, at the outset, that the court would be unable to come to a </w:t>
      </w:r>
      <w:r>
        <w:rPr>
          <w:rFonts w:ascii="Times New Roman" w:hAnsi="Times New Roman"/>
          <w:i/>
          <w:sz w:val="24"/>
          <w:szCs w:val="24"/>
          <w:lang w:val="en-US"/>
        </w:rPr>
        <w:tab/>
      </w:r>
      <w:r>
        <w:rPr>
          <w:rFonts w:ascii="Times New Roman" w:hAnsi="Times New Roman"/>
          <w:i/>
          <w:sz w:val="24"/>
          <w:szCs w:val="24"/>
        </w:rPr>
        <w:t>conclusive decision, on the merits of the application.”</w:t>
      </w:r>
    </w:p>
    <w:p w:rsidR="009E4EB3" w:rsidRDefault="00ED6C7E">
      <w:pPr>
        <w:jc w:val="both"/>
        <w:rPr>
          <w:rFonts w:ascii="Times New Roman" w:hAnsi="Times New Roman"/>
          <w:sz w:val="24"/>
          <w:szCs w:val="24"/>
        </w:rPr>
      </w:pPr>
      <w:r>
        <w:rPr>
          <w:rFonts w:ascii="Times New Roman" w:hAnsi="Times New Roman"/>
          <w:sz w:val="24"/>
          <w:szCs w:val="24"/>
        </w:rPr>
        <w:t>Mr Gonese who argued this point for the 1</w:t>
      </w:r>
      <w:r>
        <w:rPr>
          <w:rFonts w:ascii="Times New Roman" w:hAnsi="Times New Roman"/>
          <w:sz w:val="24"/>
          <w:szCs w:val="24"/>
          <w:vertAlign w:val="superscript"/>
        </w:rPr>
        <w:t>st</w:t>
      </w:r>
      <w:r>
        <w:rPr>
          <w:rFonts w:ascii="Times New Roman" w:hAnsi="Times New Roman"/>
          <w:sz w:val="24"/>
          <w:szCs w:val="24"/>
        </w:rPr>
        <w:t xml:space="preserve"> respondent, drew the court’s attention to the short comings of the founding affidavit which he said failed to lay a foundation for one to see if there was a partnership agreement and if so, what were the  terms.  There is therefore a contestation between </w:t>
      </w:r>
      <w:r>
        <w:rPr>
          <w:rFonts w:ascii="Times New Roman" w:hAnsi="Times New Roman"/>
          <w:sz w:val="24"/>
          <w:szCs w:val="24"/>
        </w:rPr>
        <w:t>the parties which cannot be resolved on paper. For example, what did each party contribute and how were the profits to be shared? The applicant failed to state the nature of the business relationship between the parties. There is a contestation between the</w:t>
      </w:r>
      <w:r>
        <w:rPr>
          <w:rFonts w:ascii="Times New Roman" w:hAnsi="Times New Roman"/>
          <w:sz w:val="24"/>
          <w:szCs w:val="24"/>
        </w:rPr>
        <w:t xml:space="preserve"> parties which cannot be resolved on paper, he further submitted. He said the situation is worsened by the absence of any evidence from the 2</w:t>
      </w:r>
      <w:r>
        <w:rPr>
          <w:rFonts w:ascii="Times New Roman" w:hAnsi="Times New Roman"/>
          <w:sz w:val="24"/>
          <w:szCs w:val="24"/>
          <w:vertAlign w:val="superscript"/>
        </w:rPr>
        <w:t>nd</w:t>
      </w:r>
      <w:r>
        <w:rPr>
          <w:rFonts w:ascii="Times New Roman" w:hAnsi="Times New Roman"/>
          <w:sz w:val="24"/>
          <w:szCs w:val="24"/>
        </w:rPr>
        <w:t xml:space="preserve"> respondent. </w:t>
      </w:r>
    </w:p>
    <w:p w:rsidR="009E4EB3" w:rsidRDefault="00ED6C7E">
      <w:pPr>
        <w:jc w:val="both"/>
        <w:rPr>
          <w:rFonts w:ascii="Times New Roman" w:hAnsi="Times New Roman"/>
          <w:sz w:val="24"/>
          <w:szCs w:val="24"/>
        </w:rPr>
      </w:pPr>
      <w:r>
        <w:rPr>
          <w:rFonts w:ascii="Times New Roman" w:hAnsi="Times New Roman"/>
          <w:sz w:val="24"/>
          <w:szCs w:val="24"/>
        </w:rPr>
        <w:t>Ms Tendere for the applicant could not validly challenge this position. While she insisted on the e</w:t>
      </w:r>
      <w:r>
        <w:rPr>
          <w:rFonts w:ascii="Times New Roman" w:hAnsi="Times New Roman"/>
          <w:sz w:val="24"/>
          <w:szCs w:val="24"/>
        </w:rPr>
        <w:t>xistence of a partnership agreement, she failed to show any factual basis in support. She relied on a letter by the 1</w:t>
      </w:r>
      <w:r>
        <w:rPr>
          <w:rFonts w:ascii="Times New Roman" w:hAnsi="Times New Roman"/>
          <w:sz w:val="24"/>
          <w:szCs w:val="24"/>
          <w:vertAlign w:val="superscript"/>
        </w:rPr>
        <w:t>st</w:t>
      </w:r>
      <w:r>
        <w:rPr>
          <w:rFonts w:ascii="Times New Roman" w:hAnsi="Times New Roman"/>
          <w:sz w:val="24"/>
          <w:szCs w:val="24"/>
        </w:rPr>
        <w:t xml:space="preserve"> respondent which confirmed that the applicant and 2</w:t>
      </w:r>
      <w:r>
        <w:rPr>
          <w:rFonts w:ascii="Times New Roman" w:hAnsi="Times New Roman"/>
          <w:sz w:val="24"/>
          <w:szCs w:val="24"/>
          <w:vertAlign w:val="superscript"/>
        </w:rPr>
        <w:t>nd</w:t>
      </w:r>
      <w:r>
        <w:rPr>
          <w:rFonts w:ascii="Times New Roman" w:hAnsi="Times New Roman"/>
          <w:sz w:val="24"/>
          <w:szCs w:val="24"/>
        </w:rPr>
        <w:t xml:space="preserve"> respondent were authorized to use the 1</w:t>
      </w:r>
      <w:r>
        <w:rPr>
          <w:rFonts w:ascii="Times New Roman" w:hAnsi="Times New Roman"/>
          <w:sz w:val="24"/>
          <w:szCs w:val="24"/>
          <w:vertAlign w:val="superscript"/>
        </w:rPr>
        <w:t>st</w:t>
      </w:r>
      <w:r>
        <w:rPr>
          <w:rFonts w:ascii="Times New Roman" w:hAnsi="Times New Roman"/>
          <w:sz w:val="24"/>
          <w:szCs w:val="24"/>
        </w:rPr>
        <w:t xml:space="preserve"> respondent’s name to enter into an agree</w:t>
      </w:r>
      <w:r>
        <w:rPr>
          <w:rFonts w:ascii="Times New Roman" w:hAnsi="Times New Roman"/>
          <w:sz w:val="24"/>
          <w:szCs w:val="24"/>
        </w:rPr>
        <w:t xml:space="preserve">ment with Craft </w:t>
      </w:r>
      <w:r>
        <w:rPr>
          <w:rFonts w:ascii="Times New Roman" w:hAnsi="Times New Roman"/>
          <w:sz w:val="24"/>
          <w:szCs w:val="24"/>
        </w:rPr>
        <w:lastRenderedPageBreak/>
        <w:t>Properties. One cannot draw an inference of a partnership from that letter. It is surprising how counsel, despite a proper acknowledgement of the position of the law, remained adamant that there was evidence of a partnership in clear circum</w:t>
      </w:r>
      <w:r>
        <w:rPr>
          <w:rFonts w:ascii="Times New Roman" w:hAnsi="Times New Roman"/>
          <w:sz w:val="24"/>
          <w:szCs w:val="24"/>
        </w:rPr>
        <w:t xml:space="preserve">stances of the absence of evidence to prove such. Such an approach does not assist the court. A partnership agreement does not exist by repeatedly saying it exists in the absence of  evidence to prove its existence.  </w:t>
      </w:r>
    </w:p>
    <w:p w:rsidR="009E4EB3" w:rsidRDefault="00ED6C7E">
      <w:pPr>
        <w:jc w:val="both"/>
        <w:rPr>
          <w:rFonts w:ascii="Times New Roman" w:hAnsi="Times New Roman"/>
          <w:sz w:val="24"/>
          <w:szCs w:val="24"/>
        </w:rPr>
      </w:pPr>
      <w:r>
        <w:rPr>
          <w:rFonts w:ascii="Times New Roman" w:hAnsi="Times New Roman"/>
          <w:sz w:val="24"/>
          <w:szCs w:val="24"/>
        </w:rPr>
        <w:t>This is one case that cries for more e</w:t>
      </w:r>
      <w:r>
        <w:rPr>
          <w:rFonts w:ascii="Times New Roman" w:hAnsi="Times New Roman"/>
          <w:sz w:val="24"/>
          <w:szCs w:val="24"/>
        </w:rPr>
        <w:t>vidence for the court to determine whether or not there was a partnership agreement. The founding affidavit is inadequate. The material dispute of facts does exist. The preliminary point must succeed.</w:t>
      </w:r>
    </w:p>
    <w:p w:rsidR="009E4EB3" w:rsidRDefault="00ED6C7E">
      <w:pPr>
        <w:pStyle w:val="ListParagraph"/>
        <w:numPr>
          <w:ilvl w:val="0"/>
          <w:numId w:val="1"/>
        </w:numPr>
        <w:jc w:val="both"/>
        <w:rPr>
          <w:rFonts w:ascii="Times New Roman" w:hAnsi="Times New Roman" w:cs="Times New Roman"/>
          <w:i/>
          <w:sz w:val="24"/>
          <w:szCs w:val="24"/>
        </w:rPr>
      </w:pPr>
      <w:r>
        <w:rPr>
          <w:rFonts w:ascii="Times New Roman" w:hAnsi="Times New Roman" w:cs="Times New Roman"/>
          <w:i/>
          <w:sz w:val="24"/>
          <w:szCs w:val="24"/>
        </w:rPr>
        <w:t>Whether the relief sought is incompetent</w:t>
      </w:r>
    </w:p>
    <w:p w:rsidR="009E4EB3" w:rsidRDefault="00ED6C7E">
      <w:pPr>
        <w:pStyle w:val="Default"/>
        <w:jc w:val="both"/>
        <w:rPr>
          <w:sz w:val="23"/>
          <w:szCs w:val="23"/>
        </w:rPr>
      </w:pPr>
      <w:r>
        <w:t xml:space="preserve">Section 14 of </w:t>
      </w:r>
      <w:r>
        <w:t>the High Court Act under which this relief is being sought provides that,</w:t>
      </w:r>
      <w:r>
        <w:rPr>
          <w:sz w:val="23"/>
          <w:szCs w:val="23"/>
        </w:rPr>
        <w:t xml:space="preserve"> Section 14 of the High Court Act under which this application has been brought reads: </w:t>
      </w:r>
    </w:p>
    <w:p w:rsidR="009E4EB3" w:rsidRDefault="00ED6C7E">
      <w:pPr>
        <w:jc w:val="both"/>
        <w:rPr>
          <w:i/>
          <w:iCs/>
          <w:sz w:val="21"/>
          <w:szCs w:val="21"/>
        </w:rPr>
      </w:pPr>
      <w:r>
        <w:rPr>
          <w:i/>
          <w:iCs/>
          <w:sz w:val="21"/>
          <w:szCs w:val="21"/>
        </w:rPr>
        <w:t xml:space="preserve">“The High Court may, in its discretion, at the instance of any interested person, inquire into </w:t>
      </w:r>
      <w:r>
        <w:rPr>
          <w:i/>
          <w:iCs/>
          <w:sz w:val="21"/>
          <w:szCs w:val="21"/>
        </w:rPr>
        <w:t>and determine any existing, future or contingent right or obligation, notwithstanding that such person cannot claim any relief consequential upon such determination.”</w:t>
      </w:r>
    </w:p>
    <w:p w:rsidR="009E4EB3" w:rsidRDefault="00ED6C7E">
      <w:pPr>
        <w:pStyle w:val="Default"/>
        <w:jc w:val="both"/>
        <w:rPr>
          <w:sz w:val="23"/>
          <w:szCs w:val="23"/>
        </w:rPr>
      </w:pPr>
      <w:r>
        <w:rPr>
          <w:sz w:val="23"/>
          <w:szCs w:val="23"/>
        </w:rPr>
        <w:t>The law governing applications for declaratory orders in terms of this section is well se</w:t>
      </w:r>
      <w:r>
        <w:rPr>
          <w:sz w:val="23"/>
          <w:szCs w:val="23"/>
        </w:rPr>
        <w:t xml:space="preserve">ttled. The applicant must show that he/she is: </w:t>
      </w:r>
    </w:p>
    <w:p w:rsidR="009E4EB3" w:rsidRDefault="009E4EB3">
      <w:pPr>
        <w:pStyle w:val="Default"/>
        <w:jc w:val="both"/>
        <w:rPr>
          <w:sz w:val="23"/>
          <w:szCs w:val="23"/>
        </w:rPr>
      </w:pPr>
    </w:p>
    <w:p w:rsidR="009E4EB3" w:rsidRDefault="00ED6C7E">
      <w:pPr>
        <w:pStyle w:val="Default"/>
        <w:numPr>
          <w:ilvl w:val="0"/>
          <w:numId w:val="2"/>
        </w:numPr>
        <w:spacing w:after="179"/>
        <w:jc w:val="both"/>
        <w:rPr>
          <w:sz w:val="23"/>
          <w:szCs w:val="23"/>
        </w:rPr>
      </w:pPr>
      <w:r>
        <w:rPr>
          <w:sz w:val="23"/>
          <w:szCs w:val="23"/>
        </w:rPr>
        <w:t xml:space="preserve">An interested person </w:t>
      </w:r>
    </w:p>
    <w:p w:rsidR="009E4EB3" w:rsidRDefault="00ED6C7E">
      <w:pPr>
        <w:pStyle w:val="Default"/>
        <w:numPr>
          <w:ilvl w:val="0"/>
          <w:numId w:val="2"/>
        </w:numPr>
        <w:spacing w:after="179"/>
        <w:jc w:val="both"/>
        <w:rPr>
          <w:sz w:val="23"/>
          <w:szCs w:val="23"/>
        </w:rPr>
      </w:pPr>
      <w:r>
        <w:rPr>
          <w:sz w:val="23"/>
          <w:szCs w:val="23"/>
        </w:rPr>
        <w:t xml:space="preserve">That </w:t>
      </w:r>
      <w:r>
        <w:rPr>
          <w:sz w:val="23"/>
          <w:szCs w:val="23"/>
          <w:u w:val="single"/>
        </w:rPr>
        <w:t>there is a right or obligation</w:t>
      </w:r>
      <w:r>
        <w:rPr>
          <w:sz w:val="23"/>
          <w:szCs w:val="23"/>
        </w:rPr>
        <w:t xml:space="preserve"> which becomes the object of inquiry </w:t>
      </w:r>
    </w:p>
    <w:p w:rsidR="009E4EB3" w:rsidRDefault="00ED6C7E">
      <w:pPr>
        <w:pStyle w:val="Default"/>
        <w:numPr>
          <w:ilvl w:val="0"/>
          <w:numId w:val="2"/>
        </w:numPr>
        <w:spacing w:after="179"/>
        <w:jc w:val="both"/>
        <w:rPr>
          <w:sz w:val="23"/>
          <w:szCs w:val="23"/>
        </w:rPr>
      </w:pPr>
      <w:r>
        <w:rPr>
          <w:sz w:val="23"/>
          <w:szCs w:val="23"/>
        </w:rPr>
        <w:t xml:space="preserve">That he is not approaching the court for what amounts to a legal opinion upon an abstract </w:t>
      </w:r>
      <w:r>
        <w:rPr>
          <w:sz w:val="23"/>
          <w:szCs w:val="23"/>
          <w:lang w:val="en-US"/>
        </w:rPr>
        <w:tab/>
      </w:r>
      <w:r>
        <w:rPr>
          <w:sz w:val="23"/>
          <w:szCs w:val="23"/>
        </w:rPr>
        <w:t xml:space="preserve">or academic matter </w:t>
      </w:r>
    </w:p>
    <w:p w:rsidR="009E4EB3" w:rsidRDefault="00ED6C7E">
      <w:pPr>
        <w:pStyle w:val="Default"/>
        <w:numPr>
          <w:ilvl w:val="0"/>
          <w:numId w:val="2"/>
        </w:numPr>
        <w:spacing w:after="179"/>
        <w:jc w:val="both"/>
        <w:rPr>
          <w:sz w:val="23"/>
          <w:szCs w:val="23"/>
        </w:rPr>
      </w:pPr>
      <w:r>
        <w:rPr>
          <w:sz w:val="23"/>
          <w:szCs w:val="23"/>
        </w:rPr>
        <w:t xml:space="preserve">That there is an interested party upon which the declaration will be binding, and </w:t>
      </w:r>
    </w:p>
    <w:p w:rsidR="009E4EB3" w:rsidRDefault="00ED6C7E">
      <w:pPr>
        <w:pStyle w:val="Default"/>
        <w:numPr>
          <w:ilvl w:val="0"/>
          <w:numId w:val="2"/>
        </w:numPr>
        <w:jc w:val="both"/>
        <w:rPr>
          <w:sz w:val="23"/>
          <w:szCs w:val="23"/>
        </w:rPr>
      </w:pPr>
      <w:r>
        <w:rPr>
          <w:sz w:val="23"/>
          <w:szCs w:val="23"/>
        </w:rPr>
        <w:t xml:space="preserve">That consideration of public policy favours the issuance of the declaratur </w:t>
      </w:r>
    </w:p>
    <w:p w:rsidR="009E4EB3" w:rsidRDefault="009E4EB3">
      <w:pPr>
        <w:pStyle w:val="Default"/>
        <w:jc w:val="both"/>
        <w:rPr>
          <w:sz w:val="23"/>
          <w:szCs w:val="23"/>
        </w:rPr>
      </w:pPr>
    </w:p>
    <w:p w:rsidR="009E4EB3" w:rsidRDefault="00ED6C7E">
      <w:pPr>
        <w:jc w:val="both"/>
        <w:rPr>
          <w:sz w:val="23"/>
          <w:szCs w:val="23"/>
        </w:rPr>
      </w:pPr>
      <w:r>
        <w:rPr>
          <w:rFonts w:ascii="Times New Roman" w:hAnsi="Times New Roman" w:cs="Times New Roman"/>
          <w:sz w:val="24"/>
          <w:szCs w:val="24"/>
        </w:rPr>
        <w:t xml:space="preserve">See Movement for Democratic Change v The President of the Republic of Zimbabwe &amp; Ors, HH 28/07; </w:t>
      </w:r>
      <w:r>
        <w:rPr>
          <w:rFonts w:ascii="Times New Roman" w:hAnsi="Times New Roman" w:cs="Times New Roman"/>
          <w:sz w:val="24"/>
          <w:szCs w:val="24"/>
        </w:rPr>
        <w:t>RK Footwear Manufacturers (Pvt) Ltd v Boka Book Sales (Pvt) Ltd</w:t>
      </w:r>
      <w:r>
        <w:rPr>
          <w:rFonts w:ascii="Times New Roman" w:hAnsi="Times New Roman" w:cs="Times New Roman"/>
          <w:color w:val="000000"/>
          <w:sz w:val="24"/>
          <w:szCs w:val="24"/>
        </w:rPr>
        <w:t>1986 (2) ZLR 209; Family Benefit Friendly Society v Commissioner of Inland Revenue &amp; Anor 1995 (4) SA 120 (T).</w:t>
      </w:r>
      <w:r>
        <w:rPr>
          <w:rFonts w:ascii="Times New Roman" w:hAnsi="Times New Roman" w:cs="Times New Roman"/>
          <w:color w:val="000000"/>
          <w:sz w:val="23"/>
          <w:szCs w:val="23"/>
        </w:rPr>
        <w:t xml:space="preserve"> </w:t>
      </w:r>
    </w:p>
    <w:p w:rsidR="009E4EB3" w:rsidRDefault="009E4EB3">
      <w:pPr>
        <w:autoSpaceDE w:val="0"/>
        <w:autoSpaceDN w:val="0"/>
        <w:adjustRightInd w:val="0"/>
        <w:spacing w:after="0" w:line="240" w:lineRule="auto"/>
        <w:jc w:val="both"/>
        <w:rPr>
          <w:rFonts w:ascii="Times New Roman" w:hAnsi="Times New Roman" w:cs="Times New Roman"/>
          <w:color w:val="000000"/>
          <w:sz w:val="24"/>
          <w:szCs w:val="24"/>
        </w:rPr>
      </w:pPr>
    </w:p>
    <w:p w:rsidR="009E4EB3" w:rsidRDefault="00ED6C7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Courts do follow a two stage approach; </w:t>
      </w:r>
    </w:p>
    <w:p w:rsidR="009E4EB3" w:rsidRDefault="009E4EB3">
      <w:pPr>
        <w:autoSpaceDE w:val="0"/>
        <w:autoSpaceDN w:val="0"/>
        <w:adjustRightInd w:val="0"/>
        <w:spacing w:after="0" w:line="240" w:lineRule="auto"/>
        <w:jc w:val="both"/>
        <w:rPr>
          <w:rFonts w:ascii="Times New Roman" w:hAnsi="Times New Roman" w:cs="Times New Roman"/>
          <w:color w:val="000000"/>
          <w:sz w:val="24"/>
          <w:szCs w:val="24"/>
        </w:rPr>
      </w:pPr>
    </w:p>
    <w:p w:rsidR="009E4EB3" w:rsidRDefault="00ED6C7E">
      <w:pPr>
        <w:numPr>
          <w:ilvl w:val="0"/>
          <w:numId w:val="3"/>
        </w:numPr>
        <w:autoSpaceDE w:val="0"/>
        <w:autoSpaceDN w:val="0"/>
        <w:adjustRightInd w:val="0"/>
        <w:spacing w:after="165"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Does the applicant have an interest in an existing, future, or contingent right? </w:t>
      </w:r>
    </w:p>
    <w:p w:rsidR="009E4EB3" w:rsidRDefault="00ED6C7E">
      <w:pPr>
        <w:numPr>
          <w:ilvl w:val="0"/>
          <w:numId w:val="3"/>
        </w:num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If so, is it appropriate to exercise the court’s discretion in favour of making the </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declaratory order sought? </w:t>
      </w:r>
    </w:p>
    <w:p w:rsidR="009E4EB3" w:rsidRDefault="009E4EB3">
      <w:pPr>
        <w:jc w:val="both"/>
        <w:rPr>
          <w:sz w:val="23"/>
          <w:szCs w:val="23"/>
        </w:rPr>
      </w:pPr>
    </w:p>
    <w:p w:rsidR="009E4EB3" w:rsidRDefault="00ED6C7E">
      <w:pPr>
        <w:jc w:val="both"/>
        <w:rPr>
          <w:rFonts w:ascii="Times New Roman" w:hAnsi="Times New Roman" w:cs="Times New Roman"/>
          <w:sz w:val="24"/>
          <w:szCs w:val="24"/>
        </w:rPr>
      </w:pPr>
      <w:r>
        <w:rPr>
          <w:rFonts w:ascii="Times New Roman" w:hAnsi="Times New Roman" w:cs="Times New Roman"/>
          <w:sz w:val="24"/>
          <w:szCs w:val="24"/>
        </w:rPr>
        <w:t>In Johnson v AFC 1995 (1) ZLR 65 (H) at p 72 E-F the cour</w:t>
      </w:r>
      <w:r>
        <w:rPr>
          <w:rFonts w:ascii="Times New Roman" w:hAnsi="Times New Roman" w:cs="Times New Roman"/>
          <w:sz w:val="24"/>
          <w:szCs w:val="24"/>
        </w:rPr>
        <w:t xml:space="preserve">t had this to say; </w:t>
      </w:r>
    </w:p>
    <w:p w:rsidR="009E4EB3" w:rsidRDefault="00ED6C7E">
      <w:pPr>
        <w:ind w:firstLine="720"/>
        <w:jc w:val="both"/>
        <w:rPr>
          <w:sz w:val="23"/>
          <w:szCs w:val="23"/>
        </w:rPr>
      </w:pPr>
      <w:r>
        <w:rPr>
          <w:sz w:val="23"/>
          <w:szCs w:val="23"/>
        </w:rPr>
        <w:t>“</w:t>
      </w:r>
      <w:r>
        <w:rPr>
          <w:rFonts w:ascii="Times New Roman" w:hAnsi="Times New Roman" w:cs="Times New Roman"/>
          <w:i/>
          <w:sz w:val="24"/>
          <w:szCs w:val="24"/>
        </w:rPr>
        <w:t xml:space="preserve">The condition precedent to the grant of a declaratory order under s 14 of the High </w:t>
      </w:r>
      <w:r>
        <w:rPr>
          <w:rFonts w:ascii="Times New Roman" w:hAnsi="Times New Roman" w:cs="Times New Roman"/>
          <w:i/>
          <w:sz w:val="24"/>
          <w:szCs w:val="24"/>
          <w:lang w:val="en-US"/>
        </w:rPr>
        <w:tab/>
      </w:r>
      <w:r>
        <w:rPr>
          <w:rFonts w:ascii="Times New Roman" w:hAnsi="Times New Roman" w:cs="Times New Roman"/>
          <w:i/>
          <w:sz w:val="24"/>
          <w:szCs w:val="24"/>
        </w:rPr>
        <w:t xml:space="preserve">Court of Zimbabwe Act 1981 is that the applicant must be an "interested person", in </w:t>
      </w:r>
      <w:r>
        <w:rPr>
          <w:rFonts w:ascii="Times New Roman" w:hAnsi="Times New Roman" w:cs="Times New Roman"/>
          <w:i/>
          <w:sz w:val="24"/>
          <w:szCs w:val="24"/>
          <w:lang w:val="en-US"/>
        </w:rPr>
        <w:tab/>
      </w:r>
      <w:r>
        <w:rPr>
          <w:rFonts w:ascii="Times New Roman" w:hAnsi="Times New Roman" w:cs="Times New Roman"/>
          <w:i/>
          <w:sz w:val="24"/>
          <w:szCs w:val="24"/>
        </w:rPr>
        <w:t>the sense of having a direct and substantial interest in the subje</w:t>
      </w:r>
      <w:r>
        <w:rPr>
          <w:rFonts w:ascii="Times New Roman" w:hAnsi="Times New Roman" w:cs="Times New Roman"/>
          <w:i/>
          <w:sz w:val="24"/>
          <w:szCs w:val="24"/>
        </w:rPr>
        <w:t xml:space="preserve">ct E matter of the suit </w:t>
      </w:r>
      <w:r>
        <w:rPr>
          <w:rFonts w:ascii="Times New Roman" w:hAnsi="Times New Roman" w:cs="Times New Roman"/>
          <w:i/>
          <w:sz w:val="24"/>
          <w:szCs w:val="24"/>
          <w:lang w:val="en-US"/>
        </w:rPr>
        <w:tab/>
      </w:r>
      <w:r>
        <w:rPr>
          <w:rFonts w:ascii="Times New Roman" w:hAnsi="Times New Roman" w:cs="Times New Roman"/>
          <w:i/>
          <w:sz w:val="24"/>
          <w:szCs w:val="24"/>
        </w:rPr>
        <w:t xml:space="preserve">which could be prejudicially affected by the judgment of the court. The interest must </w:t>
      </w:r>
      <w:r>
        <w:rPr>
          <w:rFonts w:ascii="Times New Roman" w:hAnsi="Times New Roman" w:cs="Times New Roman"/>
          <w:i/>
          <w:sz w:val="24"/>
          <w:szCs w:val="24"/>
          <w:lang w:val="en-US"/>
        </w:rPr>
        <w:lastRenderedPageBreak/>
        <w:tab/>
      </w:r>
      <w:r>
        <w:rPr>
          <w:rFonts w:ascii="Times New Roman" w:hAnsi="Times New Roman" w:cs="Times New Roman"/>
          <w:i/>
          <w:sz w:val="24"/>
          <w:szCs w:val="24"/>
        </w:rPr>
        <w:t xml:space="preserve">concern an existing, future or contingent right. The court will not decide abstract, </w:t>
      </w:r>
      <w:r>
        <w:rPr>
          <w:rFonts w:ascii="Times New Roman" w:hAnsi="Times New Roman" w:cs="Times New Roman"/>
          <w:i/>
          <w:sz w:val="24"/>
          <w:szCs w:val="24"/>
          <w:lang w:val="en-US"/>
        </w:rPr>
        <w:tab/>
      </w:r>
      <w:r>
        <w:rPr>
          <w:rFonts w:ascii="Times New Roman" w:hAnsi="Times New Roman" w:cs="Times New Roman"/>
          <w:i/>
          <w:sz w:val="24"/>
          <w:szCs w:val="24"/>
        </w:rPr>
        <w:t xml:space="preserve">academic or hypothetical questions unrelated thereto. But </w:t>
      </w:r>
      <w:r>
        <w:rPr>
          <w:rFonts w:ascii="Times New Roman" w:hAnsi="Times New Roman" w:cs="Times New Roman"/>
          <w:i/>
          <w:sz w:val="24"/>
          <w:szCs w:val="24"/>
        </w:rPr>
        <w:t xml:space="preserve">the presence of an actual </w:t>
      </w:r>
      <w:r>
        <w:rPr>
          <w:rFonts w:ascii="Times New Roman" w:hAnsi="Times New Roman" w:cs="Times New Roman"/>
          <w:i/>
          <w:sz w:val="24"/>
          <w:szCs w:val="24"/>
          <w:lang w:val="en-US"/>
        </w:rPr>
        <w:tab/>
      </w:r>
      <w:r>
        <w:rPr>
          <w:rFonts w:ascii="Times New Roman" w:hAnsi="Times New Roman" w:cs="Times New Roman"/>
          <w:i/>
          <w:sz w:val="24"/>
          <w:szCs w:val="24"/>
        </w:rPr>
        <w:t xml:space="preserve">dispute or controversy between the parties interested is not a prerequisite to the </w:t>
      </w:r>
      <w:r>
        <w:rPr>
          <w:rFonts w:ascii="Times New Roman" w:hAnsi="Times New Roman" w:cs="Times New Roman"/>
          <w:i/>
          <w:sz w:val="24"/>
          <w:szCs w:val="24"/>
          <w:lang w:val="en-US"/>
        </w:rPr>
        <w:tab/>
      </w:r>
      <w:r>
        <w:rPr>
          <w:rFonts w:ascii="Times New Roman" w:hAnsi="Times New Roman" w:cs="Times New Roman"/>
          <w:i/>
          <w:sz w:val="24"/>
          <w:szCs w:val="24"/>
        </w:rPr>
        <w:t xml:space="preserve">exercise of F jurisdiction. See Ex p Chief Immigration Officer 1993 (1) ZLR 122 (S) at </w:t>
      </w:r>
      <w:r>
        <w:rPr>
          <w:rFonts w:ascii="Times New Roman" w:hAnsi="Times New Roman" w:cs="Times New Roman"/>
          <w:i/>
          <w:sz w:val="24"/>
          <w:szCs w:val="24"/>
          <w:lang w:val="en-US"/>
        </w:rPr>
        <w:tab/>
      </w:r>
      <w:r>
        <w:rPr>
          <w:rFonts w:ascii="Times New Roman" w:hAnsi="Times New Roman" w:cs="Times New Roman"/>
          <w:i/>
          <w:sz w:val="24"/>
          <w:szCs w:val="24"/>
        </w:rPr>
        <w:t>129F-G; 1994 (1) SA 370 (ZS) at 376G-H; Munn Publishing (</w:t>
      </w:r>
      <w:r>
        <w:rPr>
          <w:rFonts w:ascii="Times New Roman" w:hAnsi="Times New Roman" w:cs="Times New Roman"/>
          <w:i/>
          <w:sz w:val="24"/>
          <w:szCs w:val="24"/>
        </w:rPr>
        <w:t xml:space="preserve">Pvt) Ltd v ZBC 1994 (1) </w:t>
      </w:r>
      <w:r>
        <w:rPr>
          <w:rFonts w:ascii="Times New Roman" w:hAnsi="Times New Roman" w:cs="Times New Roman"/>
          <w:i/>
          <w:sz w:val="24"/>
          <w:szCs w:val="24"/>
          <w:lang w:val="en-US"/>
        </w:rPr>
        <w:tab/>
      </w:r>
      <w:r>
        <w:rPr>
          <w:rFonts w:ascii="Times New Roman" w:hAnsi="Times New Roman" w:cs="Times New Roman"/>
          <w:i/>
          <w:sz w:val="24"/>
          <w:szCs w:val="24"/>
        </w:rPr>
        <w:t>ZLR 337(S) and the cases cited</w:t>
      </w:r>
      <w:r>
        <w:rPr>
          <w:sz w:val="23"/>
          <w:szCs w:val="23"/>
        </w:rPr>
        <w:t>.”</w:t>
      </w:r>
    </w:p>
    <w:p w:rsidR="009E4EB3" w:rsidRDefault="00ED6C7E">
      <w:pPr>
        <w:jc w:val="both"/>
        <w:rPr>
          <w:rFonts w:ascii="Times New Roman" w:hAnsi="Times New Roman" w:cs="Times New Roman"/>
          <w:sz w:val="24"/>
          <w:szCs w:val="24"/>
        </w:rPr>
      </w:pPr>
      <w:r>
        <w:rPr>
          <w:rFonts w:ascii="Times New Roman" w:hAnsi="Times New Roman" w:cs="Times New Roman"/>
          <w:sz w:val="24"/>
          <w:szCs w:val="24"/>
        </w:rPr>
        <w:t>A person seeking a declaration of rights must set forth his/her contention as to what the alleged right is. This requirement ensures that an applicant does not seek a declaration of non-existent rig</w:t>
      </w:r>
      <w:r>
        <w:rPr>
          <w:rFonts w:ascii="Times New Roman" w:hAnsi="Times New Roman" w:cs="Times New Roman"/>
          <w:sz w:val="24"/>
          <w:szCs w:val="24"/>
        </w:rPr>
        <w:t>hts or consideration of rights in the abstract.</w:t>
      </w:r>
    </w:p>
    <w:p w:rsidR="009E4EB3" w:rsidRDefault="00ED6C7E">
      <w:pPr>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iCs/>
          <w:sz w:val="24"/>
          <w:szCs w:val="24"/>
        </w:rPr>
        <w:t>casu</w:t>
      </w:r>
      <w:r>
        <w:rPr>
          <w:rFonts w:ascii="Times New Roman" w:hAnsi="Times New Roman" w:cs="Times New Roman"/>
          <w:sz w:val="24"/>
          <w:szCs w:val="24"/>
        </w:rPr>
        <w:t xml:space="preserve"> the applicant content his rights are derived from a partnership agreement.</w:t>
      </w:r>
    </w:p>
    <w:p w:rsidR="009E4EB3" w:rsidRDefault="00ED6C7E">
      <w:pPr>
        <w:jc w:val="both"/>
        <w:rPr>
          <w:rFonts w:ascii="Times New Roman" w:hAnsi="Times New Roman" w:cs="Times New Roman"/>
          <w:sz w:val="24"/>
          <w:szCs w:val="24"/>
        </w:rPr>
      </w:pPr>
      <w:r>
        <w:rPr>
          <w:rFonts w:ascii="Times New Roman" w:hAnsi="Times New Roman" w:cs="Times New Roman"/>
          <w:sz w:val="24"/>
          <w:szCs w:val="24"/>
        </w:rPr>
        <w:t>Mr Gonese submitted that the applicant cannot rely on a disputed right which may only be established upon further evidence be</w:t>
      </w:r>
      <w:r>
        <w:rPr>
          <w:rFonts w:ascii="Times New Roman" w:hAnsi="Times New Roman" w:cs="Times New Roman"/>
          <w:sz w:val="24"/>
          <w:szCs w:val="24"/>
        </w:rPr>
        <w:t xml:space="preserve">ing adduced. In other words, he says no rights can be derived from a disputed agreement. Further, there were no specific rights to be enforced in the absence of a clear agreement. </w:t>
      </w:r>
    </w:p>
    <w:p w:rsidR="009E4EB3" w:rsidRDefault="00ED6C7E">
      <w:pPr>
        <w:jc w:val="both"/>
        <w:rPr>
          <w:rFonts w:ascii="Times New Roman" w:hAnsi="Times New Roman" w:cs="Times New Roman"/>
          <w:sz w:val="24"/>
          <w:szCs w:val="24"/>
        </w:rPr>
      </w:pPr>
      <w:r>
        <w:rPr>
          <w:rFonts w:ascii="Times New Roman" w:hAnsi="Times New Roman" w:cs="Times New Roman"/>
          <w:sz w:val="24"/>
          <w:szCs w:val="24"/>
        </w:rPr>
        <w:t xml:space="preserve">Ms Tendere maintained her earlier stance that the rights intended to be </w:t>
      </w:r>
      <w:r>
        <w:rPr>
          <w:rFonts w:ascii="Times New Roman" w:hAnsi="Times New Roman" w:cs="Times New Roman"/>
          <w:sz w:val="24"/>
          <w:szCs w:val="24"/>
        </w:rPr>
        <w:t>declared are derived from a partnership agreement. A finding has been made that there are material disputes of fact which cannot be resolved without further evidence. No rights can therefore be derived from the disputed facts. The case cannot be a proper o</w:t>
      </w:r>
      <w:r>
        <w:rPr>
          <w:rFonts w:ascii="Times New Roman" w:hAnsi="Times New Roman" w:cs="Times New Roman"/>
          <w:sz w:val="24"/>
          <w:szCs w:val="24"/>
        </w:rPr>
        <w:t>ne for the court to exercise its discretion under section 14 of the High Court Act. This is a matter which ought to have been brought as an action.</w:t>
      </w:r>
    </w:p>
    <w:p w:rsidR="009E4EB3" w:rsidRDefault="00ED6C7E">
      <w:pPr>
        <w:jc w:val="both"/>
        <w:rPr>
          <w:rFonts w:ascii="Times New Roman" w:hAnsi="Times New Roman" w:cs="Times New Roman"/>
          <w:sz w:val="24"/>
          <w:szCs w:val="24"/>
        </w:rPr>
      </w:pPr>
      <w:r>
        <w:rPr>
          <w:rFonts w:ascii="Times New Roman" w:hAnsi="Times New Roman" w:cs="Times New Roman"/>
          <w:sz w:val="24"/>
          <w:szCs w:val="24"/>
        </w:rPr>
        <w:t>Mr Gonese asked for costs on a higher scale on the basis that the applicant should have foreseen that this m</w:t>
      </w:r>
      <w:r>
        <w:rPr>
          <w:rFonts w:ascii="Times New Roman" w:hAnsi="Times New Roman" w:cs="Times New Roman"/>
          <w:sz w:val="24"/>
          <w:szCs w:val="24"/>
        </w:rPr>
        <w:t>atter should have proceeded by way of summons. I do not think this is a proper case to impose punitive costs. The applicant believed that the application procedure could resolve the matter.</w:t>
      </w:r>
    </w:p>
    <w:p w:rsidR="009E4EB3" w:rsidRDefault="00ED6C7E">
      <w:pPr>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9E4EB3" w:rsidRDefault="00ED6C7E">
      <w:pPr>
        <w:jc w:val="both"/>
        <w:rPr>
          <w:rFonts w:ascii="Times New Roman" w:hAnsi="Times New Roman" w:cs="Times New Roman"/>
          <w:sz w:val="24"/>
          <w:szCs w:val="24"/>
        </w:rPr>
      </w:pPr>
      <w:r>
        <w:rPr>
          <w:rFonts w:ascii="Times New Roman" w:hAnsi="Times New Roman" w:cs="Times New Roman"/>
          <w:sz w:val="24"/>
          <w:szCs w:val="24"/>
        </w:rPr>
        <w:t xml:space="preserve">The applicant adopted the wrong procedure in bringing </w:t>
      </w:r>
      <w:r>
        <w:rPr>
          <w:rFonts w:ascii="Times New Roman" w:hAnsi="Times New Roman" w:cs="Times New Roman"/>
          <w:sz w:val="24"/>
          <w:szCs w:val="24"/>
        </w:rPr>
        <w:t>this case. There are material disputes of fact. It serves no purpose to have the matter struck off the roll. The proper course is to dismiss the application.</w:t>
      </w:r>
    </w:p>
    <w:p w:rsidR="009E4EB3" w:rsidRDefault="00ED6C7E">
      <w:pPr>
        <w:jc w:val="both"/>
        <w:rPr>
          <w:rFonts w:ascii="Times New Roman" w:hAnsi="Times New Roman" w:cs="Times New Roman"/>
          <w:b/>
          <w:bCs/>
          <w:sz w:val="24"/>
          <w:szCs w:val="24"/>
        </w:rPr>
      </w:pPr>
      <w:r>
        <w:rPr>
          <w:rFonts w:ascii="Times New Roman" w:hAnsi="Times New Roman" w:cs="Times New Roman"/>
          <w:b/>
          <w:bCs/>
          <w:sz w:val="24"/>
          <w:szCs w:val="24"/>
        </w:rPr>
        <w:t>DISPOSITION</w:t>
      </w:r>
    </w:p>
    <w:p w:rsidR="009E4EB3" w:rsidRDefault="00ED6C7E">
      <w:pPr>
        <w:jc w:val="both"/>
        <w:rPr>
          <w:rFonts w:ascii="Times New Roman" w:hAnsi="Times New Roman" w:cs="Times New Roman"/>
          <w:sz w:val="24"/>
          <w:szCs w:val="24"/>
        </w:rPr>
      </w:pPr>
      <w:r>
        <w:rPr>
          <w:rFonts w:ascii="Times New Roman" w:hAnsi="Times New Roman" w:cs="Times New Roman"/>
          <w:sz w:val="24"/>
          <w:szCs w:val="24"/>
        </w:rPr>
        <w:t>1.The preliminary points be and are hereby upheld.</w:t>
      </w:r>
    </w:p>
    <w:p w:rsidR="009E4EB3" w:rsidRDefault="00ED6C7E">
      <w:pPr>
        <w:jc w:val="both"/>
        <w:rPr>
          <w:rFonts w:ascii="Times New Roman" w:hAnsi="Times New Roman" w:cs="Times New Roman"/>
          <w:sz w:val="24"/>
          <w:szCs w:val="24"/>
        </w:rPr>
      </w:pPr>
      <w:r>
        <w:rPr>
          <w:rFonts w:ascii="Times New Roman" w:hAnsi="Times New Roman" w:cs="Times New Roman"/>
          <w:sz w:val="24"/>
          <w:szCs w:val="24"/>
        </w:rPr>
        <w:t>2. The application is hereby dismis</w:t>
      </w:r>
      <w:r>
        <w:rPr>
          <w:rFonts w:ascii="Times New Roman" w:hAnsi="Times New Roman" w:cs="Times New Roman"/>
          <w:sz w:val="24"/>
          <w:szCs w:val="24"/>
        </w:rPr>
        <w:t>sed with costs.</w:t>
      </w:r>
    </w:p>
    <w:p w:rsidR="009E4EB3" w:rsidRDefault="009E4EB3">
      <w:pPr>
        <w:jc w:val="both"/>
        <w:rPr>
          <w:rFonts w:ascii="Times New Roman" w:hAnsi="Times New Roman" w:cs="Times New Roman"/>
          <w:sz w:val="24"/>
          <w:szCs w:val="24"/>
        </w:rPr>
      </w:pPr>
    </w:p>
    <w:p w:rsidR="009E4EB3" w:rsidRDefault="009E4EB3">
      <w:pPr>
        <w:jc w:val="both"/>
        <w:rPr>
          <w:rFonts w:ascii="Times New Roman" w:hAnsi="Times New Roman" w:cs="Times New Roman"/>
          <w:sz w:val="24"/>
          <w:szCs w:val="24"/>
        </w:rPr>
      </w:pPr>
    </w:p>
    <w:p w:rsidR="009E4EB3" w:rsidRDefault="00ED6C7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Munangati and Associates</w:t>
      </w:r>
      <w:r>
        <w:rPr>
          <w:rFonts w:ascii="Times New Roman" w:hAnsi="Times New Roman" w:cs="Times New Roman"/>
          <w:sz w:val="24"/>
          <w:szCs w:val="24"/>
        </w:rPr>
        <w:t>, the applicant’s legal practitioners</w:t>
      </w:r>
    </w:p>
    <w:p w:rsidR="009E4EB3" w:rsidRDefault="00ED6C7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Lawman Law Chambers</w:t>
      </w:r>
      <w:r>
        <w:rPr>
          <w:rFonts w:ascii="Times New Roman" w:hAnsi="Times New Roman" w:cs="Times New Roman"/>
          <w:sz w:val="24"/>
          <w:szCs w:val="24"/>
        </w:rPr>
        <w: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9E4EB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C7E" w:rsidRDefault="00ED6C7E">
      <w:pPr>
        <w:spacing w:line="240" w:lineRule="auto"/>
      </w:pPr>
      <w:r>
        <w:separator/>
      </w:r>
    </w:p>
  </w:endnote>
  <w:endnote w:type="continuationSeparator" w:id="0">
    <w:p w:rsidR="00ED6C7E" w:rsidRDefault="00ED6C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C7E" w:rsidRDefault="00ED6C7E">
      <w:pPr>
        <w:spacing w:after="0"/>
      </w:pPr>
      <w:r>
        <w:separator/>
      </w:r>
    </w:p>
  </w:footnote>
  <w:footnote w:type="continuationSeparator" w:id="0">
    <w:p w:rsidR="00ED6C7E" w:rsidRDefault="00ED6C7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881612"/>
      <w:docPartObj>
        <w:docPartGallery w:val="AutoText"/>
      </w:docPartObj>
    </w:sdtPr>
    <w:sdtEndPr/>
    <w:sdtContent>
      <w:p w:rsidR="009E4EB3" w:rsidRDefault="00ED6C7E">
        <w:pPr>
          <w:pStyle w:val="Header"/>
          <w:jc w:val="right"/>
        </w:pPr>
        <w:r>
          <w:fldChar w:fldCharType="begin"/>
        </w:r>
        <w:r>
          <w:instrText xml:space="preserve"> PAGE   \* MERGEFORMAT </w:instrText>
        </w:r>
        <w:r>
          <w:fldChar w:fldCharType="separate"/>
        </w:r>
        <w:r w:rsidR="000F6BC4">
          <w:rPr>
            <w:noProof/>
          </w:rPr>
          <w:t>2</w:t>
        </w:r>
        <w:r>
          <w:fldChar w:fldCharType="end"/>
        </w:r>
      </w:p>
      <w:p w:rsidR="009E4EB3" w:rsidRDefault="00ED6C7E">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rPr>
          <w:t xml:space="preserve"> H</w:t>
        </w:r>
        <w:r>
          <w:rPr>
            <w:rFonts w:ascii="Times New Roman" w:hAnsi="Times New Roman" w:cs="Times New Roman"/>
            <w:sz w:val="24"/>
            <w:szCs w:val="24"/>
            <w:lang w:val="en-US"/>
          </w:rPr>
          <w:t>H26/24</w:t>
        </w:r>
      </w:p>
      <w:p w:rsidR="009E4EB3" w:rsidRDefault="00ED6C7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HCHC 127/23</w:t>
        </w:r>
      </w:p>
      <w:p w:rsidR="009E4EB3" w:rsidRDefault="00ED6C7E">
        <w:pPr>
          <w:pStyle w:val="Header"/>
          <w:jc w:val="right"/>
        </w:pPr>
      </w:p>
    </w:sdtContent>
  </w:sdt>
  <w:p w:rsidR="009E4EB3" w:rsidRDefault="009E4E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1AA393"/>
    <w:multiLevelType w:val="multilevel"/>
    <w:tmpl w:val="A11AA393"/>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B864EC"/>
    <w:multiLevelType w:val="multilevel"/>
    <w:tmpl w:val="11B864E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55DBA9"/>
    <w:multiLevelType w:val="multilevel"/>
    <w:tmpl w:val="4F55DBA9"/>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02"/>
    <w:rsid w:val="00085802"/>
    <w:rsid w:val="000D57F3"/>
    <w:rsid w:val="000F6BC4"/>
    <w:rsid w:val="001760FE"/>
    <w:rsid w:val="001A6F43"/>
    <w:rsid w:val="001F196A"/>
    <w:rsid w:val="00226BD9"/>
    <w:rsid w:val="0027318E"/>
    <w:rsid w:val="00274426"/>
    <w:rsid w:val="002E03D1"/>
    <w:rsid w:val="004133DE"/>
    <w:rsid w:val="00430C13"/>
    <w:rsid w:val="00454026"/>
    <w:rsid w:val="0047681D"/>
    <w:rsid w:val="005D56A4"/>
    <w:rsid w:val="00656BCC"/>
    <w:rsid w:val="00670CBF"/>
    <w:rsid w:val="006746F8"/>
    <w:rsid w:val="0069482E"/>
    <w:rsid w:val="007C4C47"/>
    <w:rsid w:val="007F537E"/>
    <w:rsid w:val="008411CE"/>
    <w:rsid w:val="00852FD5"/>
    <w:rsid w:val="008577AD"/>
    <w:rsid w:val="008706FD"/>
    <w:rsid w:val="00924AF6"/>
    <w:rsid w:val="009B0210"/>
    <w:rsid w:val="009B75F4"/>
    <w:rsid w:val="009E4EB3"/>
    <w:rsid w:val="00AC21B2"/>
    <w:rsid w:val="00AF54A6"/>
    <w:rsid w:val="00BA4BF2"/>
    <w:rsid w:val="00BB7B86"/>
    <w:rsid w:val="00BD764D"/>
    <w:rsid w:val="00C63154"/>
    <w:rsid w:val="00D4270A"/>
    <w:rsid w:val="00D477C0"/>
    <w:rsid w:val="00DC32F9"/>
    <w:rsid w:val="00DD55DA"/>
    <w:rsid w:val="00E12AC6"/>
    <w:rsid w:val="00EA055C"/>
    <w:rsid w:val="00ED1290"/>
    <w:rsid w:val="00ED5190"/>
    <w:rsid w:val="00ED6C7E"/>
    <w:rsid w:val="00F248DB"/>
    <w:rsid w:val="00F35CE0"/>
    <w:rsid w:val="00FC2F91"/>
    <w:rsid w:val="00FD6004"/>
    <w:rsid w:val="208E24F6"/>
    <w:rsid w:val="6BD96ACA"/>
    <w:rsid w:val="6DF307D5"/>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74E854-D60C-48C5-8465-852E51F9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4"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ZW"/>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2</cp:revision>
  <dcterms:created xsi:type="dcterms:W3CDTF">2024-01-19T08:17:00Z</dcterms:created>
  <dcterms:modified xsi:type="dcterms:W3CDTF">2024-01-19T08:17:00Z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071DA32DBCC94F62AF0501C489A490F0_13</vt:lpwstr>
  </property>
</Properties>
</file>