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E63" w:rsidRDefault="00033EEE" w:rsidP="00DE1E63">
      <w:pPr>
        <w:jc w:val="both"/>
      </w:pPr>
      <w:bookmarkStart w:id="0" w:name="_GoBack"/>
      <w:bookmarkEnd w:id="0"/>
      <w:r>
        <w:t>CONSTANTINO GUVEYA</w:t>
      </w:r>
      <w:r w:rsidR="00D82C84">
        <w:t xml:space="preserve"> DOMINIC</w:t>
      </w:r>
      <w:r w:rsidR="000B6BD6">
        <w:t xml:space="preserve"> NYIKADZINO CHIWENGA</w:t>
      </w:r>
    </w:p>
    <w:p w:rsidR="008E14A6" w:rsidRPr="008E14A6" w:rsidRDefault="008E14A6" w:rsidP="00DE1E63">
      <w:pPr>
        <w:jc w:val="both"/>
        <w:rPr>
          <w:sz w:val="6"/>
          <w:szCs w:val="6"/>
        </w:rPr>
      </w:pPr>
    </w:p>
    <w:p w:rsidR="00DE1E63" w:rsidRDefault="00DE1E63" w:rsidP="00DE1E63">
      <w:pPr>
        <w:jc w:val="both"/>
      </w:pPr>
      <w:r>
        <w:t>versus</w:t>
      </w:r>
    </w:p>
    <w:p w:rsidR="006077C6" w:rsidRPr="006077C6" w:rsidRDefault="006077C6" w:rsidP="00DE1E63">
      <w:pPr>
        <w:jc w:val="both"/>
        <w:rPr>
          <w:sz w:val="8"/>
          <w:szCs w:val="8"/>
        </w:rPr>
      </w:pPr>
    </w:p>
    <w:p w:rsidR="00DE1E63" w:rsidRDefault="007C77D0" w:rsidP="00DE1E63">
      <w:pPr>
        <w:jc w:val="both"/>
      </w:pPr>
      <w:r>
        <w:t>MARY MUBAIWA</w:t>
      </w:r>
    </w:p>
    <w:p w:rsidR="00AF49FF" w:rsidRDefault="00AF49FF" w:rsidP="00DE1E63">
      <w:pPr>
        <w:jc w:val="both"/>
      </w:pPr>
    </w:p>
    <w:p w:rsidR="00AA3001" w:rsidRPr="00592B6F" w:rsidRDefault="00AA3001" w:rsidP="00DE1E63">
      <w:pPr>
        <w:jc w:val="both"/>
        <w:rPr>
          <w:sz w:val="8"/>
          <w:szCs w:val="8"/>
        </w:rPr>
      </w:pPr>
    </w:p>
    <w:p w:rsidR="00DE1E63" w:rsidRDefault="00DE1E63" w:rsidP="00DE1E63">
      <w:pPr>
        <w:jc w:val="both"/>
        <w:rPr>
          <w:sz w:val="10"/>
          <w:szCs w:val="10"/>
        </w:rPr>
      </w:pPr>
    </w:p>
    <w:p w:rsidR="00C50D2B" w:rsidRDefault="00C50D2B" w:rsidP="00DE1E63">
      <w:pPr>
        <w:jc w:val="both"/>
        <w:rPr>
          <w:sz w:val="10"/>
          <w:szCs w:val="10"/>
        </w:rPr>
      </w:pPr>
    </w:p>
    <w:p w:rsidR="00C50D2B" w:rsidRDefault="00C50D2B" w:rsidP="00DE1E63">
      <w:pPr>
        <w:jc w:val="both"/>
        <w:rPr>
          <w:sz w:val="10"/>
          <w:szCs w:val="10"/>
        </w:rPr>
      </w:pPr>
    </w:p>
    <w:p w:rsidR="00C50D2B" w:rsidRPr="00B04B4C" w:rsidRDefault="00C50D2B" w:rsidP="00DE1E63">
      <w:pPr>
        <w:jc w:val="both"/>
        <w:rPr>
          <w:sz w:val="10"/>
          <w:szCs w:val="10"/>
        </w:rPr>
      </w:pPr>
    </w:p>
    <w:p w:rsidR="005677B8" w:rsidRPr="005677B8" w:rsidRDefault="005677B8" w:rsidP="00DE1E63">
      <w:pPr>
        <w:jc w:val="both"/>
        <w:rPr>
          <w:sz w:val="4"/>
          <w:szCs w:val="4"/>
        </w:rPr>
      </w:pPr>
    </w:p>
    <w:p w:rsidR="00DE1E63" w:rsidRDefault="00DE1E63" w:rsidP="00DE1E63">
      <w:pPr>
        <w:jc w:val="both"/>
      </w:pPr>
      <w:r>
        <w:t>HIGH COURT OF ZIMBABWE</w:t>
      </w:r>
    </w:p>
    <w:p w:rsidR="00DE1E63" w:rsidRDefault="00512A79" w:rsidP="00DE1E63">
      <w:pPr>
        <w:jc w:val="both"/>
      </w:pPr>
      <w:r>
        <w:t>TAGU</w:t>
      </w:r>
      <w:r w:rsidR="00DE1E63">
        <w:t xml:space="preserve"> J</w:t>
      </w:r>
    </w:p>
    <w:p w:rsidR="00DE1E63" w:rsidRDefault="00B20690" w:rsidP="00DE1E63">
      <w:pPr>
        <w:jc w:val="both"/>
      </w:pPr>
      <w:r>
        <w:t>HARARE, 27 January 2022 &amp; 3 February 2022</w:t>
      </w:r>
    </w:p>
    <w:p w:rsidR="00DE1E63" w:rsidRDefault="00DE1E63" w:rsidP="00DE1E63">
      <w:pPr>
        <w:jc w:val="both"/>
      </w:pPr>
    </w:p>
    <w:p w:rsidR="004C7638" w:rsidRPr="008C6809" w:rsidRDefault="004C7638" w:rsidP="00DE1E63">
      <w:pPr>
        <w:spacing w:line="360" w:lineRule="auto"/>
        <w:jc w:val="both"/>
        <w:rPr>
          <w:b/>
          <w:sz w:val="8"/>
          <w:szCs w:val="8"/>
        </w:rPr>
      </w:pPr>
    </w:p>
    <w:p w:rsidR="004C7638" w:rsidRDefault="004C7638" w:rsidP="00DE1E63">
      <w:pPr>
        <w:spacing w:line="360" w:lineRule="auto"/>
        <w:jc w:val="both"/>
        <w:rPr>
          <w:b/>
          <w:sz w:val="6"/>
          <w:szCs w:val="6"/>
        </w:rPr>
      </w:pPr>
    </w:p>
    <w:p w:rsidR="00E5122F" w:rsidRDefault="00E5122F" w:rsidP="00DE1E63">
      <w:pPr>
        <w:spacing w:line="360" w:lineRule="auto"/>
        <w:jc w:val="both"/>
        <w:rPr>
          <w:b/>
          <w:sz w:val="6"/>
          <w:szCs w:val="6"/>
        </w:rPr>
      </w:pPr>
    </w:p>
    <w:p w:rsidR="00E5122F" w:rsidRPr="000C10D9" w:rsidRDefault="00E5122F" w:rsidP="00DE1E63">
      <w:pPr>
        <w:spacing w:line="360" w:lineRule="auto"/>
        <w:jc w:val="both"/>
        <w:rPr>
          <w:b/>
          <w:sz w:val="6"/>
          <w:szCs w:val="6"/>
        </w:rPr>
      </w:pPr>
    </w:p>
    <w:p w:rsidR="00DE1E63" w:rsidRDefault="002F6922" w:rsidP="00DE1E63">
      <w:pPr>
        <w:spacing w:line="360" w:lineRule="auto"/>
        <w:jc w:val="both"/>
        <w:rPr>
          <w:b/>
        </w:rPr>
      </w:pPr>
      <w:r>
        <w:rPr>
          <w:b/>
        </w:rPr>
        <w:t>C</w:t>
      </w:r>
      <w:r w:rsidR="00DE1E63">
        <w:rPr>
          <w:b/>
        </w:rPr>
        <w:t>hamber application</w:t>
      </w:r>
    </w:p>
    <w:p w:rsidR="00DE1E63" w:rsidRDefault="00DE1E63" w:rsidP="00DE1E63">
      <w:pPr>
        <w:spacing w:line="360" w:lineRule="auto"/>
        <w:jc w:val="both"/>
        <w:rPr>
          <w:b/>
          <w:sz w:val="8"/>
          <w:szCs w:val="8"/>
        </w:rPr>
      </w:pPr>
    </w:p>
    <w:p w:rsidR="00E5122F" w:rsidRDefault="00E5122F" w:rsidP="00DE1E63">
      <w:pPr>
        <w:spacing w:line="360" w:lineRule="auto"/>
        <w:jc w:val="both"/>
        <w:rPr>
          <w:b/>
          <w:sz w:val="8"/>
          <w:szCs w:val="8"/>
        </w:rPr>
      </w:pPr>
    </w:p>
    <w:p w:rsidR="00E5122F" w:rsidRDefault="00E5122F" w:rsidP="00DE1E63">
      <w:pPr>
        <w:spacing w:line="360" w:lineRule="auto"/>
        <w:jc w:val="both"/>
        <w:rPr>
          <w:b/>
          <w:sz w:val="8"/>
          <w:szCs w:val="8"/>
        </w:rPr>
      </w:pPr>
    </w:p>
    <w:p w:rsidR="00E5122F" w:rsidRPr="00D14959" w:rsidRDefault="00E5122F" w:rsidP="00DE1E63">
      <w:pPr>
        <w:spacing w:line="360" w:lineRule="auto"/>
        <w:jc w:val="both"/>
        <w:rPr>
          <w:b/>
          <w:sz w:val="8"/>
          <w:szCs w:val="8"/>
        </w:rPr>
      </w:pPr>
    </w:p>
    <w:p w:rsidR="00DE1E63" w:rsidRPr="008C6809" w:rsidRDefault="00DE1E63" w:rsidP="00DE1E63">
      <w:pPr>
        <w:jc w:val="both"/>
        <w:rPr>
          <w:iCs/>
          <w:sz w:val="8"/>
          <w:szCs w:val="8"/>
        </w:rPr>
      </w:pPr>
    </w:p>
    <w:p w:rsidR="00DE1E63" w:rsidRDefault="0038504F" w:rsidP="00DE1E63">
      <w:pPr>
        <w:jc w:val="both"/>
        <w:rPr>
          <w:i/>
        </w:rPr>
      </w:pPr>
      <w:r>
        <w:rPr>
          <w:i/>
          <w:iCs/>
        </w:rPr>
        <w:t>Adv L Uriri</w:t>
      </w:r>
      <w:r w:rsidR="007E3A7B">
        <w:t>, for the applicant</w:t>
      </w:r>
      <w:r w:rsidR="00DE1E63">
        <w:t xml:space="preserve"> </w:t>
      </w:r>
    </w:p>
    <w:p w:rsidR="00DE1E63" w:rsidRDefault="0038504F" w:rsidP="00DE1E63">
      <w:pPr>
        <w:jc w:val="both"/>
      </w:pPr>
      <w:r w:rsidRPr="0038504F">
        <w:rPr>
          <w:i/>
          <w:iCs/>
        </w:rPr>
        <w:t>Ms B Mtetwa</w:t>
      </w:r>
      <w:r w:rsidR="00DE1E63">
        <w:rPr>
          <w:i/>
        </w:rPr>
        <w:t xml:space="preserve">, </w:t>
      </w:r>
      <w:r>
        <w:t xml:space="preserve">for the </w:t>
      </w:r>
      <w:r w:rsidR="00DE1E63">
        <w:t>respondent</w:t>
      </w:r>
    </w:p>
    <w:p w:rsidR="00DE1E63" w:rsidRDefault="00DE1E63" w:rsidP="00DE1E63">
      <w:pPr>
        <w:jc w:val="both"/>
      </w:pPr>
    </w:p>
    <w:p w:rsidR="00DE1E63" w:rsidRPr="000C10D9" w:rsidRDefault="00DE1E63" w:rsidP="00DE1E63">
      <w:pPr>
        <w:spacing w:line="360" w:lineRule="auto"/>
        <w:jc w:val="both"/>
        <w:rPr>
          <w:i/>
          <w:iCs/>
          <w:sz w:val="10"/>
          <w:szCs w:val="10"/>
        </w:rPr>
      </w:pPr>
    </w:p>
    <w:p w:rsidR="00E640CE" w:rsidRDefault="00E640CE" w:rsidP="00C2262A">
      <w:pPr>
        <w:spacing w:line="360" w:lineRule="auto"/>
        <w:jc w:val="both"/>
      </w:pPr>
    </w:p>
    <w:p w:rsidR="00482F31" w:rsidRPr="003C559E" w:rsidRDefault="00347AF5" w:rsidP="00C2262A">
      <w:pPr>
        <w:spacing w:line="360" w:lineRule="auto"/>
        <w:jc w:val="both"/>
      </w:pPr>
      <w:r>
        <w:t>TAGU</w:t>
      </w:r>
      <w:r w:rsidR="00DE1E63">
        <w:t xml:space="preserve"> J</w:t>
      </w:r>
    </w:p>
    <w:p w:rsidR="00C2262A" w:rsidRPr="00C2262A" w:rsidRDefault="00C76E79" w:rsidP="00C2262A">
      <w:pPr>
        <w:spacing w:line="360" w:lineRule="auto"/>
        <w:jc w:val="both"/>
        <w:rPr>
          <w:b/>
        </w:rPr>
      </w:pPr>
      <w:r>
        <w:rPr>
          <w:b/>
        </w:rPr>
        <w:t>Background facts</w:t>
      </w:r>
    </w:p>
    <w:p w:rsidR="001904C7" w:rsidRDefault="001904C7" w:rsidP="002E4791">
      <w:pPr>
        <w:spacing w:line="360" w:lineRule="auto"/>
        <w:ind w:firstLine="720"/>
        <w:jc w:val="both"/>
      </w:pPr>
      <w:r>
        <w:t xml:space="preserve">The applicant and the respondent are presently involved </w:t>
      </w:r>
      <w:r w:rsidR="008F0BE9">
        <w:t xml:space="preserve">in proceedings before this court under HC </w:t>
      </w:r>
      <w:r w:rsidR="004D45E6">
        <w:t>9837/19</w:t>
      </w:r>
      <w:r w:rsidR="0017444E">
        <w:t xml:space="preserve"> in which the applicant </w:t>
      </w:r>
      <w:r w:rsidR="004D45E6">
        <w:t xml:space="preserve">in </w:t>
      </w:r>
      <w:r w:rsidR="004D45E6" w:rsidRPr="004D45E6">
        <w:rPr>
          <w:i/>
        </w:rPr>
        <w:t>casu</w:t>
      </w:r>
      <w:r w:rsidR="004D45E6">
        <w:t xml:space="preserve"> is </w:t>
      </w:r>
      <w:r w:rsidR="00670B85">
        <w:t>“</w:t>
      </w:r>
      <w:r w:rsidR="004D45E6">
        <w:t>the plaintiff</w:t>
      </w:r>
      <w:r w:rsidR="00670B85">
        <w:t>”</w:t>
      </w:r>
      <w:r w:rsidR="004D45E6">
        <w:t xml:space="preserve">, while the respondent is </w:t>
      </w:r>
      <w:r w:rsidR="00670B85">
        <w:t>“</w:t>
      </w:r>
      <w:r w:rsidR="004D45E6">
        <w:t>the defe</w:t>
      </w:r>
      <w:r w:rsidR="00670B85">
        <w:t>ndant”.</w:t>
      </w:r>
      <w:r w:rsidR="005F012B">
        <w:t xml:space="preserve"> </w:t>
      </w:r>
      <w:r w:rsidR="0052727C">
        <w:t xml:space="preserve">In order to avoid confusion, and consistent with the citation of the parties in the main proceedings, I will </w:t>
      </w:r>
      <w:r w:rsidR="00E94E28">
        <w:t xml:space="preserve">refer to the parties as they are cited </w:t>
      </w:r>
      <w:r w:rsidR="00C11445">
        <w:t>in those proceedings. Additionally, f</w:t>
      </w:r>
      <w:r w:rsidR="00D00954">
        <w:t>or completeness of</w:t>
      </w:r>
      <w:r w:rsidR="00C11445">
        <w:t xml:space="preserve"> the record, I </w:t>
      </w:r>
      <w:r w:rsidR="001D7987">
        <w:t xml:space="preserve">mention that they </w:t>
      </w:r>
      <w:r w:rsidR="00D00954">
        <w:t xml:space="preserve">were married in terms of an unregistered </w:t>
      </w:r>
      <w:r w:rsidR="001D7987">
        <w:t>customary law union, which</w:t>
      </w:r>
      <w:r w:rsidR="00DB2157">
        <w:t xml:space="preserve"> was terminated by the </w:t>
      </w:r>
      <w:r w:rsidR="001D7987">
        <w:t xml:space="preserve">plaintiff </w:t>
      </w:r>
      <w:r w:rsidR="00B123B6">
        <w:t>on 24 November 2019 when</w:t>
      </w:r>
      <w:r w:rsidR="00526163">
        <w:t xml:space="preserve"> </w:t>
      </w:r>
      <w:r w:rsidR="00B123B6">
        <w:t>he gave</w:t>
      </w:r>
      <w:r w:rsidR="00526163">
        <w:t xml:space="preserve"> the defendant a divorce token called </w:t>
      </w:r>
      <w:r w:rsidR="00526163" w:rsidRPr="00242D52">
        <w:rPr>
          <w:i/>
        </w:rPr>
        <w:t>“gupuro”</w:t>
      </w:r>
      <w:r w:rsidR="00526163">
        <w:t xml:space="preserve"> in the </w:t>
      </w:r>
      <w:r w:rsidR="00134D20">
        <w:t>Shona language.</w:t>
      </w:r>
    </w:p>
    <w:p w:rsidR="00A065A5" w:rsidRPr="00106853" w:rsidRDefault="00690DB5" w:rsidP="002E4791">
      <w:pPr>
        <w:spacing w:line="360" w:lineRule="auto"/>
        <w:ind w:firstLine="720"/>
        <w:jc w:val="both"/>
        <w:rPr>
          <w:i/>
        </w:rPr>
      </w:pPr>
      <w:r>
        <w:t xml:space="preserve">In her plea, filed of record on 14 January 2020, the defendant </w:t>
      </w:r>
      <w:r w:rsidR="009760F7">
        <w:t>averred</w:t>
      </w:r>
      <w:r>
        <w:t xml:space="preserve"> </w:t>
      </w:r>
      <w:r w:rsidR="009760F7">
        <w:t xml:space="preserve">that her customary marriage was not terminated, and denied </w:t>
      </w:r>
      <w:r w:rsidR="00701633">
        <w:t xml:space="preserve">that the plaintiff gave her </w:t>
      </w:r>
      <w:r w:rsidR="00701633" w:rsidRPr="00701633">
        <w:rPr>
          <w:i/>
        </w:rPr>
        <w:t>“gupuro”.</w:t>
      </w:r>
      <w:r w:rsidR="00106853">
        <w:rPr>
          <w:i/>
        </w:rPr>
        <w:t xml:space="preserve"> </w:t>
      </w:r>
      <w:r w:rsidR="006C1050">
        <w:t xml:space="preserve">She added that she refused to take the </w:t>
      </w:r>
      <w:r w:rsidR="006C1050" w:rsidRPr="00504A81">
        <w:rPr>
          <w:i/>
        </w:rPr>
        <w:t>“gupuro”</w:t>
      </w:r>
      <w:r w:rsidR="006C1050">
        <w:t xml:space="preserve"> as it was in the form of a US$100-00 note, which was no longer transactable currency in Zimbabwe. </w:t>
      </w:r>
      <w:r w:rsidR="0016335E">
        <w:t>The plaintiff submitted that</w:t>
      </w:r>
      <w:r w:rsidR="00106853">
        <w:t xml:space="preserve">, at a pre-trial conference held on 30 </w:t>
      </w:r>
      <w:r w:rsidR="00657AB1">
        <w:t>October 2020</w:t>
      </w:r>
      <w:r w:rsidR="00106853">
        <w:t xml:space="preserve"> before </w:t>
      </w:r>
      <w:r w:rsidR="00657AB1">
        <w:t xml:space="preserve">Justice Tsanga, </w:t>
      </w:r>
      <w:r w:rsidR="00453D7B">
        <w:t>the parties</w:t>
      </w:r>
      <w:r w:rsidR="003C1F63">
        <w:t xml:space="preserve"> agree</w:t>
      </w:r>
      <w:r w:rsidR="00A173D3">
        <w:t xml:space="preserve">d that </w:t>
      </w:r>
      <w:r w:rsidR="00453D7B">
        <w:t xml:space="preserve">the </w:t>
      </w:r>
      <w:r w:rsidR="00662E2F">
        <w:t>customary union was common cause</w:t>
      </w:r>
      <w:r w:rsidR="00A173D3">
        <w:t>.</w:t>
      </w:r>
      <w:r w:rsidR="008C6809">
        <w:t xml:space="preserve"> It is common cause that</w:t>
      </w:r>
      <w:r w:rsidR="00C71D5F">
        <w:t xml:space="preserve"> the defendant is unwell and unable to prosecute her defence to the lawsuit, the matter having been </w:t>
      </w:r>
      <w:r w:rsidR="00BB0B23">
        <w:t>previously set down and postponed on account of her illness.</w:t>
      </w:r>
      <w:r w:rsidR="008C6809">
        <w:t xml:space="preserve"> </w:t>
      </w:r>
    </w:p>
    <w:p w:rsidR="00837279" w:rsidRDefault="009863DD" w:rsidP="002E4791">
      <w:pPr>
        <w:spacing w:line="360" w:lineRule="auto"/>
        <w:ind w:firstLine="720"/>
        <w:jc w:val="both"/>
      </w:pPr>
      <w:r>
        <w:lastRenderedPageBreak/>
        <w:t>It is against this background that t</w:t>
      </w:r>
      <w:r w:rsidR="000C453A">
        <w:t xml:space="preserve">he applicant filed a chamber application on 24 November 2021 seeking judgment on a matter </w:t>
      </w:r>
      <w:r>
        <w:t>not in issue, namely, an order declaring the customary union to have terminated</w:t>
      </w:r>
      <w:r w:rsidR="00374C9D">
        <w:t>.</w:t>
      </w:r>
      <w:r w:rsidR="00D768F6">
        <w:t xml:space="preserve"> Further, </w:t>
      </w:r>
      <w:r w:rsidR="009D0CE9">
        <w:t xml:space="preserve">he </w:t>
      </w:r>
      <w:r w:rsidR="00D768F6">
        <w:t>asked the</w:t>
      </w:r>
      <w:r w:rsidR="009D0CE9">
        <w:t xml:space="preserve"> court to stand down the </w:t>
      </w:r>
      <w:r w:rsidR="00D768F6">
        <w:t xml:space="preserve">ancillary issues </w:t>
      </w:r>
      <w:r w:rsidR="00413787">
        <w:t>for determination</w:t>
      </w:r>
      <w:r w:rsidR="00D57F6E">
        <w:t xml:space="preserve"> at trial once the defendant was </w:t>
      </w:r>
      <w:r w:rsidR="00413787">
        <w:t xml:space="preserve">well disposed to prosecute </w:t>
      </w:r>
      <w:r w:rsidR="00C65782">
        <w:t xml:space="preserve">her case in </w:t>
      </w:r>
      <w:r w:rsidR="00413787">
        <w:t>the main matter.</w:t>
      </w:r>
      <w:r w:rsidR="009D0CE9">
        <w:t xml:space="preserve"> The application was opposed.</w:t>
      </w:r>
      <w:r w:rsidR="00C2527D">
        <w:t xml:space="preserve"> In her opposing affidavit, the defendant disputed that, at pre-trial conference, </w:t>
      </w:r>
      <w:r w:rsidR="002B0D0A">
        <w:t>agreed that the question of the termination of the customary union between them was common cause.</w:t>
      </w:r>
      <w:r w:rsidR="007A55E0">
        <w:t xml:space="preserve"> She persisted that there should not be a separation of the determination of her status and the consideration of the ancillary issues.</w:t>
      </w:r>
      <w:r w:rsidR="00623429">
        <w:t xml:space="preserve"> She contended that</w:t>
      </w:r>
      <w:r w:rsidR="00A851D6">
        <w:t>,</w:t>
      </w:r>
      <w:r w:rsidR="00623429">
        <w:t xml:space="preserve"> </w:t>
      </w:r>
      <w:r w:rsidR="00FE2F1C">
        <w:t>if the matter was dealt with in a</w:t>
      </w:r>
      <w:r w:rsidR="00623429">
        <w:t xml:space="preserve"> piece meal </w:t>
      </w:r>
      <w:r w:rsidR="00A851D6">
        <w:t xml:space="preserve">manner, it </w:t>
      </w:r>
      <w:r w:rsidR="00FE2F1C">
        <w:t>would adversely affect her rights and those of the children</w:t>
      </w:r>
      <w:r w:rsidR="00DF5E3A">
        <w:t>. The defendant did not explain how such rights would be affected.</w:t>
      </w:r>
      <w:r w:rsidR="002B0D0A">
        <w:t xml:space="preserve"> </w:t>
      </w:r>
    </w:p>
    <w:p w:rsidR="00C937AE" w:rsidRPr="00DB7581" w:rsidRDefault="00C937AE" w:rsidP="00DE1E63">
      <w:pPr>
        <w:spacing w:line="360" w:lineRule="auto"/>
        <w:jc w:val="both"/>
        <w:rPr>
          <w:sz w:val="12"/>
          <w:szCs w:val="12"/>
        </w:rPr>
      </w:pPr>
    </w:p>
    <w:p w:rsidR="00C937AE" w:rsidRPr="00C937AE" w:rsidRDefault="00C937AE" w:rsidP="00DE1E63">
      <w:pPr>
        <w:spacing w:line="360" w:lineRule="auto"/>
        <w:jc w:val="both"/>
        <w:rPr>
          <w:b/>
        </w:rPr>
      </w:pPr>
      <w:r w:rsidRPr="00C937AE">
        <w:rPr>
          <w:b/>
        </w:rPr>
        <w:t>Analysis of the case</w:t>
      </w:r>
    </w:p>
    <w:p w:rsidR="00D219D2" w:rsidRDefault="00D219D2" w:rsidP="006327CA">
      <w:pPr>
        <w:spacing w:line="360" w:lineRule="auto"/>
        <w:ind w:firstLine="720"/>
        <w:jc w:val="both"/>
      </w:pPr>
      <w:r>
        <w:t xml:space="preserve">I am faced with two competing arguments, one </w:t>
      </w:r>
      <w:r w:rsidR="00062389">
        <w:t xml:space="preserve">pressing for the grant of an order declaring that the customary union ended on 24 November 2022, </w:t>
      </w:r>
      <w:r w:rsidR="001F6992">
        <w:t xml:space="preserve">and another opposing the relief sought. </w:t>
      </w:r>
      <w:r w:rsidR="00062389">
        <w:t xml:space="preserve"> </w:t>
      </w:r>
      <w:r w:rsidR="00AB4247">
        <w:t xml:space="preserve">The plaintiff </w:t>
      </w:r>
      <w:r w:rsidR="006C0368">
        <w:t>contends that</w:t>
      </w:r>
      <w:r w:rsidR="00D85F52">
        <w:t xml:space="preserve"> h</w:t>
      </w:r>
      <w:r w:rsidR="00AB4247">
        <w:t>e gave the defendant a</w:t>
      </w:r>
      <w:r w:rsidR="00D85F52">
        <w:t xml:space="preserve"> divorce token </w:t>
      </w:r>
      <w:r w:rsidR="00D85F52" w:rsidRPr="00CA5BE9">
        <w:rPr>
          <w:i/>
        </w:rPr>
        <w:t>(“gupuro</w:t>
      </w:r>
      <w:r w:rsidR="00AB4247" w:rsidRPr="00CA5BE9">
        <w:rPr>
          <w:i/>
        </w:rPr>
        <w:t>”),</w:t>
      </w:r>
      <w:r w:rsidR="00AB4247">
        <w:t xml:space="preserve"> thereby terminati</w:t>
      </w:r>
      <w:r w:rsidR="00010443">
        <w:t>ng the union between them in terms of African law and custom.</w:t>
      </w:r>
      <w:r w:rsidR="00944D63">
        <w:t xml:space="preserve"> On the other hand, the defendant denies that the </w:t>
      </w:r>
      <w:r w:rsidR="0017324C" w:rsidRPr="00CA5BE9">
        <w:rPr>
          <w:i/>
        </w:rPr>
        <w:t>“gupuro”</w:t>
      </w:r>
      <w:r w:rsidR="00CA5BE9">
        <w:t xml:space="preserve"> given to her in </w:t>
      </w:r>
      <w:r w:rsidR="0017324C">
        <w:t>United States currency</w:t>
      </w:r>
      <w:r w:rsidR="00FC5E2A">
        <w:t>, which she refused to accept as that currency could no longer be lawfully transacted in Zimbabwe.</w:t>
      </w:r>
      <w:r w:rsidR="00AB4247">
        <w:t xml:space="preserve"> </w:t>
      </w:r>
    </w:p>
    <w:p w:rsidR="00487519" w:rsidRDefault="00DB71A7" w:rsidP="006327CA">
      <w:pPr>
        <w:spacing w:line="360" w:lineRule="auto"/>
        <w:ind w:firstLine="720"/>
        <w:jc w:val="both"/>
      </w:pPr>
      <w:r>
        <w:t>It is pertinent to note that t</w:t>
      </w:r>
      <w:r w:rsidR="00856E57">
        <w:t>he defendant does not say that the customary</w:t>
      </w:r>
      <w:r w:rsidR="001F4D32">
        <w:t xml:space="preserve"> union had not ended. </w:t>
      </w:r>
      <w:r w:rsidR="003C7261">
        <w:t xml:space="preserve">On the contrary, she accepts that it had terminated, but blames the plaintiff for </w:t>
      </w:r>
      <w:r w:rsidR="00686A12">
        <w:t>its demise.</w:t>
      </w:r>
      <w:r w:rsidR="00884CE3">
        <w:t xml:space="preserve"> In this respect, her Claim in Reconvention</w:t>
      </w:r>
      <w:r w:rsidR="00487519">
        <w:t xml:space="preserve"> is worth looking at, as she states</w:t>
      </w:r>
      <w:r w:rsidR="00756B52">
        <w:t xml:space="preserve"> (in paragraph 4)</w:t>
      </w:r>
      <w:r w:rsidR="00487519">
        <w:t>:</w:t>
      </w:r>
    </w:p>
    <w:p w:rsidR="00487519" w:rsidRPr="00C0519F" w:rsidRDefault="00487519" w:rsidP="006327CA">
      <w:pPr>
        <w:spacing w:line="360" w:lineRule="auto"/>
        <w:ind w:firstLine="720"/>
        <w:jc w:val="both"/>
        <w:rPr>
          <w:sz w:val="6"/>
          <w:szCs w:val="6"/>
        </w:rPr>
      </w:pPr>
    </w:p>
    <w:p w:rsidR="00A20F55" w:rsidRDefault="00487519" w:rsidP="00607E02">
      <w:pPr>
        <w:ind w:left="720"/>
        <w:jc w:val="both"/>
      </w:pPr>
      <w:r>
        <w:t>“</w:t>
      </w:r>
      <w:r w:rsidR="00756B52">
        <w:t xml:space="preserve">The defendant </w:t>
      </w:r>
      <w:r w:rsidR="001342A9">
        <w:t xml:space="preserve">further claims in reconvention that the plaintiff failed to follow proper customary law procedures to end the customary marriage and that, instead, the </w:t>
      </w:r>
      <w:r w:rsidR="00696386">
        <w:t>plaintiff sent A Sanyatwe to give her a United States 100 dollar bill, which she de</w:t>
      </w:r>
      <w:r w:rsidR="00307CF9">
        <w:t>c</w:t>
      </w:r>
      <w:r w:rsidR="00696386">
        <w:t>lined to</w:t>
      </w:r>
      <w:r w:rsidR="00307CF9">
        <w:t xml:space="preserve"> accept on the basis that:</w:t>
      </w:r>
    </w:p>
    <w:p w:rsidR="00A20F55" w:rsidRPr="00607E02" w:rsidRDefault="00A20F55" w:rsidP="00607E02">
      <w:pPr>
        <w:ind w:left="720"/>
        <w:jc w:val="both"/>
        <w:rPr>
          <w:sz w:val="8"/>
          <w:szCs w:val="8"/>
        </w:rPr>
      </w:pPr>
    </w:p>
    <w:p w:rsidR="00A20F55" w:rsidRDefault="00A20F55" w:rsidP="00607E02">
      <w:pPr>
        <w:pStyle w:val="ListParagraph"/>
        <w:numPr>
          <w:ilvl w:val="0"/>
          <w:numId w:val="22"/>
        </w:numPr>
        <w:jc w:val="both"/>
      </w:pPr>
      <w:r>
        <w:t>It is unlawful in Zimbabwe to transact in United States dollars; and</w:t>
      </w:r>
    </w:p>
    <w:p w:rsidR="00856E57" w:rsidRDefault="00A20F55" w:rsidP="00607E02">
      <w:pPr>
        <w:pStyle w:val="ListParagraph"/>
        <w:numPr>
          <w:ilvl w:val="0"/>
          <w:numId w:val="22"/>
        </w:numPr>
        <w:jc w:val="both"/>
      </w:pPr>
      <w:r>
        <w:t xml:space="preserve">It was for the plaintiff </w:t>
      </w:r>
      <w:r w:rsidR="0043415A">
        <w:t xml:space="preserve">to give her </w:t>
      </w:r>
      <w:r w:rsidR="0043415A" w:rsidRPr="000018EF">
        <w:rPr>
          <w:i/>
        </w:rPr>
        <w:t>“gupuro”</w:t>
      </w:r>
      <w:r w:rsidR="0043415A">
        <w:t xml:space="preserve"> after following all proper customary protocol”.</w:t>
      </w:r>
      <w:r w:rsidR="00696386">
        <w:t xml:space="preserve"> </w:t>
      </w:r>
    </w:p>
    <w:p w:rsidR="00D219D2" w:rsidRPr="00C0519F" w:rsidRDefault="00D219D2" w:rsidP="000018EF">
      <w:pPr>
        <w:spacing w:line="360" w:lineRule="auto"/>
        <w:jc w:val="both"/>
        <w:rPr>
          <w:sz w:val="20"/>
          <w:szCs w:val="20"/>
        </w:rPr>
      </w:pPr>
    </w:p>
    <w:p w:rsidR="000018EF" w:rsidRDefault="00A668FC" w:rsidP="000018EF">
      <w:pPr>
        <w:spacing w:line="360" w:lineRule="auto"/>
        <w:jc w:val="both"/>
      </w:pPr>
      <w:r>
        <w:t>Further, I observe that in paragraph 2 of her Summary of Evidence, the defendant says:</w:t>
      </w:r>
    </w:p>
    <w:p w:rsidR="00A668FC" w:rsidRPr="00AC7248" w:rsidRDefault="00A668FC" w:rsidP="000018EF">
      <w:pPr>
        <w:spacing w:line="360" w:lineRule="auto"/>
        <w:jc w:val="both"/>
        <w:rPr>
          <w:sz w:val="6"/>
          <w:szCs w:val="6"/>
        </w:rPr>
      </w:pPr>
    </w:p>
    <w:p w:rsidR="00DB7581" w:rsidRDefault="00A668FC" w:rsidP="00DB7581">
      <w:pPr>
        <w:ind w:left="720"/>
        <w:jc w:val="both"/>
      </w:pPr>
      <w:r>
        <w:t xml:space="preserve">“She will testify that </w:t>
      </w:r>
      <w:r w:rsidRPr="00DB7581">
        <w:rPr>
          <w:u w:val="single"/>
        </w:rPr>
        <w:t>the demise of the customary marriage</w:t>
      </w:r>
      <w:r>
        <w:t xml:space="preserve"> occurred at</w:t>
      </w:r>
      <w:r w:rsidR="00C34A2B">
        <w:t xml:space="preserve"> a time when she had spent many months supporting the plaintiff</w:t>
      </w:r>
      <w:r>
        <w:t xml:space="preserve"> </w:t>
      </w:r>
      <w:r w:rsidR="00AE1F2E">
        <w:t>when his health continued to deteriorate”.</w:t>
      </w:r>
    </w:p>
    <w:p w:rsidR="0050717F" w:rsidRPr="0050717F" w:rsidRDefault="0050717F" w:rsidP="00DB7581">
      <w:pPr>
        <w:ind w:left="720"/>
        <w:jc w:val="both"/>
        <w:rPr>
          <w:sz w:val="6"/>
          <w:szCs w:val="6"/>
        </w:rPr>
      </w:pPr>
    </w:p>
    <w:p w:rsidR="00C0519F" w:rsidRDefault="00C0519F" w:rsidP="00DB7581">
      <w:pPr>
        <w:ind w:left="720"/>
        <w:jc w:val="both"/>
        <w:rPr>
          <w:b/>
        </w:rPr>
      </w:pPr>
      <w:r w:rsidRPr="0050717F">
        <w:rPr>
          <w:b/>
        </w:rPr>
        <w:t xml:space="preserve">[Emphasis </w:t>
      </w:r>
      <w:r w:rsidR="0050717F" w:rsidRPr="0050717F">
        <w:rPr>
          <w:b/>
        </w:rPr>
        <w:t>supplied]</w:t>
      </w:r>
    </w:p>
    <w:p w:rsidR="00DD4968" w:rsidRPr="00ED7C88" w:rsidRDefault="00DD4968" w:rsidP="00ED7C88">
      <w:pPr>
        <w:spacing w:line="360" w:lineRule="auto"/>
        <w:jc w:val="both"/>
      </w:pPr>
      <w:r>
        <w:lastRenderedPageBreak/>
        <w:t xml:space="preserve">It has also not escaped my attention that, </w:t>
      </w:r>
      <w:r w:rsidR="00922C45">
        <w:t>in her prayer in the Claim in Reconvention (at page 28 of</w:t>
      </w:r>
      <w:r w:rsidR="00582040">
        <w:t xml:space="preserve"> the Consolidated Bundle), the defendant</w:t>
      </w:r>
      <w:r w:rsidR="00E15AAF">
        <w:t xml:space="preserve"> inter alia</w:t>
      </w:r>
      <w:r w:rsidR="00582040">
        <w:t xml:space="preserve"> </w:t>
      </w:r>
      <w:r w:rsidR="006F00F3">
        <w:t xml:space="preserve">seeks </w:t>
      </w:r>
      <w:r w:rsidR="006F00F3" w:rsidRPr="006F00F3">
        <w:rPr>
          <w:i/>
        </w:rPr>
        <w:t>“a dissolution of the parties’ customary union”.</w:t>
      </w:r>
      <w:r w:rsidR="00153868">
        <w:t xml:space="preserve"> One cannot be asking for such an order if not accepting that the union has ended.</w:t>
      </w:r>
      <w:r w:rsidR="00F7079D">
        <w:t xml:space="preserve"> </w:t>
      </w:r>
      <w:r w:rsidR="007A6338">
        <w:t xml:space="preserve">With the plaintiff seeking the kind of relief before the court, there can be no argument that both parties are agreed </w:t>
      </w:r>
      <w:r w:rsidR="001C24A6">
        <w:t>that the customary union has indeed terminated.</w:t>
      </w:r>
      <w:r w:rsidR="00C935D5">
        <w:t xml:space="preserve"> The reason for such an outcome is irrelevant</w:t>
      </w:r>
      <w:r w:rsidR="00537F50">
        <w:t>. It is the acceptance by the parties of that fact that is material to the resolution of the issue before me.</w:t>
      </w:r>
      <w:r w:rsidR="00922C45" w:rsidRPr="006F00F3">
        <w:rPr>
          <w:i/>
        </w:rPr>
        <w:t xml:space="preserve"> </w:t>
      </w:r>
    </w:p>
    <w:p w:rsidR="00607E02" w:rsidRDefault="000C0C00" w:rsidP="00ED7C88">
      <w:pPr>
        <w:spacing w:line="360" w:lineRule="auto"/>
        <w:ind w:firstLine="720"/>
        <w:jc w:val="both"/>
      </w:pPr>
      <w:r>
        <w:t>I</w:t>
      </w:r>
      <w:r w:rsidR="008C2C85">
        <w:t>n other words, i</w:t>
      </w:r>
      <w:r>
        <w:t xml:space="preserve">t is </w:t>
      </w:r>
      <w:r w:rsidR="00727940">
        <w:t xml:space="preserve">evident from both the Claim in Reconvention and the Plea that </w:t>
      </w:r>
      <w:r w:rsidR="00E16DED">
        <w:t>the defendant does not deny</w:t>
      </w:r>
      <w:r w:rsidR="005A18DF">
        <w:t xml:space="preserve"> that </w:t>
      </w:r>
      <w:r w:rsidR="008C1ED1">
        <w:t xml:space="preserve">the </w:t>
      </w:r>
      <w:r w:rsidR="005A18DF">
        <w:t xml:space="preserve">customary </w:t>
      </w:r>
      <w:r w:rsidR="008C1ED1">
        <w:t>union came to an end</w:t>
      </w:r>
      <w:r w:rsidR="00640AE7">
        <w:t xml:space="preserve">.  I note that </w:t>
      </w:r>
      <w:r w:rsidR="0048341C">
        <w:t>in her own language</w:t>
      </w:r>
      <w:r w:rsidR="00640AE7">
        <w:t xml:space="preserve">, the </w:t>
      </w:r>
      <w:r w:rsidR="00F631DC">
        <w:t xml:space="preserve">union between the parties came to a </w:t>
      </w:r>
      <w:r w:rsidR="00F631DC" w:rsidRPr="00B26CA0">
        <w:rPr>
          <w:i/>
        </w:rPr>
        <w:t>“demise”</w:t>
      </w:r>
      <w:r w:rsidR="00B26CA0">
        <w:t>.</w:t>
      </w:r>
      <w:r w:rsidR="009A595B">
        <w:t xml:space="preserve"> </w:t>
      </w:r>
      <w:r w:rsidR="004B0DCA">
        <w:t>These are semantics</w:t>
      </w:r>
      <w:r w:rsidR="00A03CA5">
        <w:t xml:space="preserve"> which do not change anything. </w:t>
      </w:r>
      <w:r w:rsidR="009A595B">
        <w:t xml:space="preserve">What is clear is that the parties </w:t>
      </w:r>
      <w:r w:rsidR="00B23534">
        <w:t xml:space="preserve">agree on that the union is no more, but </w:t>
      </w:r>
      <w:r w:rsidR="009A595B">
        <w:t xml:space="preserve">differ on the cause of that termination or demise. </w:t>
      </w:r>
      <w:r w:rsidR="001569EE">
        <w:t xml:space="preserve">The date of termination given by the </w:t>
      </w:r>
      <w:r w:rsidR="002E5308">
        <w:t xml:space="preserve">plaintiff has not been confirmed by the defendant, apart from </w:t>
      </w:r>
      <w:r w:rsidR="0017055C">
        <w:t xml:space="preserve">averring that she did not accept the </w:t>
      </w:r>
      <w:r w:rsidR="0017055C" w:rsidRPr="006267ED">
        <w:rPr>
          <w:i/>
        </w:rPr>
        <w:t>“gupuro”</w:t>
      </w:r>
      <w:r w:rsidR="0017055C">
        <w:t xml:space="preserve"> when it was tendered in United States current. </w:t>
      </w:r>
      <w:r w:rsidR="00BC6D8A">
        <w:t xml:space="preserve">Notwithstanding this, I cannot ignore the defendant’s assertion that </w:t>
      </w:r>
      <w:r w:rsidR="005D40B8">
        <w:t xml:space="preserve">there was a demise of the customary union. Therefore, </w:t>
      </w:r>
      <w:r w:rsidR="00EE7504">
        <w:t xml:space="preserve">in considering this application and relief that the plaintiff seeks, </w:t>
      </w:r>
      <w:r w:rsidR="00A50C0C">
        <w:t xml:space="preserve">I observe </w:t>
      </w:r>
      <w:r w:rsidR="00B74B77">
        <w:t>that while 24 November 2019 may not be</w:t>
      </w:r>
      <w:r w:rsidR="004A23DB">
        <w:t xml:space="preserve"> taken </w:t>
      </w:r>
      <w:r w:rsidR="00B74B77">
        <w:t>definitive</w:t>
      </w:r>
      <w:r w:rsidR="004A23DB">
        <w:t>ly as</w:t>
      </w:r>
      <w:r w:rsidR="00B74B77">
        <w:t xml:space="preserve"> date </w:t>
      </w:r>
      <w:r w:rsidR="0098658D">
        <w:t>when the union ended, i</w:t>
      </w:r>
      <w:r w:rsidR="00A50C0C">
        <w:t xml:space="preserve">t is evident from the respective averments of the parties that the union ended before proceedings in HC 9837/19 were commenced. </w:t>
      </w:r>
      <w:r w:rsidR="00853CDE">
        <w:t>The next question which has to be answered is whether</w:t>
      </w:r>
      <w:r w:rsidR="000B30BB">
        <w:t xml:space="preserve"> the defendant</w:t>
      </w:r>
      <w:r w:rsidR="002B4C85">
        <w:t xml:space="preserve"> has established that she</w:t>
      </w:r>
      <w:r w:rsidR="000B30BB">
        <w:t xml:space="preserve"> would suffer any </w:t>
      </w:r>
      <w:r w:rsidR="00853CDE">
        <w:t>prejudice if the customary union were to be de</w:t>
      </w:r>
      <w:r w:rsidR="0016467D">
        <w:t xml:space="preserve">clared terminated or </w:t>
      </w:r>
      <w:r w:rsidR="00274199">
        <w:t xml:space="preserve">as </w:t>
      </w:r>
      <w:r w:rsidR="0016467D">
        <w:t>having come to an end.</w:t>
      </w:r>
      <w:r w:rsidR="000B30BB">
        <w:t xml:space="preserve"> </w:t>
      </w:r>
    </w:p>
    <w:p w:rsidR="000B30BB" w:rsidRDefault="000B30BB" w:rsidP="00D219D2">
      <w:pPr>
        <w:spacing w:line="360" w:lineRule="auto"/>
        <w:jc w:val="both"/>
      </w:pPr>
      <w:r>
        <w:tab/>
      </w:r>
      <w:r w:rsidR="00512C7D">
        <w:t>T</w:t>
      </w:r>
      <w:r>
        <w:t xml:space="preserve">he defendant, in pleadings she has placed before the court, argues that she would be adversely affected </w:t>
      </w:r>
      <w:r w:rsidR="004E59D3">
        <w:t xml:space="preserve">if the issue of termination of the customary union was separated from the ancillary issues of </w:t>
      </w:r>
      <w:r w:rsidR="00512C7D">
        <w:t>custody of children, maintenance and distribution of assets.</w:t>
      </w:r>
      <w:r w:rsidR="00B0190C">
        <w:t xml:space="preserve"> However, she not show</w:t>
      </w:r>
      <w:r w:rsidR="00DD2552">
        <w:t>n</w:t>
      </w:r>
      <w:r w:rsidR="008C1BB4">
        <w:t xml:space="preserve"> how dealing with the issues separately would harm </w:t>
      </w:r>
      <w:r w:rsidR="004D4A40">
        <w:t>or compromise the prosecution of her defence.</w:t>
      </w:r>
      <w:r w:rsidR="00E9427C">
        <w:t xml:space="preserve"> </w:t>
      </w:r>
      <w:r w:rsidR="00507822">
        <w:t>In the context of marriage, t</w:t>
      </w:r>
      <w:r w:rsidR="009A335E">
        <w:t>he law in this country does not preclude t</w:t>
      </w:r>
      <w:r w:rsidR="00507822">
        <w:t xml:space="preserve">his court from dealing with dissolution </w:t>
      </w:r>
      <w:r w:rsidR="009A335E">
        <w:t xml:space="preserve">first and, thereafter, considering the distribution of assets and other ancillary issues. </w:t>
      </w:r>
      <w:r w:rsidR="001C0A48">
        <w:t xml:space="preserve">In this respect, section 7 </w:t>
      </w:r>
      <w:r w:rsidR="002E3A2F">
        <w:t xml:space="preserve">(1) of the Matrimonial Causes Act </w:t>
      </w:r>
      <w:r w:rsidR="00430E47">
        <w:t xml:space="preserve">is </w:t>
      </w:r>
      <w:r w:rsidR="00455011">
        <w:t xml:space="preserve">very </w:t>
      </w:r>
      <w:r w:rsidR="00223660">
        <w:t xml:space="preserve">clear on this, and </w:t>
      </w:r>
      <w:r w:rsidR="002E3A2F">
        <w:t xml:space="preserve">provides </w:t>
      </w:r>
      <w:r w:rsidR="00D30380">
        <w:t>inter alia that</w:t>
      </w:r>
      <w:r w:rsidR="002E3A2F">
        <w:t>:</w:t>
      </w:r>
    </w:p>
    <w:p w:rsidR="00D30380" w:rsidRPr="007D11CA" w:rsidRDefault="00D30380" w:rsidP="00D219D2">
      <w:pPr>
        <w:spacing w:line="360" w:lineRule="auto"/>
        <w:jc w:val="both"/>
        <w:rPr>
          <w:sz w:val="16"/>
          <w:szCs w:val="16"/>
        </w:rPr>
      </w:pPr>
    </w:p>
    <w:p w:rsidR="00D30380" w:rsidRDefault="00D30380" w:rsidP="006152BC">
      <w:pPr>
        <w:ind w:left="567"/>
        <w:jc w:val="both"/>
      </w:pPr>
      <w:r>
        <w:t>“</w:t>
      </w:r>
      <w:r w:rsidR="00C767BC">
        <w:t>Subject to this section, in granting a decree of divorce, judicial separation</w:t>
      </w:r>
      <w:r w:rsidR="00AB7049">
        <w:t xml:space="preserve"> or nullity of a marriage, </w:t>
      </w:r>
      <w:r w:rsidR="00AB7049" w:rsidRPr="00C539F4">
        <w:rPr>
          <w:u w:val="single"/>
        </w:rPr>
        <w:t>or at any time thereafter</w:t>
      </w:r>
      <w:r w:rsidR="00AB7049">
        <w:t xml:space="preserve">, an appropriate court may </w:t>
      </w:r>
      <w:r w:rsidR="006152BC">
        <w:t xml:space="preserve">make an order with regard to </w:t>
      </w:r>
      <w:r w:rsidR="008256D0">
        <w:t>–</w:t>
      </w:r>
    </w:p>
    <w:p w:rsidR="008256D0" w:rsidRDefault="008256D0" w:rsidP="006152BC">
      <w:pPr>
        <w:ind w:left="567"/>
        <w:jc w:val="both"/>
      </w:pPr>
    </w:p>
    <w:p w:rsidR="0006044A" w:rsidRDefault="0006044A" w:rsidP="008256D0">
      <w:pPr>
        <w:pStyle w:val="ListParagraph"/>
        <w:numPr>
          <w:ilvl w:val="0"/>
          <w:numId w:val="23"/>
        </w:numPr>
        <w:jc w:val="both"/>
      </w:pPr>
      <w:r>
        <w:t>t</w:t>
      </w:r>
      <w:r w:rsidR="008256D0">
        <w:t xml:space="preserve">he division, apportionment or distribution of the assets of the spouses, including an order </w:t>
      </w:r>
      <w:r w:rsidR="005A28FA">
        <w:t>that any asset be transferred from one asset to the other;</w:t>
      </w:r>
    </w:p>
    <w:p w:rsidR="008D3453" w:rsidRPr="008D3453" w:rsidRDefault="008D3453" w:rsidP="008D3453">
      <w:pPr>
        <w:pStyle w:val="ListParagraph"/>
        <w:ind w:left="927"/>
        <w:jc w:val="both"/>
        <w:rPr>
          <w:sz w:val="6"/>
          <w:szCs w:val="6"/>
        </w:rPr>
      </w:pPr>
    </w:p>
    <w:p w:rsidR="008256D0" w:rsidRDefault="0006044A" w:rsidP="008256D0">
      <w:pPr>
        <w:pStyle w:val="ListParagraph"/>
        <w:numPr>
          <w:ilvl w:val="0"/>
          <w:numId w:val="23"/>
        </w:numPr>
        <w:jc w:val="both"/>
      </w:pPr>
      <w:r>
        <w:t>the payment of maintenance, whether by way of a lumpsum or by way of periodic paym</w:t>
      </w:r>
      <w:r w:rsidR="008D3453">
        <w:t>ents, in favour of one or other of the spouses or of any children of the marriage”.</w:t>
      </w:r>
    </w:p>
    <w:p w:rsidR="007A706B" w:rsidRPr="001407F9" w:rsidRDefault="007A706B" w:rsidP="007A706B">
      <w:pPr>
        <w:pStyle w:val="ListParagraph"/>
        <w:rPr>
          <w:sz w:val="6"/>
          <w:szCs w:val="6"/>
        </w:rPr>
      </w:pPr>
    </w:p>
    <w:p w:rsidR="007A706B" w:rsidRPr="007A706B" w:rsidRDefault="007A706B" w:rsidP="007A706B">
      <w:pPr>
        <w:pStyle w:val="ListParagraph"/>
        <w:ind w:left="927"/>
        <w:jc w:val="both"/>
        <w:rPr>
          <w:b/>
        </w:rPr>
      </w:pPr>
      <w:r w:rsidRPr="007A706B">
        <w:rPr>
          <w:b/>
        </w:rPr>
        <w:t>[Emphasis supplied]</w:t>
      </w:r>
    </w:p>
    <w:p w:rsidR="00E944F5" w:rsidRDefault="00E944F5" w:rsidP="00D219D2">
      <w:pPr>
        <w:spacing w:line="360" w:lineRule="auto"/>
        <w:jc w:val="both"/>
        <w:rPr>
          <w:b/>
        </w:rPr>
      </w:pPr>
    </w:p>
    <w:p w:rsidR="005453B5" w:rsidRDefault="00B21217" w:rsidP="00D219D2">
      <w:pPr>
        <w:spacing w:line="360" w:lineRule="auto"/>
        <w:jc w:val="both"/>
      </w:pPr>
      <w:r>
        <w:t xml:space="preserve">It is obvious from the construction of section 7 above that, the inclusion of </w:t>
      </w:r>
      <w:r w:rsidR="00311A42" w:rsidRPr="00311A42">
        <w:rPr>
          <w:i/>
        </w:rPr>
        <w:t xml:space="preserve">“or at any time thereafter” </w:t>
      </w:r>
      <w:r w:rsidR="00311A42">
        <w:t xml:space="preserve">was intended not to inhibit a court from </w:t>
      </w:r>
      <w:r w:rsidR="00DD334D">
        <w:t>dealing with and determining whether</w:t>
      </w:r>
      <w:r w:rsidR="001C2A00">
        <w:t xml:space="preserve"> or not</w:t>
      </w:r>
      <w:r w:rsidR="00DD334D">
        <w:t xml:space="preserve"> a marriage or a union has ended or terminated.</w:t>
      </w:r>
      <w:r w:rsidR="00651889">
        <w:t xml:space="preserve"> Indeed, I can think of a few situations where adopting such a course may be desirable.</w:t>
      </w:r>
      <w:r w:rsidR="00AA3DCF">
        <w:t xml:space="preserve"> One such situation</w:t>
      </w:r>
      <w:r w:rsidR="004D3FC4">
        <w:t xml:space="preserve">, for instance, is where it is evident that the parties have agreed </w:t>
      </w:r>
      <w:r w:rsidR="00FB1A7C">
        <w:t>(expressly or tacitly) that the marriage or union has ended.</w:t>
      </w:r>
      <w:r w:rsidR="000C01AF">
        <w:t xml:space="preserve"> The next scenario is where </w:t>
      </w:r>
      <w:r w:rsidR="00351172">
        <w:t xml:space="preserve">illness of a party is preventing a matter referred to trial from being heard but </w:t>
      </w:r>
      <w:r w:rsidR="00B20AD3">
        <w:t xml:space="preserve">there is no real issue on whether or not the marriage or union still subsists. The final issue that comes to mind is, </w:t>
      </w:r>
      <w:r w:rsidR="00F510F0">
        <w:t>where the joinder of another (or other parties) might inevitably delay the hearing and determination of contested issues.</w:t>
      </w:r>
      <w:r w:rsidR="00A13E70">
        <w:t xml:space="preserve"> In </w:t>
      </w:r>
      <w:r w:rsidR="00A13E70" w:rsidRPr="00F907A8">
        <w:rPr>
          <w:i/>
        </w:rPr>
        <w:t>casu</w:t>
      </w:r>
      <w:r w:rsidR="00A13E70">
        <w:t>, I</w:t>
      </w:r>
      <w:r w:rsidR="007A5B20">
        <w:t xml:space="preserve"> am satisfied that </w:t>
      </w:r>
      <w:r w:rsidR="00A13E70">
        <w:t xml:space="preserve">whether </w:t>
      </w:r>
      <w:r w:rsidR="007A5B20">
        <w:t xml:space="preserve">or not </w:t>
      </w:r>
      <w:r w:rsidR="00A13E70">
        <w:t xml:space="preserve">the customary union ended is not </w:t>
      </w:r>
      <w:r w:rsidR="005079FA">
        <w:t>a live</w:t>
      </w:r>
      <w:r w:rsidR="007A5B20">
        <w:t xml:space="preserve"> issue</w:t>
      </w:r>
      <w:r w:rsidR="00A272F0">
        <w:t>, and the defendant’s own pleadings attest to this.</w:t>
      </w:r>
      <w:r w:rsidR="00065195">
        <w:t xml:space="preserve"> </w:t>
      </w:r>
      <w:r w:rsidR="008076BB">
        <w:t>Both parties agree that the union terminated or came to a demise.</w:t>
      </w:r>
      <w:r w:rsidR="00165F3E">
        <w:t xml:space="preserve"> The concern of the defendant is, admittedly, one of prejudice that she perceives would accrue to her. </w:t>
      </w:r>
      <w:r w:rsidR="00110FD8">
        <w:t>She has alleged that</w:t>
      </w:r>
      <w:r w:rsidR="00A2001B">
        <w:t xml:space="preserve"> adverse effects</w:t>
      </w:r>
      <w:r w:rsidR="00DF324D">
        <w:t xml:space="preserve"> would ensue</w:t>
      </w:r>
      <w:r w:rsidR="00A2001B">
        <w:t xml:space="preserve"> if the termination of the uni</w:t>
      </w:r>
      <w:r w:rsidR="00110FD8">
        <w:t>on was dealt with</w:t>
      </w:r>
      <w:r w:rsidR="00A2001B">
        <w:t xml:space="preserve"> separately from the ancillary issues.</w:t>
      </w:r>
      <w:r w:rsidR="005E3AA4">
        <w:t xml:space="preserve"> Despite the</w:t>
      </w:r>
      <w:r w:rsidR="00DD3BC8">
        <w:t xml:space="preserve"> onus </w:t>
      </w:r>
      <w:r w:rsidR="001D3C06">
        <w:t xml:space="preserve">of proof </w:t>
      </w:r>
      <w:r w:rsidR="005E3AA4">
        <w:t>resting</w:t>
      </w:r>
      <w:r w:rsidR="00DD3BC8">
        <w:t xml:space="preserve"> on</w:t>
      </w:r>
      <w:r w:rsidR="005E3AA4">
        <w:t xml:space="preserve"> her</w:t>
      </w:r>
      <w:r w:rsidR="001B51E6">
        <w:t xml:space="preserve">, </w:t>
      </w:r>
      <w:r w:rsidR="003A6D5A">
        <w:t>she h</w:t>
      </w:r>
      <w:r w:rsidR="005E3AA4">
        <w:t>as failed to discharge it</w:t>
      </w:r>
      <w:r w:rsidR="001B51E6">
        <w:t>.</w:t>
      </w:r>
    </w:p>
    <w:p w:rsidR="008E5187" w:rsidRDefault="005453B5" w:rsidP="00D219D2">
      <w:pPr>
        <w:spacing w:line="360" w:lineRule="auto"/>
        <w:jc w:val="both"/>
      </w:pPr>
      <w:r>
        <w:tab/>
      </w:r>
      <w:r w:rsidR="00C37A54">
        <w:t xml:space="preserve">I </w:t>
      </w:r>
      <w:r w:rsidR="00040179">
        <w:t xml:space="preserve">will now </w:t>
      </w:r>
      <w:r w:rsidR="00C37A54">
        <w:t xml:space="preserve">turn to the issue of distribution of assets to examine if </w:t>
      </w:r>
      <w:r w:rsidR="00F009C1">
        <w:t xml:space="preserve">prejudice would result from dealing with that issue after a pronouncement has been made on the </w:t>
      </w:r>
      <w:r w:rsidR="00431FAF">
        <w:t xml:space="preserve">current status of the customary union. </w:t>
      </w:r>
      <w:r w:rsidR="003807AE">
        <w:t>As far as I can see from the facts,</w:t>
      </w:r>
      <w:r w:rsidR="00AF416E">
        <w:t xml:space="preserve"> no prejudice is apparent. </w:t>
      </w:r>
      <w:r w:rsidR="008E20F8">
        <w:t xml:space="preserve">The Matrimonial Causes Act in section 7 (4) </w:t>
      </w:r>
      <w:r w:rsidR="006E75CD">
        <w:t xml:space="preserve">gives the trial court guidance on </w:t>
      </w:r>
      <w:r w:rsidR="0010349B">
        <w:t xml:space="preserve">the </w:t>
      </w:r>
      <w:r w:rsidR="006E75CD">
        <w:t>factors which must be taken into account</w:t>
      </w:r>
      <w:r w:rsidR="002E4D1A">
        <w:t xml:space="preserve"> w</w:t>
      </w:r>
      <w:r w:rsidR="00236B3D">
        <w:t>hen making a</w:t>
      </w:r>
      <w:r w:rsidR="00F7228A">
        <w:t>n assets</w:t>
      </w:r>
      <w:r w:rsidR="00236B3D">
        <w:t xml:space="preserve"> distribution order, which include the direct or indirect contributions </w:t>
      </w:r>
      <w:r w:rsidR="000452D7">
        <w:t>by each party to family; the duration of the ma</w:t>
      </w:r>
      <w:r w:rsidR="00D478AC">
        <w:t xml:space="preserve">rriage and income-earning capacity, </w:t>
      </w:r>
      <w:r w:rsidR="00927CB8">
        <w:t>resources which each spouse and child is likely to have in the foreseeable future.</w:t>
      </w:r>
      <w:r w:rsidR="003C5EAD">
        <w:t xml:space="preserve"> With th</w:t>
      </w:r>
      <w:r w:rsidR="00E302D9">
        <w:t>e Legislature having provided</w:t>
      </w:r>
      <w:r w:rsidR="003C5EAD">
        <w:t xml:space="preserve"> elaborate criteria to be followed when assets </w:t>
      </w:r>
      <w:r w:rsidR="00AB690F">
        <w:t>are distributed at the ti</w:t>
      </w:r>
      <w:r w:rsidR="00D47BEF">
        <w:t>me of dissolution or</w:t>
      </w:r>
      <w:r w:rsidR="00AB690F">
        <w:t xml:space="preserve"> thereafter, no prejudice has been demonstrated by the defendant.</w:t>
      </w:r>
      <w:r w:rsidR="00163E68">
        <w:t xml:space="preserve"> </w:t>
      </w:r>
    </w:p>
    <w:p w:rsidR="00010A6D" w:rsidRDefault="00D47BEF" w:rsidP="008E5187">
      <w:pPr>
        <w:spacing w:line="360" w:lineRule="auto"/>
        <w:ind w:firstLine="720"/>
        <w:jc w:val="both"/>
      </w:pPr>
      <w:r>
        <w:t xml:space="preserve">It is </w:t>
      </w:r>
      <w:r w:rsidR="00B164B8">
        <w:t>important to underline</w:t>
      </w:r>
      <w:r w:rsidR="004D3458">
        <w:t xml:space="preserve"> that the principle of fault is no longer pa</w:t>
      </w:r>
      <w:r w:rsidR="00CE7E7E">
        <w:t>rt of our law of divorce</w:t>
      </w:r>
      <w:r w:rsidR="004D3458">
        <w:t>.</w:t>
      </w:r>
      <w:r w:rsidR="003A56C4">
        <w:t xml:space="preserve"> Since</w:t>
      </w:r>
      <w:r w:rsidR="009F1C0D">
        <w:t xml:space="preserve"> it is not</w:t>
      </w:r>
      <w:r w:rsidR="00D205DD">
        <w:t xml:space="preserve"> necessary to prove which spouse was at fault in causing the break-up of the union, </w:t>
      </w:r>
      <w:r w:rsidR="00F04FAC">
        <w:lastRenderedPageBreak/>
        <w:t>the</w:t>
      </w:r>
      <w:r w:rsidR="003A56C4">
        <w:t>re is no link</w:t>
      </w:r>
      <w:r w:rsidR="00260EE9">
        <w:t xml:space="preserve"> between distribution of the assets and dissolution of the union.</w:t>
      </w:r>
      <w:r w:rsidR="009F1C0D">
        <w:t xml:space="preserve"> </w:t>
      </w:r>
      <w:r w:rsidR="00DA30F5">
        <w:t xml:space="preserve">Thus, the defendant has not provided a reason for arguing that the </w:t>
      </w:r>
      <w:r w:rsidR="00796D74">
        <w:t>issues should not be separated.</w:t>
      </w:r>
      <w:r w:rsidR="00D205DD">
        <w:t xml:space="preserve"> </w:t>
      </w:r>
      <w:r w:rsidR="004D3458">
        <w:t xml:space="preserve"> </w:t>
      </w:r>
    </w:p>
    <w:p w:rsidR="006A66EE" w:rsidRDefault="00163E68" w:rsidP="00590948">
      <w:pPr>
        <w:spacing w:line="360" w:lineRule="auto"/>
        <w:ind w:firstLine="720"/>
        <w:jc w:val="both"/>
      </w:pPr>
      <w:r>
        <w:t xml:space="preserve">Moving on to the issue of maintenance for either the defendant or children, the considerations </w:t>
      </w:r>
      <w:r w:rsidR="0077697A">
        <w:t>are well established in our jurisdiction</w:t>
      </w:r>
      <w:r w:rsidR="004D6290">
        <w:t>. Finally, the issue of custody does not present any court with insurmountable difficult as the best interests of the children are the paramount consideration.</w:t>
      </w:r>
      <w:r w:rsidR="009D51C6">
        <w:t xml:space="preserve"> N</w:t>
      </w:r>
      <w:r w:rsidR="00D53ADB">
        <w:t>o cogent basis</w:t>
      </w:r>
      <w:r w:rsidR="009D51C6">
        <w:t xml:space="preserve"> has been given</w:t>
      </w:r>
      <w:r w:rsidR="00D53ADB">
        <w:t xml:space="preserve"> for opposing</w:t>
      </w:r>
      <w:r w:rsidR="00080047">
        <w:t xml:space="preserve"> the relief sought. </w:t>
      </w:r>
      <w:r w:rsidR="002540A6">
        <w:t xml:space="preserve">In fact, the plaintiff would suffer prejudice if the determination of the status of the customary union was </w:t>
      </w:r>
      <w:r w:rsidR="00AD5AC2">
        <w:t>held back</w:t>
      </w:r>
      <w:r w:rsidR="002540A6">
        <w:t xml:space="preserve"> simply to suit the convenience of the defendant. </w:t>
      </w:r>
      <w:r w:rsidR="00F83C9D">
        <w:t xml:space="preserve">That the trial has not taken off </w:t>
      </w:r>
      <w:r w:rsidR="00442054">
        <w:t>at the defendant</w:t>
      </w:r>
      <w:r w:rsidR="00946429">
        <w:t>’s instance</w:t>
      </w:r>
      <w:r w:rsidR="00F83C9D">
        <w:t xml:space="preserve"> is public knowledge.</w:t>
      </w:r>
      <w:r w:rsidR="00946429">
        <w:t xml:space="preserve"> </w:t>
      </w:r>
      <w:r w:rsidR="00332443">
        <w:t xml:space="preserve">Moreover, it is not clear when the trial will take place. </w:t>
      </w:r>
      <w:r w:rsidR="00946429">
        <w:t xml:space="preserve">The delay inevitably results in </w:t>
      </w:r>
      <w:r w:rsidR="00FD1B5F">
        <w:t>prejudice to the plaintiff.</w:t>
      </w:r>
      <w:r w:rsidR="00590948">
        <w:t xml:space="preserve"> </w:t>
      </w:r>
    </w:p>
    <w:p w:rsidR="00B21217" w:rsidRPr="0064231D" w:rsidRDefault="00B21217" w:rsidP="00D219D2">
      <w:pPr>
        <w:spacing w:line="360" w:lineRule="auto"/>
        <w:jc w:val="both"/>
        <w:rPr>
          <w:sz w:val="16"/>
          <w:szCs w:val="16"/>
        </w:rPr>
      </w:pPr>
    </w:p>
    <w:p w:rsidR="006327CA" w:rsidRPr="00D219D2" w:rsidRDefault="00D219D2" w:rsidP="00D219D2">
      <w:pPr>
        <w:spacing w:line="360" w:lineRule="auto"/>
        <w:jc w:val="both"/>
        <w:rPr>
          <w:b/>
        </w:rPr>
      </w:pPr>
      <w:r w:rsidRPr="00D219D2">
        <w:rPr>
          <w:b/>
        </w:rPr>
        <w:t>Conclusion</w:t>
      </w:r>
      <w:r w:rsidR="006C0368" w:rsidRPr="00D219D2">
        <w:rPr>
          <w:b/>
        </w:rPr>
        <w:t xml:space="preserve"> </w:t>
      </w:r>
    </w:p>
    <w:p w:rsidR="00DE1E63" w:rsidRDefault="0064231D" w:rsidP="006D6E4F">
      <w:pPr>
        <w:spacing w:line="360" w:lineRule="auto"/>
        <w:ind w:firstLine="720"/>
        <w:jc w:val="both"/>
      </w:pPr>
      <w:r>
        <w:t>As a result of the conclusions I have reached, I do not see anything that prevents me from granting the orders sought by the plaintiff.</w:t>
      </w:r>
      <w:r w:rsidR="00ED73A1">
        <w:t xml:space="preserve"> </w:t>
      </w:r>
      <w:r w:rsidR="00BF7003">
        <w:t xml:space="preserve">I now turn to the question of costs of suit. </w:t>
      </w:r>
      <w:r w:rsidR="00BF7003" w:rsidRPr="00007082">
        <w:t>Generally, costs follow the result.</w:t>
      </w:r>
      <w:r w:rsidR="00FB51A1">
        <w:t xml:space="preserve"> The applicant has asked for costs on the ordinary scale, and I find no reason to deny him those costs.</w:t>
      </w:r>
      <w:r w:rsidR="00C77727">
        <w:t xml:space="preserve"> In addition, I wish to state that t</w:t>
      </w:r>
      <w:r w:rsidR="00982D90" w:rsidRPr="008849E2">
        <w:t xml:space="preserve">he rules of this court permit the granting of an order as prayed for or as varied. </w:t>
      </w:r>
      <w:r w:rsidR="00982D90">
        <w:t xml:space="preserve">(See </w:t>
      </w:r>
      <w:r w:rsidR="00982D90" w:rsidRPr="00BB46D8">
        <w:rPr>
          <w:i/>
        </w:rPr>
        <w:t>Chiswa v Maxess Markerting (Pvt) Ltd &amp; Ors</w:t>
      </w:r>
      <w:r w:rsidR="00982D90">
        <w:t xml:space="preserve"> HH 116-20).  While</w:t>
      </w:r>
      <w:r w:rsidR="00982D90" w:rsidRPr="00007082">
        <w:t xml:space="preserve"> I am satisfied that the appli</w:t>
      </w:r>
      <w:r w:rsidR="00982D90">
        <w:t>cant has proven its case for a</w:t>
      </w:r>
      <w:r w:rsidR="00982D90" w:rsidRPr="00007082">
        <w:t xml:space="preserve"> declara</w:t>
      </w:r>
      <w:r w:rsidR="00C77727">
        <w:t>ter</w:t>
      </w:r>
      <w:r w:rsidR="004772B9">
        <w:t xml:space="preserve">, I will make some </w:t>
      </w:r>
      <w:r w:rsidR="00461F84">
        <w:t xml:space="preserve">variations to the order in a way that </w:t>
      </w:r>
      <w:r w:rsidR="006E769A">
        <w:t>gives effect to correctly reflect what is established by the facts or evidence availed to the court</w:t>
      </w:r>
      <w:r w:rsidR="00982D90">
        <w:t>.</w:t>
      </w:r>
      <w:r w:rsidR="00B85281">
        <w:t xml:space="preserve"> In </w:t>
      </w:r>
      <w:r w:rsidR="00B85281" w:rsidRPr="001A1115">
        <w:rPr>
          <w:i/>
        </w:rPr>
        <w:t>Chiswa v Maxess Marketing (Pvt) Ltd &amp; Ors</w:t>
      </w:r>
      <w:r w:rsidR="00B85281">
        <w:t xml:space="preserve"> supra, K</w:t>
      </w:r>
      <w:r w:rsidR="00B85281" w:rsidRPr="001A1115">
        <w:rPr>
          <w:sz w:val="22"/>
        </w:rPr>
        <w:t>WENDA</w:t>
      </w:r>
      <w:r w:rsidR="00B85281">
        <w:t xml:space="preserve"> aptly made the point in the following words:</w:t>
      </w:r>
    </w:p>
    <w:p w:rsidR="00B85281" w:rsidRPr="006677A2" w:rsidRDefault="00B85281" w:rsidP="006D6E4F">
      <w:pPr>
        <w:spacing w:line="360" w:lineRule="auto"/>
        <w:ind w:firstLine="720"/>
        <w:jc w:val="both"/>
        <w:rPr>
          <w:sz w:val="16"/>
          <w:szCs w:val="16"/>
        </w:rPr>
      </w:pPr>
    </w:p>
    <w:p w:rsidR="00B85281" w:rsidRDefault="00B85281" w:rsidP="006677A2">
      <w:pPr>
        <w:ind w:left="720"/>
        <w:jc w:val="both"/>
      </w:pPr>
      <w:r>
        <w:t>“Where the court finds that underlying dispute comes out clearly in the applicant’s papers but due to poor drafting, it has not been properly presented in the draft order, the court can in its discretion, amend the draft order</w:t>
      </w:r>
      <w:r w:rsidR="006677A2">
        <w:t>”</w:t>
      </w:r>
      <w:r>
        <w:t>.</w:t>
      </w:r>
    </w:p>
    <w:p w:rsidR="00411B8E" w:rsidRDefault="00411B8E" w:rsidP="00411B8E">
      <w:pPr>
        <w:jc w:val="both"/>
      </w:pPr>
    </w:p>
    <w:p w:rsidR="00411B8E" w:rsidRDefault="00411B8E" w:rsidP="007857D2">
      <w:pPr>
        <w:spacing w:line="360" w:lineRule="auto"/>
        <w:jc w:val="both"/>
      </w:pPr>
      <w:r>
        <w:t>It is on the basis of my brother judge’s wisdom that I will grant the order</w:t>
      </w:r>
      <w:r w:rsidR="00ED269D">
        <w:t xml:space="preserve"> sought as amended.</w:t>
      </w:r>
      <w:r w:rsidR="007857D2">
        <w:t xml:space="preserve"> The amended order does not detract or depart from the relief the plaintiff desires.</w:t>
      </w:r>
      <w:r>
        <w:t xml:space="preserve"> </w:t>
      </w:r>
    </w:p>
    <w:p w:rsidR="0064231D" w:rsidRPr="00053536" w:rsidRDefault="0064231D" w:rsidP="007B7EC8">
      <w:pPr>
        <w:spacing w:line="360" w:lineRule="auto"/>
        <w:rPr>
          <w:b/>
        </w:rPr>
      </w:pPr>
    </w:p>
    <w:p w:rsidR="007B7EC8" w:rsidRPr="007B7EC8" w:rsidRDefault="007B7EC8" w:rsidP="007B7EC8">
      <w:pPr>
        <w:spacing w:line="360" w:lineRule="auto"/>
        <w:rPr>
          <w:b/>
        </w:rPr>
      </w:pPr>
      <w:r w:rsidRPr="007B7EC8">
        <w:rPr>
          <w:b/>
        </w:rPr>
        <w:t>Disposition</w:t>
      </w:r>
    </w:p>
    <w:p w:rsidR="007B7EC8" w:rsidRDefault="00DF502F" w:rsidP="001F74EE">
      <w:pPr>
        <w:spacing w:line="360" w:lineRule="auto"/>
        <w:jc w:val="both"/>
      </w:pPr>
      <w:r>
        <w:t xml:space="preserve"> </w:t>
      </w:r>
      <w:r w:rsidR="007B7EC8">
        <w:t>In the result, I grant</w:t>
      </w:r>
      <w:r w:rsidR="00102803">
        <w:t xml:space="preserve"> the following order:</w:t>
      </w:r>
    </w:p>
    <w:p w:rsidR="005A49FA" w:rsidRPr="005A49FA" w:rsidRDefault="005A49FA" w:rsidP="001F74EE">
      <w:pPr>
        <w:spacing w:line="360" w:lineRule="auto"/>
        <w:jc w:val="both"/>
        <w:rPr>
          <w:sz w:val="12"/>
          <w:szCs w:val="12"/>
        </w:rPr>
      </w:pPr>
    </w:p>
    <w:p w:rsidR="00102803" w:rsidRDefault="00102803" w:rsidP="001F74EE">
      <w:pPr>
        <w:pStyle w:val="ListParagraph"/>
        <w:numPr>
          <w:ilvl w:val="0"/>
          <w:numId w:val="21"/>
        </w:numPr>
        <w:spacing w:line="360" w:lineRule="auto"/>
        <w:jc w:val="both"/>
      </w:pPr>
      <w:r>
        <w:t>The application is allowed with costs.</w:t>
      </w:r>
    </w:p>
    <w:p w:rsidR="00406794" w:rsidRPr="00406794" w:rsidRDefault="00406794" w:rsidP="00406794">
      <w:pPr>
        <w:pStyle w:val="ListParagraph"/>
        <w:spacing w:line="360" w:lineRule="auto"/>
        <w:ind w:left="1080"/>
        <w:jc w:val="both"/>
        <w:rPr>
          <w:sz w:val="8"/>
          <w:szCs w:val="8"/>
        </w:rPr>
      </w:pPr>
    </w:p>
    <w:p w:rsidR="00102803" w:rsidRDefault="00102803" w:rsidP="001F74EE">
      <w:pPr>
        <w:pStyle w:val="ListParagraph"/>
        <w:numPr>
          <w:ilvl w:val="0"/>
          <w:numId w:val="21"/>
        </w:numPr>
        <w:spacing w:line="360" w:lineRule="auto"/>
        <w:jc w:val="both"/>
      </w:pPr>
      <w:r>
        <w:t>It is declared that</w:t>
      </w:r>
      <w:r w:rsidR="00906446">
        <w:t xml:space="preserve">, by the time </w:t>
      </w:r>
      <w:r w:rsidR="00DF0C7D">
        <w:t xml:space="preserve">proceedings in </w:t>
      </w:r>
      <w:r w:rsidR="00906446">
        <w:t>HC 9837</w:t>
      </w:r>
      <w:r w:rsidR="00DF0C7D">
        <w:t>/19 were</w:t>
      </w:r>
      <w:r w:rsidR="00906446">
        <w:t xml:space="preserve"> instituted,</w:t>
      </w:r>
      <w:r w:rsidR="00DF0C7D">
        <w:t xml:space="preserve"> </w:t>
      </w:r>
      <w:r>
        <w:t xml:space="preserve">the customary union between the </w:t>
      </w:r>
      <w:r w:rsidR="00135838">
        <w:t>p</w:t>
      </w:r>
      <w:r w:rsidR="00906446">
        <w:t>arties</w:t>
      </w:r>
      <w:r w:rsidR="001A1115">
        <w:t xml:space="preserve"> had</w:t>
      </w:r>
      <w:r w:rsidR="00906446">
        <w:t xml:space="preserve"> ceased to subsist.</w:t>
      </w:r>
    </w:p>
    <w:p w:rsidR="00406794" w:rsidRPr="00406794" w:rsidRDefault="00406794" w:rsidP="00406794">
      <w:pPr>
        <w:spacing w:line="360" w:lineRule="auto"/>
        <w:jc w:val="both"/>
        <w:rPr>
          <w:sz w:val="8"/>
          <w:szCs w:val="8"/>
        </w:rPr>
      </w:pPr>
    </w:p>
    <w:p w:rsidR="00F234D4" w:rsidRDefault="002E465C" w:rsidP="001F74EE">
      <w:pPr>
        <w:pStyle w:val="ListParagraph"/>
        <w:numPr>
          <w:ilvl w:val="0"/>
          <w:numId w:val="21"/>
        </w:numPr>
        <w:spacing w:line="360" w:lineRule="auto"/>
        <w:jc w:val="both"/>
      </w:pPr>
      <w:r>
        <w:t>T</w:t>
      </w:r>
      <w:r w:rsidR="00F234D4">
        <w:t xml:space="preserve">he ancillary issues relating to custody, maintenance and the property rights </w:t>
      </w:r>
      <w:r w:rsidR="004F709B">
        <w:t>of the parties are stood down for determination at trial</w:t>
      </w:r>
      <w:r w:rsidR="00C9464A">
        <w:t>, which shall be set down</w:t>
      </w:r>
      <w:r w:rsidR="00D34874">
        <w:t xml:space="preserve"> by the defendant</w:t>
      </w:r>
      <w:r w:rsidR="004F709B">
        <w:t xml:space="preserve"> </w:t>
      </w:r>
      <w:r w:rsidR="00D34874">
        <w:t>as and when she</w:t>
      </w:r>
      <w:r w:rsidR="006D0A9B">
        <w:t xml:space="preserve"> is able to prosecute the matter.</w:t>
      </w:r>
    </w:p>
    <w:p w:rsidR="00DE1E63" w:rsidRDefault="00DE1E63" w:rsidP="00DE1E63">
      <w:pPr>
        <w:spacing w:line="360" w:lineRule="auto"/>
        <w:jc w:val="right"/>
      </w:pPr>
      <w:r>
        <w:t xml:space="preserve"> </w:t>
      </w:r>
    </w:p>
    <w:p w:rsidR="00DE1E63" w:rsidRDefault="00DE1E63" w:rsidP="00D86E08">
      <w:pPr>
        <w:spacing w:line="360" w:lineRule="auto"/>
        <w:jc w:val="center"/>
        <w:rPr>
          <w:i/>
        </w:rPr>
      </w:pPr>
    </w:p>
    <w:p w:rsidR="001C2C7D" w:rsidRDefault="001C2C7D" w:rsidP="00D86E08">
      <w:pPr>
        <w:spacing w:line="360" w:lineRule="auto"/>
        <w:jc w:val="center"/>
        <w:rPr>
          <w:i/>
        </w:rPr>
      </w:pPr>
    </w:p>
    <w:p w:rsidR="00DE1E63" w:rsidRDefault="00420D22" w:rsidP="00DE1E63">
      <w:pPr>
        <w:jc w:val="both"/>
      </w:pPr>
      <w:r>
        <w:rPr>
          <w:i/>
        </w:rPr>
        <w:t>Manase &amp; Manase</w:t>
      </w:r>
      <w:r w:rsidR="00DE1E63">
        <w:rPr>
          <w:i/>
        </w:rPr>
        <w:t>,</w:t>
      </w:r>
      <w:r w:rsidR="00DE1E63">
        <w:t xml:space="preserve"> applicant’s legal practitioners</w:t>
      </w:r>
    </w:p>
    <w:p w:rsidR="00DE1E63" w:rsidRDefault="00420D22" w:rsidP="00DE1E63">
      <w:pPr>
        <w:jc w:val="both"/>
      </w:pPr>
      <w:r>
        <w:rPr>
          <w:i/>
          <w:iCs/>
        </w:rPr>
        <w:t>Mtetwa &amp; Nyambirai</w:t>
      </w:r>
      <w:r>
        <w:t xml:space="preserve">, </w:t>
      </w:r>
      <w:r w:rsidR="00DE1E63">
        <w:t>respondent’s legal practitioners</w:t>
      </w:r>
    </w:p>
    <w:p w:rsidR="00D17074" w:rsidRPr="005A4D7A" w:rsidRDefault="00D17074" w:rsidP="00B01F42">
      <w:pPr>
        <w:spacing w:line="360" w:lineRule="auto"/>
        <w:jc w:val="both"/>
      </w:pPr>
      <w:r>
        <w:tab/>
      </w:r>
    </w:p>
    <w:sectPr w:rsidR="00D17074" w:rsidRPr="005A4D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E12" w:rsidRDefault="00A31E12" w:rsidP="005A4D7A">
      <w:r>
        <w:separator/>
      </w:r>
    </w:p>
  </w:endnote>
  <w:endnote w:type="continuationSeparator" w:id="0">
    <w:p w:rsidR="00A31E12" w:rsidRDefault="00A31E12"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E12" w:rsidRDefault="00A31E12" w:rsidP="005A4D7A">
      <w:r>
        <w:separator/>
      </w:r>
    </w:p>
  </w:footnote>
  <w:footnote w:type="continuationSeparator" w:id="0">
    <w:p w:rsidR="00A31E12" w:rsidRDefault="00A31E12"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9875"/>
      <w:docPartObj>
        <w:docPartGallery w:val="Page Numbers (Top of Page)"/>
        <w:docPartUnique/>
      </w:docPartObj>
    </w:sdtPr>
    <w:sdtEndPr>
      <w:rPr>
        <w:noProof/>
      </w:rPr>
    </w:sdtEndPr>
    <w:sdtContent>
      <w:p w:rsidR="005A4D7A" w:rsidRDefault="005A4D7A" w:rsidP="00D27A4B">
        <w:pPr>
          <w:pStyle w:val="Header"/>
          <w:jc w:val="right"/>
          <w:rPr>
            <w:noProof/>
          </w:rPr>
        </w:pPr>
        <w:r>
          <w:fldChar w:fldCharType="begin"/>
        </w:r>
        <w:r>
          <w:instrText xml:space="preserve"> PAGE   \* MERGEFORMAT </w:instrText>
        </w:r>
        <w:r>
          <w:fldChar w:fldCharType="separate"/>
        </w:r>
        <w:r w:rsidR="00EA7696">
          <w:rPr>
            <w:noProof/>
          </w:rPr>
          <w:t>1</w:t>
        </w:r>
        <w:r>
          <w:rPr>
            <w:noProof/>
          </w:rPr>
          <w:fldChar w:fldCharType="end"/>
        </w:r>
      </w:p>
      <w:p w:rsidR="00B1216B" w:rsidRDefault="00000310" w:rsidP="00D27A4B">
        <w:pPr>
          <w:pStyle w:val="Header"/>
          <w:jc w:val="right"/>
          <w:rPr>
            <w:noProof/>
          </w:rPr>
        </w:pPr>
        <w:r>
          <w:rPr>
            <w:noProof/>
          </w:rPr>
          <w:t>HH</w:t>
        </w:r>
        <w:r w:rsidR="001A1115">
          <w:rPr>
            <w:noProof/>
          </w:rPr>
          <w:t xml:space="preserve"> 78-22</w:t>
        </w:r>
      </w:p>
      <w:p w:rsidR="005A4D7A" w:rsidRDefault="006077C6" w:rsidP="00602A43">
        <w:pPr>
          <w:pStyle w:val="Header"/>
          <w:jc w:val="right"/>
          <w:rPr>
            <w:noProof/>
          </w:rPr>
        </w:pPr>
        <w:r>
          <w:rPr>
            <w:noProof/>
          </w:rPr>
          <w:t xml:space="preserve">HC </w:t>
        </w:r>
        <w:r w:rsidR="007C77D0">
          <w:rPr>
            <w:noProof/>
          </w:rPr>
          <w:t>9837/19</w:t>
        </w:r>
      </w:p>
    </w:sdtContent>
  </w:sdt>
  <w:p w:rsidR="005A4D7A" w:rsidRDefault="005A4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C62EA0"/>
    <w:multiLevelType w:val="hybridMultilevel"/>
    <w:tmpl w:val="B1047E82"/>
    <w:lvl w:ilvl="0" w:tplc="8A626F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EAA24F9"/>
    <w:multiLevelType w:val="hybridMultilevel"/>
    <w:tmpl w:val="D29EA418"/>
    <w:lvl w:ilvl="0" w:tplc="933E44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FBC2BAB"/>
    <w:multiLevelType w:val="hybridMultilevel"/>
    <w:tmpl w:val="DAB4BD5A"/>
    <w:lvl w:ilvl="0" w:tplc="443065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7A942EA"/>
    <w:multiLevelType w:val="hybridMultilevel"/>
    <w:tmpl w:val="8814CC6A"/>
    <w:lvl w:ilvl="0" w:tplc="30090009">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9" w15:restartNumberingAfterBreak="0">
    <w:nsid w:val="2CA7444B"/>
    <w:multiLevelType w:val="hybridMultilevel"/>
    <w:tmpl w:val="A094CDFC"/>
    <w:lvl w:ilvl="0" w:tplc="29DC55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42F62697"/>
    <w:multiLevelType w:val="hybridMultilevel"/>
    <w:tmpl w:val="D10A1D08"/>
    <w:lvl w:ilvl="0" w:tplc="3B4E8CBE">
      <w:start w:val="1"/>
      <w:numFmt w:val="lowerLetter"/>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3"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5"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7" w15:restartNumberingAfterBreak="0">
    <w:nsid w:val="53565E96"/>
    <w:multiLevelType w:val="hybridMultilevel"/>
    <w:tmpl w:val="CB52A234"/>
    <w:lvl w:ilvl="0" w:tplc="30090009">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18"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0CB1056"/>
    <w:multiLevelType w:val="hybridMultilevel"/>
    <w:tmpl w:val="C9ECDAAC"/>
    <w:lvl w:ilvl="0" w:tplc="0A4AF7C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D360BCB"/>
    <w:multiLevelType w:val="hybridMultilevel"/>
    <w:tmpl w:val="DBB418AE"/>
    <w:lvl w:ilvl="0" w:tplc="0558831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15"/>
  </w:num>
  <w:num w:numId="3">
    <w:abstractNumId w:val="22"/>
  </w:num>
  <w:num w:numId="4">
    <w:abstractNumId w:val="16"/>
  </w:num>
  <w:num w:numId="5">
    <w:abstractNumId w:val="10"/>
  </w:num>
  <w:num w:numId="6">
    <w:abstractNumId w:val="14"/>
  </w:num>
  <w:num w:numId="7">
    <w:abstractNumId w:val="13"/>
  </w:num>
  <w:num w:numId="8">
    <w:abstractNumId w:val="11"/>
  </w:num>
  <w:num w:numId="9">
    <w:abstractNumId w:val="0"/>
  </w:num>
  <w:num w:numId="10">
    <w:abstractNumId w:val="4"/>
  </w:num>
  <w:num w:numId="11">
    <w:abstractNumId w:val="18"/>
  </w:num>
  <w:num w:numId="12">
    <w:abstractNumId w:val="3"/>
  </w:num>
  <w:num w:numId="13">
    <w:abstractNumId w:val="21"/>
  </w:num>
  <w:num w:numId="14">
    <w:abstractNumId w:val="7"/>
  </w:num>
  <w:num w:numId="15">
    <w:abstractNumId w:val="8"/>
  </w:num>
  <w:num w:numId="16">
    <w:abstractNumId w:val="17"/>
  </w:num>
  <w:num w:numId="17">
    <w:abstractNumId w:val="1"/>
  </w:num>
  <w:num w:numId="18">
    <w:abstractNumId w:val="6"/>
  </w:num>
  <w:num w:numId="19">
    <w:abstractNumId w:val="19"/>
  </w:num>
  <w:num w:numId="20">
    <w:abstractNumId w:val="5"/>
  </w:num>
  <w:num w:numId="21">
    <w:abstractNumId w:val="9"/>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A"/>
    <w:rsid w:val="00000310"/>
    <w:rsid w:val="0000187D"/>
    <w:rsid w:val="000018EF"/>
    <w:rsid w:val="00003953"/>
    <w:rsid w:val="00004CA8"/>
    <w:rsid w:val="00010443"/>
    <w:rsid w:val="00010A6D"/>
    <w:rsid w:val="00020014"/>
    <w:rsid w:val="0002003E"/>
    <w:rsid w:val="00032F29"/>
    <w:rsid w:val="00033EEE"/>
    <w:rsid w:val="00036F12"/>
    <w:rsid w:val="0003708D"/>
    <w:rsid w:val="00040179"/>
    <w:rsid w:val="00040BAD"/>
    <w:rsid w:val="00040C2D"/>
    <w:rsid w:val="000437A6"/>
    <w:rsid w:val="00044993"/>
    <w:rsid w:val="000452D7"/>
    <w:rsid w:val="00046B8F"/>
    <w:rsid w:val="00046CE9"/>
    <w:rsid w:val="00051BCE"/>
    <w:rsid w:val="00053536"/>
    <w:rsid w:val="00056272"/>
    <w:rsid w:val="000571B7"/>
    <w:rsid w:val="00060409"/>
    <w:rsid w:val="0006044A"/>
    <w:rsid w:val="000611E9"/>
    <w:rsid w:val="0006233A"/>
    <w:rsid w:val="00062389"/>
    <w:rsid w:val="00065195"/>
    <w:rsid w:val="00066EA2"/>
    <w:rsid w:val="000672F9"/>
    <w:rsid w:val="00076C33"/>
    <w:rsid w:val="00080047"/>
    <w:rsid w:val="00080A17"/>
    <w:rsid w:val="00081C16"/>
    <w:rsid w:val="000861F4"/>
    <w:rsid w:val="000865EA"/>
    <w:rsid w:val="000952B7"/>
    <w:rsid w:val="000965BC"/>
    <w:rsid w:val="0009791D"/>
    <w:rsid w:val="00097AFE"/>
    <w:rsid w:val="000A59D6"/>
    <w:rsid w:val="000A5B71"/>
    <w:rsid w:val="000A5CB8"/>
    <w:rsid w:val="000A6E82"/>
    <w:rsid w:val="000B2DFC"/>
    <w:rsid w:val="000B30BB"/>
    <w:rsid w:val="000B67D7"/>
    <w:rsid w:val="000B6BD6"/>
    <w:rsid w:val="000B7869"/>
    <w:rsid w:val="000C01AF"/>
    <w:rsid w:val="000C0C00"/>
    <w:rsid w:val="000C104C"/>
    <w:rsid w:val="000C10D9"/>
    <w:rsid w:val="000C3E66"/>
    <w:rsid w:val="000C453A"/>
    <w:rsid w:val="000C6C23"/>
    <w:rsid w:val="000D059C"/>
    <w:rsid w:val="000D0B80"/>
    <w:rsid w:val="000D45E2"/>
    <w:rsid w:val="000D534A"/>
    <w:rsid w:val="000D66CF"/>
    <w:rsid w:val="000D71D6"/>
    <w:rsid w:val="000E0734"/>
    <w:rsid w:val="000E158A"/>
    <w:rsid w:val="000E203B"/>
    <w:rsid w:val="000E2799"/>
    <w:rsid w:val="000E4218"/>
    <w:rsid w:val="000E5144"/>
    <w:rsid w:val="000E625C"/>
    <w:rsid w:val="000F17BB"/>
    <w:rsid w:val="000F1D04"/>
    <w:rsid w:val="000F26B8"/>
    <w:rsid w:val="000F3663"/>
    <w:rsid w:val="000F5F75"/>
    <w:rsid w:val="00102803"/>
    <w:rsid w:val="0010349B"/>
    <w:rsid w:val="0010433B"/>
    <w:rsid w:val="00104513"/>
    <w:rsid w:val="00106853"/>
    <w:rsid w:val="00110FD8"/>
    <w:rsid w:val="00116A7B"/>
    <w:rsid w:val="00122F4E"/>
    <w:rsid w:val="00124AE8"/>
    <w:rsid w:val="0012567E"/>
    <w:rsid w:val="001342A9"/>
    <w:rsid w:val="00134D20"/>
    <w:rsid w:val="00135838"/>
    <w:rsid w:val="00136738"/>
    <w:rsid w:val="00136D44"/>
    <w:rsid w:val="001407F9"/>
    <w:rsid w:val="00141FC5"/>
    <w:rsid w:val="001528F8"/>
    <w:rsid w:val="001532D5"/>
    <w:rsid w:val="00153868"/>
    <w:rsid w:val="00153963"/>
    <w:rsid w:val="001550E0"/>
    <w:rsid w:val="00155A31"/>
    <w:rsid w:val="001569EE"/>
    <w:rsid w:val="0016302F"/>
    <w:rsid w:val="0016335E"/>
    <w:rsid w:val="00163E68"/>
    <w:rsid w:val="0016467D"/>
    <w:rsid w:val="00165F3E"/>
    <w:rsid w:val="0016794A"/>
    <w:rsid w:val="0017055C"/>
    <w:rsid w:val="00171E1D"/>
    <w:rsid w:val="00171F55"/>
    <w:rsid w:val="00172012"/>
    <w:rsid w:val="0017324C"/>
    <w:rsid w:val="0017444E"/>
    <w:rsid w:val="001901DA"/>
    <w:rsid w:val="0019021D"/>
    <w:rsid w:val="001904C7"/>
    <w:rsid w:val="00193712"/>
    <w:rsid w:val="00197BA6"/>
    <w:rsid w:val="001A0DED"/>
    <w:rsid w:val="001A1115"/>
    <w:rsid w:val="001A4C1C"/>
    <w:rsid w:val="001B0830"/>
    <w:rsid w:val="001B51E6"/>
    <w:rsid w:val="001C0A48"/>
    <w:rsid w:val="001C0B8A"/>
    <w:rsid w:val="001C1FD5"/>
    <w:rsid w:val="001C2442"/>
    <w:rsid w:val="001C24A6"/>
    <w:rsid w:val="001C2A00"/>
    <w:rsid w:val="001C2C7D"/>
    <w:rsid w:val="001C5CAC"/>
    <w:rsid w:val="001D0246"/>
    <w:rsid w:val="001D2796"/>
    <w:rsid w:val="001D3C06"/>
    <w:rsid w:val="001D4814"/>
    <w:rsid w:val="001D69CA"/>
    <w:rsid w:val="001D7987"/>
    <w:rsid w:val="001E114A"/>
    <w:rsid w:val="001E2CB7"/>
    <w:rsid w:val="001E3A2E"/>
    <w:rsid w:val="001E3F92"/>
    <w:rsid w:val="001E4D55"/>
    <w:rsid w:val="001E67D3"/>
    <w:rsid w:val="001F09AE"/>
    <w:rsid w:val="001F4D32"/>
    <w:rsid w:val="001F66F3"/>
    <w:rsid w:val="001F6992"/>
    <w:rsid w:val="001F74EE"/>
    <w:rsid w:val="00200560"/>
    <w:rsid w:val="00210AA3"/>
    <w:rsid w:val="002135CB"/>
    <w:rsid w:val="00213A4B"/>
    <w:rsid w:val="00214036"/>
    <w:rsid w:val="00216164"/>
    <w:rsid w:val="0021673D"/>
    <w:rsid w:val="00220977"/>
    <w:rsid w:val="00221BED"/>
    <w:rsid w:val="00222C3C"/>
    <w:rsid w:val="00223660"/>
    <w:rsid w:val="002249A7"/>
    <w:rsid w:val="0022768B"/>
    <w:rsid w:val="002320CE"/>
    <w:rsid w:val="002327DD"/>
    <w:rsid w:val="00232A80"/>
    <w:rsid w:val="00236B3D"/>
    <w:rsid w:val="0024144E"/>
    <w:rsid w:val="00242D52"/>
    <w:rsid w:val="00245C7E"/>
    <w:rsid w:val="0025007B"/>
    <w:rsid w:val="00251288"/>
    <w:rsid w:val="002521BF"/>
    <w:rsid w:val="002540A6"/>
    <w:rsid w:val="00254367"/>
    <w:rsid w:val="00256EB3"/>
    <w:rsid w:val="00260491"/>
    <w:rsid w:val="00260EE9"/>
    <w:rsid w:val="002610EF"/>
    <w:rsid w:val="00261F3E"/>
    <w:rsid w:val="00264E2F"/>
    <w:rsid w:val="00272EAD"/>
    <w:rsid w:val="00274199"/>
    <w:rsid w:val="00276ADA"/>
    <w:rsid w:val="0028493F"/>
    <w:rsid w:val="002862F4"/>
    <w:rsid w:val="002912A6"/>
    <w:rsid w:val="002918E2"/>
    <w:rsid w:val="00293088"/>
    <w:rsid w:val="002A0A83"/>
    <w:rsid w:val="002A3CB3"/>
    <w:rsid w:val="002A430E"/>
    <w:rsid w:val="002A6F91"/>
    <w:rsid w:val="002B0D0A"/>
    <w:rsid w:val="002B4C85"/>
    <w:rsid w:val="002B5CF9"/>
    <w:rsid w:val="002B7496"/>
    <w:rsid w:val="002D1758"/>
    <w:rsid w:val="002D2D9C"/>
    <w:rsid w:val="002D34A3"/>
    <w:rsid w:val="002D394A"/>
    <w:rsid w:val="002D4797"/>
    <w:rsid w:val="002E3A2F"/>
    <w:rsid w:val="002E465C"/>
    <w:rsid w:val="002E4791"/>
    <w:rsid w:val="002E4D1A"/>
    <w:rsid w:val="002E5308"/>
    <w:rsid w:val="002F286B"/>
    <w:rsid w:val="002F6922"/>
    <w:rsid w:val="00301583"/>
    <w:rsid w:val="00302197"/>
    <w:rsid w:val="0030244B"/>
    <w:rsid w:val="00302E9F"/>
    <w:rsid w:val="00306E52"/>
    <w:rsid w:val="00307CF9"/>
    <w:rsid w:val="0031037A"/>
    <w:rsid w:val="00310778"/>
    <w:rsid w:val="00311A42"/>
    <w:rsid w:val="00311D49"/>
    <w:rsid w:val="0031216D"/>
    <w:rsid w:val="003126EF"/>
    <w:rsid w:val="003128D2"/>
    <w:rsid w:val="00312EB5"/>
    <w:rsid w:val="00314B19"/>
    <w:rsid w:val="00315C06"/>
    <w:rsid w:val="00316234"/>
    <w:rsid w:val="003254B2"/>
    <w:rsid w:val="003269B4"/>
    <w:rsid w:val="003270BE"/>
    <w:rsid w:val="0032732D"/>
    <w:rsid w:val="00327770"/>
    <w:rsid w:val="00332443"/>
    <w:rsid w:val="00337377"/>
    <w:rsid w:val="00337C41"/>
    <w:rsid w:val="00337DAA"/>
    <w:rsid w:val="003408C0"/>
    <w:rsid w:val="003414FF"/>
    <w:rsid w:val="00345AEE"/>
    <w:rsid w:val="003463B3"/>
    <w:rsid w:val="0034645B"/>
    <w:rsid w:val="0034763E"/>
    <w:rsid w:val="00347AF5"/>
    <w:rsid w:val="00350971"/>
    <w:rsid w:val="00350B7A"/>
    <w:rsid w:val="00351172"/>
    <w:rsid w:val="00352FAE"/>
    <w:rsid w:val="003548B2"/>
    <w:rsid w:val="00355D5A"/>
    <w:rsid w:val="003612A4"/>
    <w:rsid w:val="00363C81"/>
    <w:rsid w:val="003648FB"/>
    <w:rsid w:val="003713EA"/>
    <w:rsid w:val="0037253F"/>
    <w:rsid w:val="0037364A"/>
    <w:rsid w:val="00374C9D"/>
    <w:rsid w:val="00376C8F"/>
    <w:rsid w:val="003807AE"/>
    <w:rsid w:val="00384ACD"/>
    <w:rsid w:val="0038504F"/>
    <w:rsid w:val="00385CF6"/>
    <w:rsid w:val="00391D01"/>
    <w:rsid w:val="003925C8"/>
    <w:rsid w:val="003937C0"/>
    <w:rsid w:val="0039564B"/>
    <w:rsid w:val="00395ACD"/>
    <w:rsid w:val="003A0463"/>
    <w:rsid w:val="003A0832"/>
    <w:rsid w:val="003A20F2"/>
    <w:rsid w:val="003A4ED9"/>
    <w:rsid w:val="003A56C4"/>
    <w:rsid w:val="003A6D5A"/>
    <w:rsid w:val="003A77FD"/>
    <w:rsid w:val="003B7670"/>
    <w:rsid w:val="003C00A5"/>
    <w:rsid w:val="003C1F63"/>
    <w:rsid w:val="003C3946"/>
    <w:rsid w:val="003C559E"/>
    <w:rsid w:val="003C5E2F"/>
    <w:rsid w:val="003C5EAD"/>
    <w:rsid w:val="003C7261"/>
    <w:rsid w:val="003D16C4"/>
    <w:rsid w:val="003D4716"/>
    <w:rsid w:val="003E2A69"/>
    <w:rsid w:val="003E3469"/>
    <w:rsid w:val="003E45AC"/>
    <w:rsid w:val="003E598A"/>
    <w:rsid w:val="003F16BA"/>
    <w:rsid w:val="003F30DF"/>
    <w:rsid w:val="003F6A14"/>
    <w:rsid w:val="003F7C0E"/>
    <w:rsid w:val="003F7E0D"/>
    <w:rsid w:val="004007D0"/>
    <w:rsid w:val="00400F8F"/>
    <w:rsid w:val="00401C12"/>
    <w:rsid w:val="004041BE"/>
    <w:rsid w:val="00405AAF"/>
    <w:rsid w:val="00406705"/>
    <w:rsid w:val="00406794"/>
    <w:rsid w:val="00407ED3"/>
    <w:rsid w:val="00411B8E"/>
    <w:rsid w:val="00413787"/>
    <w:rsid w:val="0041406F"/>
    <w:rsid w:val="004169FF"/>
    <w:rsid w:val="00420D22"/>
    <w:rsid w:val="004233D1"/>
    <w:rsid w:val="0042722C"/>
    <w:rsid w:val="00427E63"/>
    <w:rsid w:val="00430154"/>
    <w:rsid w:val="00430E47"/>
    <w:rsid w:val="00431FAF"/>
    <w:rsid w:val="0043415A"/>
    <w:rsid w:val="00437249"/>
    <w:rsid w:val="00440149"/>
    <w:rsid w:val="00440FE6"/>
    <w:rsid w:val="0044147E"/>
    <w:rsid w:val="00442054"/>
    <w:rsid w:val="00442BE2"/>
    <w:rsid w:val="00446C70"/>
    <w:rsid w:val="00447503"/>
    <w:rsid w:val="0045012B"/>
    <w:rsid w:val="00451181"/>
    <w:rsid w:val="0045356E"/>
    <w:rsid w:val="00453D7B"/>
    <w:rsid w:val="00455011"/>
    <w:rsid w:val="00455CA0"/>
    <w:rsid w:val="00461487"/>
    <w:rsid w:val="00461F84"/>
    <w:rsid w:val="0046215A"/>
    <w:rsid w:val="004633DB"/>
    <w:rsid w:val="004655E0"/>
    <w:rsid w:val="0047026A"/>
    <w:rsid w:val="00472847"/>
    <w:rsid w:val="004772B9"/>
    <w:rsid w:val="00480ADB"/>
    <w:rsid w:val="00482F31"/>
    <w:rsid w:val="0048341C"/>
    <w:rsid w:val="00483E55"/>
    <w:rsid w:val="00486278"/>
    <w:rsid w:val="00487519"/>
    <w:rsid w:val="004906BC"/>
    <w:rsid w:val="00493540"/>
    <w:rsid w:val="0049394A"/>
    <w:rsid w:val="00494246"/>
    <w:rsid w:val="0049730D"/>
    <w:rsid w:val="004A23DB"/>
    <w:rsid w:val="004A61A8"/>
    <w:rsid w:val="004B0DCA"/>
    <w:rsid w:val="004B10DD"/>
    <w:rsid w:val="004B317E"/>
    <w:rsid w:val="004B34EB"/>
    <w:rsid w:val="004B682A"/>
    <w:rsid w:val="004B6F2C"/>
    <w:rsid w:val="004B73BD"/>
    <w:rsid w:val="004C01D6"/>
    <w:rsid w:val="004C6E2F"/>
    <w:rsid w:val="004C7638"/>
    <w:rsid w:val="004D0E53"/>
    <w:rsid w:val="004D1790"/>
    <w:rsid w:val="004D3458"/>
    <w:rsid w:val="004D3C5A"/>
    <w:rsid w:val="004D3FC4"/>
    <w:rsid w:val="004D45E6"/>
    <w:rsid w:val="004D4A40"/>
    <w:rsid w:val="004D529D"/>
    <w:rsid w:val="004D620C"/>
    <w:rsid w:val="004D6290"/>
    <w:rsid w:val="004E16A4"/>
    <w:rsid w:val="004E1CA6"/>
    <w:rsid w:val="004E2DB6"/>
    <w:rsid w:val="004E59D3"/>
    <w:rsid w:val="004E6230"/>
    <w:rsid w:val="004F10AC"/>
    <w:rsid w:val="004F3423"/>
    <w:rsid w:val="004F709B"/>
    <w:rsid w:val="00502BD4"/>
    <w:rsid w:val="005032B8"/>
    <w:rsid w:val="00504A81"/>
    <w:rsid w:val="0050717F"/>
    <w:rsid w:val="00507822"/>
    <w:rsid w:val="005079FA"/>
    <w:rsid w:val="00510068"/>
    <w:rsid w:val="00512A79"/>
    <w:rsid w:val="00512C7D"/>
    <w:rsid w:val="00513296"/>
    <w:rsid w:val="00522AE8"/>
    <w:rsid w:val="00525258"/>
    <w:rsid w:val="00526163"/>
    <w:rsid w:val="0052727C"/>
    <w:rsid w:val="00530CAF"/>
    <w:rsid w:val="00536DD0"/>
    <w:rsid w:val="00537F50"/>
    <w:rsid w:val="00541615"/>
    <w:rsid w:val="00543097"/>
    <w:rsid w:val="005453B5"/>
    <w:rsid w:val="00545585"/>
    <w:rsid w:val="00545A82"/>
    <w:rsid w:val="00550006"/>
    <w:rsid w:val="00551345"/>
    <w:rsid w:val="005542E0"/>
    <w:rsid w:val="0055781E"/>
    <w:rsid w:val="00566521"/>
    <w:rsid w:val="005677B8"/>
    <w:rsid w:val="00570DA7"/>
    <w:rsid w:val="00572285"/>
    <w:rsid w:val="00576AB1"/>
    <w:rsid w:val="005774B8"/>
    <w:rsid w:val="00582040"/>
    <w:rsid w:val="00582248"/>
    <w:rsid w:val="0058439D"/>
    <w:rsid w:val="00585ADB"/>
    <w:rsid w:val="005907B6"/>
    <w:rsid w:val="00590948"/>
    <w:rsid w:val="00592B6F"/>
    <w:rsid w:val="00592F67"/>
    <w:rsid w:val="00593581"/>
    <w:rsid w:val="00596647"/>
    <w:rsid w:val="005A18DF"/>
    <w:rsid w:val="005A28FA"/>
    <w:rsid w:val="005A49FA"/>
    <w:rsid w:val="005A4D7A"/>
    <w:rsid w:val="005A4F73"/>
    <w:rsid w:val="005A7777"/>
    <w:rsid w:val="005B1138"/>
    <w:rsid w:val="005B3507"/>
    <w:rsid w:val="005C4004"/>
    <w:rsid w:val="005C4C0C"/>
    <w:rsid w:val="005C67C4"/>
    <w:rsid w:val="005C70F6"/>
    <w:rsid w:val="005D1670"/>
    <w:rsid w:val="005D29EF"/>
    <w:rsid w:val="005D2CEC"/>
    <w:rsid w:val="005D32CC"/>
    <w:rsid w:val="005D37E8"/>
    <w:rsid w:val="005D40B8"/>
    <w:rsid w:val="005D5403"/>
    <w:rsid w:val="005D54AE"/>
    <w:rsid w:val="005E2C93"/>
    <w:rsid w:val="005E3AA4"/>
    <w:rsid w:val="005E3DC3"/>
    <w:rsid w:val="005E3FF6"/>
    <w:rsid w:val="005F012B"/>
    <w:rsid w:val="005F3CDC"/>
    <w:rsid w:val="00602A43"/>
    <w:rsid w:val="0060537D"/>
    <w:rsid w:val="006077C6"/>
    <w:rsid w:val="00607E02"/>
    <w:rsid w:val="00613B13"/>
    <w:rsid w:val="006152BC"/>
    <w:rsid w:val="00617518"/>
    <w:rsid w:val="006212E7"/>
    <w:rsid w:val="00623429"/>
    <w:rsid w:val="0062484E"/>
    <w:rsid w:val="00625475"/>
    <w:rsid w:val="006267ED"/>
    <w:rsid w:val="006312A6"/>
    <w:rsid w:val="006327CA"/>
    <w:rsid w:val="006331FB"/>
    <w:rsid w:val="00635161"/>
    <w:rsid w:val="00635CC0"/>
    <w:rsid w:val="00640AE7"/>
    <w:rsid w:val="0064231D"/>
    <w:rsid w:val="00643EFC"/>
    <w:rsid w:val="00650456"/>
    <w:rsid w:val="00651661"/>
    <w:rsid w:val="00651889"/>
    <w:rsid w:val="00651C0C"/>
    <w:rsid w:val="006522CB"/>
    <w:rsid w:val="00654D61"/>
    <w:rsid w:val="0065777F"/>
    <w:rsid w:val="00657AB1"/>
    <w:rsid w:val="006601B2"/>
    <w:rsid w:val="00661547"/>
    <w:rsid w:val="006621C8"/>
    <w:rsid w:val="00662E2F"/>
    <w:rsid w:val="006631E3"/>
    <w:rsid w:val="00663657"/>
    <w:rsid w:val="0066397C"/>
    <w:rsid w:val="00664246"/>
    <w:rsid w:val="00664375"/>
    <w:rsid w:val="006650A8"/>
    <w:rsid w:val="0066779B"/>
    <w:rsid w:val="006677A2"/>
    <w:rsid w:val="00670B85"/>
    <w:rsid w:val="006711DC"/>
    <w:rsid w:val="00671F28"/>
    <w:rsid w:val="00680B8A"/>
    <w:rsid w:val="0068114C"/>
    <w:rsid w:val="0068294A"/>
    <w:rsid w:val="00684658"/>
    <w:rsid w:val="00684816"/>
    <w:rsid w:val="00684BCF"/>
    <w:rsid w:val="006865A2"/>
    <w:rsid w:val="00686691"/>
    <w:rsid w:val="00686A12"/>
    <w:rsid w:val="00687048"/>
    <w:rsid w:val="00690749"/>
    <w:rsid w:val="00690DB5"/>
    <w:rsid w:val="00690F5C"/>
    <w:rsid w:val="00692503"/>
    <w:rsid w:val="00693119"/>
    <w:rsid w:val="00693980"/>
    <w:rsid w:val="00694EE5"/>
    <w:rsid w:val="00696386"/>
    <w:rsid w:val="006967A1"/>
    <w:rsid w:val="006A0126"/>
    <w:rsid w:val="006A3C68"/>
    <w:rsid w:val="006A66EE"/>
    <w:rsid w:val="006B2068"/>
    <w:rsid w:val="006B30B6"/>
    <w:rsid w:val="006C0368"/>
    <w:rsid w:val="006C1050"/>
    <w:rsid w:val="006C4C49"/>
    <w:rsid w:val="006C7B50"/>
    <w:rsid w:val="006D0A9B"/>
    <w:rsid w:val="006D6A45"/>
    <w:rsid w:val="006D6E4F"/>
    <w:rsid w:val="006D7540"/>
    <w:rsid w:val="006D7B81"/>
    <w:rsid w:val="006E3078"/>
    <w:rsid w:val="006E4F06"/>
    <w:rsid w:val="006E58AE"/>
    <w:rsid w:val="006E65FF"/>
    <w:rsid w:val="006E75CD"/>
    <w:rsid w:val="006E769A"/>
    <w:rsid w:val="006F00F3"/>
    <w:rsid w:val="006F1C05"/>
    <w:rsid w:val="006F4D38"/>
    <w:rsid w:val="006F623A"/>
    <w:rsid w:val="00701633"/>
    <w:rsid w:val="00707C19"/>
    <w:rsid w:val="00716ED2"/>
    <w:rsid w:val="00717EC6"/>
    <w:rsid w:val="00725659"/>
    <w:rsid w:val="00726400"/>
    <w:rsid w:val="00727940"/>
    <w:rsid w:val="00731078"/>
    <w:rsid w:val="00735D94"/>
    <w:rsid w:val="00743437"/>
    <w:rsid w:val="00744F95"/>
    <w:rsid w:val="00745A88"/>
    <w:rsid w:val="00745DDE"/>
    <w:rsid w:val="00751708"/>
    <w:rsid w:val="00751B16"/>
    <w:rsid w:val="00751BF7"/>
    <w:rsid w:val="00755DF1"/>
    <w:rsid w:val="0075667E"/>
    <w:rsid w:val="00756B52"/>
    <w:rsid w:val="007604BD"/>
    <w:rsid w:val="00763074"/>
    <w:rsid w:val="007645BC"/>
    <w:rsid w:val="00766E6A"/>
    <w:rsid w:val="00771BAA"/>
    <w:rsid w:val="007732FE"/>
    <w:rsid w:val="0077697A"/>
    <w:rsid w:val="00777ECF"/>
    <w:rsid w:val="00780E44"/>
    <w:rsid w:val="00782208"/>
    <w:rsid w:val="00782D69"/>
    <w:rsid w:val="007857D2"/>
    <w:rsid w:val="0078604C"/>
    <w:rsid w:val="00791464"/>
    <w:rsid w:val="00796D74"/>
    <w:rsid w:val="00797B99"/>
    <w:rsid w:val="00797CDD"/>
    <w:rsid w:val="007A4D77"/>
    <w:rsid w:val="007A55E0"/>
    <w:rsid w:val="007A5B20"/>
    <w:rsid w:val="007A6338"/>
    <w:rsid w:val="007A706B"/>
    <w:rsid w:val="007A7354"/>
    <w:rsid w:val="007B13C9"/>
    <w:rsid w:val="007B260B"/>
    <w:rsid w:val="007B2FED"/>
    <w:rsid w:val="007B7EC8"/>
    <w:rsid w:val="007C0DB2"/>
    <w:rsid w:val="007C5075"/>
    <w:rsid w:val="007C5FC8"/>
    <w:rsid w:val="007C6ADB"/>
    <w:rsid w:val="007C7407"/>
    <w:rsid w:val="007C77D0"/>
    <w:rsid w:val="007D11CA"/>
    <w:rsid w:val="007D5EB1"/>
    <w:rsid w:val="007D654E"/>
    <w:rsid w:val="007E1D34"/>
    <w:rsid w:val="007E2071"/>
    <w:rsid w:val="007E2F41"/>
    <w:rsid w:val="007E3A7B"/>
    <w:rsid w:val="007E4A9B"/>
    <w:rsid w:val="007E531D"/>
    <w:rsid w:val="007E58BE"/>
    <w:rsid w:val="007E5B4A"/>
    <w:rsid w:val="007E61CA"/>
    <w:rsid w:val="007F086E"/>
    <w:rsid w:val="007F13A7"/>
    <w:rsid w:val="007F5417"/>
    <w:rsid w:val="007F548B"/>
    <w:rsid w:val="007F6C87"/>
    <w:rsid w:val="007F7691"/>
    <w:rsid w:val="00800AA5"/>
    <w:rsid w:val="0080256B"/>
    <w:rsid w:val="00804E6A"/>
    <w:rsid w:val="008059A6"/>
    <w:rsid w:val="00806DA7"/>
    <w:rsid w:val="008074E1"/>
    <w:rsid w:val="008076BB"/>
    <w:rsid w:val="008153B5"/>
    <w:rsid w:val="0081551A"/>
    <w:rsid w:val="0082157B"/>
    <w:rsid w:val="00821B79"/>
    <w:rsid w:val="0082498E"/>
    <w:rsid w:val="008256D0"/>
    <w:rsid w:val="008315CF"/>
    <w:rsid w:val="008352B8"/>
    <w:rsid w:val="00837279"/>
    <w:rsid w:val="0084029F"/>
    <w:rsid w:val="008455B6"/>
    <w:rsid w:val="00845659"/>
    <w:rsid w:val="008466F2"/>
    <w:rsid w:val="00853CDE"/>
    <w:rsid w:val="0085646E"/>
    <w:rsid w:val="00856E57"/>
    <w:rsid w:val="00862ACA"/>
    <w:rsid w:val="00863759"/>
    <w:rsid w:val="00865937"/>
    <w:rsid w:val="00866CC9"/>
    <w:rsid w:val="00870ED5"/>
    <w:rsid w:val="0087361A"/>
    <w:rsid w:val="00875A2B"/>
    <w:rsid w:val="00877C7C"/>
    <w:rsid w:val="00880747"/>
    <w:rsid w:val="00884781"/>
    <w:rsid w:val="00884CE3"/>
    <w:rsid w:val="00886202"/>
    <w:rsid w:val="00886E88"/>
    <w:rsid w:val="0088751B"/>
    <w:rsid w:val="0089437C"/>
    <w:rsid w:val="008946C8"/>
    <w:rsid w:val="008978E6"/>
    <w:rsid w:val="008A0B77"/>
    <w:rsid w:val="008A4817"/>
    <w:rsid w:val="008B4AC4"/>
    <w:rsid w:val="008B53CF"/>
    <w:rsid w:val="008B5C2D"/>
    <w:rsid w:val="008C1BB4"/>
    <w:rsid w:val="008C1ED1"/>
    <w:rsid w:val="008C2C85"/>
    <w:rsid w:val="008C362C"/>
    <w:rsid w:val="008C5EB4"/>
    <w:rsid w:val="008C6809"/>
    <w:rsid w:val="008C76C1"/>
    <w:rsid w:val="008D0BC6"/>
    <w:rsid w:val="008D0CA5"/>
    <w:rsid w:val="008D3453"/>
    <w:rsid w:val="008E05A8"/>
    <w:rsid w:val="008E14A6"/>
    <w:rsid w:val="008E20F8"/>
    <w:rsid w:val="008E37BE"/>
    <w:rsid w:val="008E3853"/>
    <w:rsid w:val="008E5187"/>
    <w:rsid w:val="008E5F6F"/>
    <w:rsid w:val="008E7622"/>
    <w:rsid w:val="008F0BE9"/>
    <w:rsid w:val="008F19F2"/>
    <w:rsid w:val="008F555E"/>
    <w:rsid w:val="009000AB"/>
    <w:rsid w:val="00902DA3"/>
    <w:rsid w:val="0090407F"/>
    <w:rsid w:val="009058A5"/>
    <w:rsid w:val="00906446"/>
    <w:rsid w:val="00910D43"/>
    <w:rsid w:val="00916FBE"/>
    <w:rsid w:val="00922C45"/>
    <w:rsid w:val="00927CB8"/>
    <w:rsid w:val="00932CB4"/>
    <w:rsid w:val="00935F0D"/>
    <w:rsid w:val="0093604B"/>
    <w:rsid w:val="00936875"/>
    <w:rsid w:val="009371D8"/>
    <w:rsid w:val="00940CD9"/>
    <w:rsid w:val="00944D63"/>
    <w:rsid w:val="00944FD8"/>
    <w:rsid w:val="00946429"/>
    <w:rsid w:val="009469A0"/>
    <w:rsid w:val="009518DD"/>
    <w:rsid w:val="009537B3"/>
    <w:rsid w:val="00955031"/>
    <w:rsid w:val="00955404"/>
    <w:rsid w:val="00956603"/>
    <w:rsid w:val="00956DC8"/>
    <w:rsid w:val="00970CB3"/>
    <w:rsid w:val="00975345"/>
    <w:rsid w:val="009760F7"/>
    <w:rsid w:val="009771F7"/>
    <w:rsid w:val="00982D90"/>
    <w:rsid w:val="00984C87"/>
    <w:rsid w:val="009856EF"/>
    <w:rsid w:val="009863DD"/>
    <w:rsid w:val="0098658D"/>
    <w:rsid w:val="00991485"/>
    <w:rsid w:val="00991A0D"/>
    <w:rsid w:val="00994144"/>
    <w:rsid w:val="009977A6"/>
    <w:rsid w:val="009A304E"/>
    <w:rsid w:val="009A335E"/>
    <w:rsid w:val="009A35C7"/>
    <w:rsid w:val="009A3715"/>
    <w:rsid w:val="009A3D40"/>
    <w:rsid w:val="009A57F2"/>
    <w:rsid w:val="009A595B"/>
    <w:rsid w:val="009A5E66"/>
    <w:rsid w:val="009A7838"/>
    <w:rsid w:val="009A7991"/>
    <w:rsid w:val="009B0F84"/>
    <w:rsid w:val="009B2188"/>
    <w:rsid w:val="009B6FBD"/>
    <w:rsid w:val="009B77C1"/>
    <w:rsid w:val="009C0AD8"/>
    <w:rsid w:val="009C18C8"/>
    <w:rsid w:val="009D0CE9"/>
    <w:rsid w:val="009D4C6C"/>
    <w:rsid w:val="009D51C6"/>
    <w:rsid w:val="009E057B"/>
    <w:rsid w:val="009E0ABA"/>
    <w:rsid w:val="009E107A"/>
    <w:rsid w:val="009E136D"/>
    <w:rsid w:val="009E1673"/>
    <w:rsid w:val="009E1A3F"/>
    <w:rsid w:val="009E2150"/>
    <w:rsid w:val="009E2C74"/>
    <w:rsid w:val="009E41AC"/>
    <w:rsid w:val="009F1254"/>
    <w:rsid w:val="009F1C0D"/>
    <w:rsid w:val="009F1EE6"/>
    <w:rsid w:val="009F52D0"/>
    <w:rsid w:val="009F5882"/>
    <w:rsid w:val="009F616C"/>
    <w:rsid w:val="009F6E44"/>
    <w:rsid w:val="00A03CA5"/>
    <w:rsid w:val="00A06598"/>
    <w:rsid w:val="00A065A5"/>
    <w:rsid w:val="00A07CA4"/>
    <w:rsid w:val="00A113D8"/>
    <w:rsid w:val="00A13E70"/>
    <w:rsid w:val="00A15259"/>
    <w:rsid w:val="00A173D3"/>
    <w:rsid w:val="00A17652"/>
    <w:rsid w:val="00A2001B"/>
    <w:rsid w:val="00A20F55"/>
    <w:rsid w:val="00A22F28"/>
    <w:rsid w:val="00A25645"/>
    <w:rsid w:val="00A264C8"/>
    <w:rsid w:val="00A272F0"/>
    <w:rsid w:val="00A27446"/>
    <w:rsid w:val="00A31E12"/>
    <w:rsid w:val="00A32103"/>
    <w:rsid w:val="00A34C5A"/>
    <w:rsid w:val="00A3797C"/>
    <w:rsid w:val="00A43366"/>
    <w:rsid w:val="00A45587"/>
    <w:rsid w:val="00A50C0C"/>
    <w:rsid w:val="00A51299"/>
    <w:rsid w:val="00A55D96"/>
    <w:rsid w:val="00A648DF"/>
    <w:rsid w:val="00A668FC"/>
    <w:rsid w:val="00A717C0"/>
    <w:rsid w:val="00A72B47"/>
    <w:rsid w:val="00A74CDA"/>
    <w:rsid w:val="00A76E72"/>
    <w:rsid w:val="00A77D68"/>
    <w:rsid w:val="00A800BF"/>
    <w:rsid w:val="00A80EFC"/>
    <w:rsid w:val="00A81FE3"/>
    <w:rsid w:val="00A82F5D"/>
    <w:rsid w:val="00A831D8"/>
    <w:rsid w:val="00A83860"/>
    <w:rsid w:val="00A83ECD"/>
    <w:rsid w:val="00A851D6"/>
    <w:rsid w:val="00A87CA1"/>
    <w:rsid w:val="00A95245"/>
    <w:rsid w:val="00AA243F"/>
    <w:rsid w:val="00AA3001"/>
    <w:rsid w:val="00AA30A6"/>
    <w:rsid w:val="00AA3DCF"/>
    <w:rsid w:val="00AB1B7D"/>
    <w:rsid w:val="00AB4247"/>
    <w:rsid w:val="00AB4350"/>
    <w:rsid w:val="00AB66E0"/>
    <w:rsid w:val="00AB690F"/>
    <w:rsid w:val="00AB6AAC"/>
    <w:rsid w:val="00AB6B0D"/>
    <w:rsid w:val="00AB7049"/>
    <w:rsid w:val="00AC0C14"/>
    <w:rsid w:val="00AC1FE7"/>
    <w:rsid w:val="00AC31C7"/>
    <w:rsid w:val="00AC6748"/>
    <w:rsid w:val="00AC6CF4"/>
    <w:rsid w:val="00AC723A"/>
    <w:rsid w:val="00AC7248"/>
    <w:rsid w:val="00AD233D"/>
    <w:rsid w:val="00AD2F06"/>
    <w:rsid w:val="00AD4C7B"/>
    <w:rsid w:val="00AD5601"/>
    <w:rsid w:val="00AD5AC2"/>
    <w:rsid w:val="00AD681C"/>
    <w:rsid w:val="00AE1292"/>
    <w:rsid w:val="00AE1F2E"/>
    <w:rsid w:val="00AE2D98"/>
    <w:rsid w:val="00AE480F"/>
    <w:rsid w:val="00AE7A15"/>
    <w:rsid w:val="00AF14D7"/>
    <w:rsid w:val="00AF2439"/>
    <w:rsid w:val="00AF3D0A"/>
    <w:rsid w:val="00AF3F7D"/>
    <w:rsid w:val="00AF416E"/>
    <w:rsid w:val="00AF4954"/>
    <w:rsid w:val="00AF49FF"/>
    <w:rsid w:val="00AF4DB5"/>
    <w:rsid w:val="00B0190C"/>
    <w:rsid w:val="00B01CFB"/>
    <w:rsid w:val="00B01F42"/>
    <w:rsid w:val="00B03919"/>
    <w:rsid w:val="00B04B4C"/>
    <w:rsid w:val="00B1049C"/>
    <w:rsid w:val="00B11A35"/>
    <w:rsid w:val="00B11FF9"/>
    <w:rsid w:val="00B1216B"/>
    <w:rsid w:val="00B123B6"/>
    <w:rsid w:val="00B14D11"/>
    <w:rsid w:val="00B164B8"/>
    <w:rsid w:val="00B20690"/>
    <w:rsid w:val="00B20AD3"/>
    <w:rsid w:val="00B21217"/>
    <w:rsid w:val="00B223FE"/>
    <w:rsid w:val="00B22F3F"/>
    <w:rsid w:val="00B2319D"/>
    <w:rsid w:val="00B23534"/>
    <w:rsid w:val="00B23941"/>
    <w:rsid w:val="00B24EC1"/>
    <w:rsid w:val="00B26926"/>
    <w:rsid w:val="00B26CA0"/>
    <w:rsid w:val="00B3314F"/>
    <w:rsid w:val="00B41DB3"/>
    <w:rsid w:val="00B43B15"/>
    <w:rsid w:val="00B44BAA"/>
    <w:rsid w:val="00B45F49"/>
    <w:rsid w:val="00B52494"/>
    <w:rsid w:val="00B57BE2"/>
    <w:rsid w:val="00B602F2"/>
    <w:rsid w:val="00B61E1C"/>
    <w:rsid w:val="00B628A5"/>
    <w:rsid w:val="00B631EE"/>
    <w:rsid w:val="00B6330D"/>
    <w:rsid w:val="00B65351"/>
    <w:rsid w:val="00B666FC"/>
    <w:rsid w:val="00B669A4"/>
    <w:rsid w:val="00B73AAA"/>
    <w:rsid w:val="00B74B77"/>
    <w:rsid w:val="00B802E2"/>
    <w:rsid w:val="00B80E31"/>
    <w:rsid w:val="00B85281"/>
    <w:rsid w:val="00B8536B"/>
    <w:rsid w:val="00B869D8"/>
    <w:rsid w:val="00B87B13"/>
    <w:rsid w:val="00B90284"/>
    <w:rsid w:val="00BA1FD3"/>
    <w:rsid w:val="00BA767B"/>
    <w:rsid w:val="00BB0B23"/>
    <w:rsid w:val="00BC1321"/>
    <w:rsid w:val="00BC5352"/>
    <w:rsid w:val="00BC6D8A"/>
    <w:rsid w:val="00BC78A9"/>
    <w:rsid w:val="00BC7D98"/>
    <w:rsid w:val="00BE36FF"/>
    <w:rsid w:val="00BE6782"/>
    <w:rsid w:val="00BF2527"/>
    <w:rsid w:val="00BF43C2"/>
    <w:rsid w:val="00BF7003"/>
    <w:rsid w:val="00BF7893"/>
    <w:rsid w:val="00BF7BFC"/>
    <w:rsid w:val="00C004BB"/>
    <w:rsid w:val="00C03FF2"/>
    <w:rsid w:val="00C0519F"/>
    <w:rsid w:val="00C06CD9"/>
    <w:rsid w:val="00C06DF5"/>
    <w:rsid w:val="00C06E0B"/>
    <w:rsid w:val="00C1086D"/>
    <w:rsid w:val="00C11445"/>
    <w:rsid w:val="00C11701"/>
    <w:rsid w:val="00C1322C"/>
    <w:rsid w:val="00C13DF8"/>
    <w:rsid w:val="00C14F18"/>
    <w:rsid w:val="00C16E9B"/>
    <w:rsid w:val="00C17561"/>
    <w:rsid w:val="00C203E6"/>
    <w:rsid w:val="00C216B0"/>
    <w:rsid w:val="00C2262A"/>
    <w:rsid w:val="00C2527D"/>
    <w:rsid w:val="00C301FD"/>
    <w:rsid w:val="00C33776"/>
    <w:rsid w:val="00C34A2B"/>
    <w:rsid w:val="00C37A54"/>
    <w:rsid w:val="00C4334E"/>
    <w:rsid w:val="00C45974"/>
    <w:rsid w:val="00C50D2B"/>
    <w:rsid w:val="00C52288"/>
    <w:rsid w:val="00C539F4"/>
    <w:rsid w:val="00C554B0"/>
    <w:rsid w:val="00C564FA"/>
    <w:rsid w:val="00C57737"/>
    <w:rsid w:val="00C60A43"/>
    <w:rsid w:val="00C62A45"/>
    <w:rsid w:val="00C63D1E"/>
    <w:rsid w:val="00C65782"/>
    <w:rsid w:val="00C659C4"/>
    <w:rsid w:val="00C704A0"/>
    <w:rsid w:val="00C71D5F"/>
    <w:rsid w:val="00C767BC"/>
    <w:rsid w:val="00C76E79"/>
    <w:rsid w:val="00C77727"/>
    <w:rsid w:val="00C77795"/>
    <w:rsid w:val="00C821E4"/>
    <w:rsid w:val="00C82738"/>
    <w:rsid w:val="00C83510"/>
    <w:rsid w:val="00C835A5"/>
    <w:rsid w:val="00C87CDA"/>
    <w:rsid w:val="00C90247"/>
    <w:rsid w:val="00C91487"/>
    <w:rsid w:val="00C9237D"/>
    <w:rsid w:val="00C935D5"/>
    <w:rsid w:val="00C937AE"/>
    <w:rsid w:val="00C9464A"/>
    <w:rsid w:val="00C9483A"/>
    <w:rsid w:val="00C94D8F"/>
    <w:rsid w:val="00CA1FAC"/>
    <w:rsid w:val="00CA4CDC"/>
    <w:rsid w:val="00CA5BE9"/>
    <w:rsid w:val="00CA659E"/>
    <w:rsid w:val="00CA68DA"/>
    <w:rsid w:val="00CB7B82"/>
    <w:rsid w:val="00CC0164"/>
    <w:rsid w:val="00CC074F"/>
    <w:rsid w:val="00CC3CCE"/>
    <w:rsid w:val="00CD1D3B"/>
    <w:rsid w:val="00CD1DCF"/>
    <w:rsid w:val="00CD1ECB"/>
    <w:rsid w:val="00CD205D"/>
    <w:rsid w:val="00CD2266"/>
    <w:rsid w:val="00CD551B"/>
    <w:rsid w:val="00CD5806"/>
    <w:rsid w:val="00CD67B2"/>
    <w:rsid w:val="00CE37B8"/>
    <w:rsid w:val="00CE42F4"/>
    <w:rsid w:val="00CE71F7"/>
    <w:rsid w:val="00CE7E7E"/>
    <w:rsid w:val="00CF03B8"/>
    <w:rsid w:val="00CF18F1"/>
    <w:rsid w:val="00CF2C19"/>
    <w:rsid w:val="00CF3048"/>
    <w:rsid w:val="00CF3683"/>
    <w:rsid w:val="00CF514A"/>
    <w:rsid w:val="00D00954"/>
    <w:rsid w:val="00D03DA6"/>
    <w:rsid w:val="00D06EF3"/>
    <w:rsid w:val="00D105F1"/>
    <w:rsid w:val="00D11D6C"/>
    <w:rsid w:val="00D14959"/>
    <w:rsid w:val="00D17074"/>
    <w:rsid w:val="00D205DD"/>
    <w:rsid w:val="00D219D2"/>
    <w:rsid w:val="00D229F7"/>
    <w:rsid w:val="00D233F5"/>
    <w:rsid w:val="00D27A4B"/>
    <w:rsid w:val="00D30380"/>
    <w:rsid w:val="00D34874"/>
    <w:rsid w:val="00D34EB7"/>
    <w:rsid w:val="00D352FB"/>
    <w:rsid w:val="00D3556F"/>
    <w:rsid w:val="00D375C6"/>
    <w:rsid w:val="00D43164"/>
    <w:rsid w:val="00D442D8"/>
    <w:rsid w:val="00D4619C"/>
    <w:rsid w:val="00D46235"/>
    <w:rsid w:val="00D478AC"/>
    <w:rsid w:val="00D47BEF"/>
    <w:rsid w:val="00D47D22"/>
    <w:rsid w:val="00D47DA3"/>
    <w:rsid w:val="00D50D83"/>
    <w:rsid w:val="00D53ADB"/>
    <w:rsid w:val="00D546E2"/>
    <w:rsid w:val="00D5556E"/>
    <w:rsid w:val="00D57F6E"/>
    <w:rsid w:val="00D610A0"/>
    <w:rsid w:val="00D627AB"/>
    <w:rsid w:val="00D62A78"/>
    <w:rsid w:val="00D645ED"/>
    <w:rsid w:val="00D67CA0"/>
    <w:rsid w:val="00D7118C"/>
    <w:rsid w:val="00D71EA8"/>
    <w:rsid w:val="00D768F6"/>
    <w:rsid w:val="00D8078C"/>
    <w:rsid w:val="00D82C84"/>
    <w:rsid w:val="00D8336B"/>
    <w:rsid w:val="00D85F52"/>
    <w:rsid w:val="00D85FA4"/>
    <w:rsid w:val="00D86E08"/>
    <w:rsid w:val="00D91253"/>
    <w:rsid w:val="00D93A0D"/>
    <w:rsid w:val="00D94006"/>
    <w:rsid w:val="00D952FF"/>
    <w:rsid w:val="00D9603F"/>
    <w:rsid w:val="00D96C7F"/>
    <w:rsid w:val="00DA30F5"/>
    <w:rsid w:val="00DA3D80"/>
    <w:rsid w:val="00DA5530"/>
    <w:rsid w:val="00DA67EF"/>
    <w:rsid w:val="00DA68EE"/>
    <w:rsid w:val="00DB0DB0"/>
    <w:rsid w:val="00DB2157"/>
    <w:rsid w:val="00DB3ED5"/>
    <w:rsid w:val="00DB3F3F"/>
    <w:rsid w:val="00DB71A7"/>
    <w:rsid w:val="00DB7581"/>
    <w:rsid w:val="00DC02B4"/>
    <w:rsid w:val="00DC31A1"/>
    <w:rsid w:val="00DC4767"/>
    <w:rsid w:val="00DC67DE"/>
    <w:rsid w:val="00DC7E37"/>
    <w:rsid w:val="00DD2552"/>
    <w:rsid w:val="00DD334D"/>
    <w:rsid w:val="00DD3BC8"/>
    <w:rsid w:val="00DD41DA"/>
    <w:rsid w:val="00DD4968"/>
    <w:rsid w:val="00DD5F5C"/>
    <w:rsid w:val="00DD6155"/>
    <w:rsid w:val="00DD6400"/>
    <w:rsid w:val="00DD7ABA"/>
    <w:rsid w:val="00DE07AE"/>
    <w:rsid w:val="00DE0E4F"/>
    <w:rsid w:val="00DE1E63"/>
    <w:rsid w:val="00DE4B06"/>
    <w:rsid w:val="00DF0BEC"/>
    <w:rsid w:val="00DF0C7D"/>
    <w:rsid w:val="00DF1C6B"/>
    <w:rsid w:val="00DF324D"/>
    <w:rsid w:val="00DF502F"/>
    <w:rsid w:val="00DF5E3A"/>
    <w:rsid w:val="00E00E80"/>
    <w:rsid w:val="00E0317A"/>
    <w:rsid w:val="00E0486A"/>
    <w:rsid w:val="00E120FB"/>
    <w:rsid w:val="00E13D2B"/>
    <w:rsid w:val="00E15AAF"/>
    <w:rsid w:val="00E163D6"/>
    <w:rsid w:val="00E16648"/>
    <w:rsid w:val="00E169E5"/>
    <w:rsid w:val="00E16DED"/>
    <w:rsid w:val="00E22A47"/>
    <w:rsid w:val="00E24E67"/>
    <w:rsid w:val="00E265C2"/>
    <w:rsid w:val="00E302D9"/>
    <w:rsid w:val="00E367DB"/>
    <w:rsid w:val="00E4319C"/>
    <w:rsid w:val="00E43CF6"/>
    <w:rsid w:val="00E44C2B"/>
    <w:rsid w:val="00E468F7"/>
    <w:rsid w:val="00E5122F"/>
    <w:rsid w:val="00E513F5"/>
    <w:rsid w:val="00E56569"/>
    <w:rsid w:val="00E61194"/>
    <w:rsid w:val="00E63094"/>
    <w:rsid w:val="00E631D6"/>
    <w:rsid w:val="00E640CE"/>
    <w:rsid w:val="00E6468D"/>
    <w:rsid w:val="00E65C65"/>
    <w:rsid w:val="00E672A3"/>
    <w:rsid w:val="00E7504A"/>
    <w:rsid w:val="00E76A2A"/>
    <w:rsid w:val="00E7721E"/>
    <w:rsid w:val="00E779B0"/>
    <w:rsid w:val="00E809B8"/>
    <w:rsid w:val="00E8133B"/>
    <w:rsid w:val="00E815FE"/>
    <w:rsid w:val="00E8221E"/>
    <w:rsid w:val="00E84888"/>
    <w:rsid w:val="00E84FE4"/>
    <w:rsid w:val="00E85328"/>
    <w:rsid w:val="00E85449"/>
    <w:rsid w:val="00E85474"/>
    <w:rsid w:val="00E86990"/>
    <w:rsid w:val="00E87EBB"/>
    <w:rsid w:val="00E91E91"/>
    <w:rsid w:val="00E9427C"/>
    <w:rsid w:val="00E943B4"/>
    <w:rsid w:val="00E944F5"/>
    <w:rsid w:val="00E94E28"/>
    <w:rsid w:val="00EA4B21"/>
    <w:rsid w:val="00EA54ED"/>
    <w:rsid w:val="00EA6B9F"/>
    <w:rsid w:val="00EA7696"/>
    <w:rsid w:val="00EB09DB"/>
    <w:rsid w:val="00EB17A0"/>
    <w:rsid w:val="00EB1F7C"/>
    <w:rsid w:val="00EB356B"/>
    <w:rsid w:val="00EB7579"/>
    <w:rsid w:val="00EB7F34"/>
    <w:rsid w:val="00EC2011"/>
    <w:rsid w:val="00EC704D"/>
    <w:rsid w:val="00ED084B"/>
    <w:rsid w:val="00ED1097"/>
    <w:rsid w:val="00ED1684"/>
    <w:rsid w:val="00ED16C4"/>
    <w:rsid w:val="00ED269D"/>
    <w:rsid w:val="00ED342D"/>
    <w:rsid w:val="00ED46AD"/>
    <w:rsid w:val="00ED4F11"/>
    <w:rsid w:val="00ED72FC"/>
    <w:rsid w:val="00ED73A1"/>
    <w:rsid w:val="00ED7C88"/>
    <w:rsid w:val="00EE11FB"/>
    <w:rsid w:val="00EE1D4C"/>
    <w:rsid w:val="00EE7504"/>
    <w:rsid w:val="00EE7F03"/>
    <w:rsid w:val="00EF1459"/>
    <w:rsid w:val="00EF3ABD"/>
    <w:rsid w:val="00EF542B"/>
    <w:rsid w:val="00F009C1"/>
    <w:rsid w:val="00F04FAC"/>
    <w:rsid w:val="00F05724"/>
    <w:rsid w:val="00F06E1B"/>
    <w:rsid w:val="00F116E5"/>
    <w:rsid w:val="00F118C4"/>
    <w:rsid w:val="00F12BF1"/>
    <w:rsid w:val="00F14FD6"/>
    <w:rsid w:val="00F218E9"/>
    <w:rsid w:val="00F234D4"/>
    <w:rsid w:val="00F32BA5"/>
    <w:rsid w:val="00F376B8"/>
    <w:rsid w:val="00F37CEF"/>
    <w:rsid w:val="00F40B7F"/>
    <w:rsid w:val="00F42E41"/>
    <w:rsid w:val="00F43344"/>
    <w:rsid w:val="00F508E6"/>
    <w:rsid w:val="00F510F0"/>
    <w:rsid w:val="00F569B2"/>
    <w:rsid w:val="00F631DC"/>
    <w:rsid w:val="00F632E0"/>
    <w:rsid w:val="00F7021B"/>
    <w:rsid w:val="00F7079D"/>
    <w:rsid w:val="00F707A7"/>
    <w:rsid w:val="00F7228A"/>
    <w:rsid w:val="00F7328F"/>
    <w:rsid w:val="00F7408D"/>
    <w:rsid w:val="00F83C9D"/>
    <w:rsid w:val="00F907A8"/>
    <w:rsid w:val="00F926A8"/>
    <w:rsid w:val="00F95188"/>
    <w:rsid w:val="00F96E86"/>
    <w:rsid w:val="00FB1A7C"/>
    <w:rsid w:val="00FB4552"/>
    <w:rsid w:val="00FB51A1"/>
    <w:rsid w:val="00FB762D"/>
    <w:rsid w:val="00FC2AF6"/>
    <w:rsid w:val="00FC30B9"/>
    <w:rsid w:val="00FC3D61"/>
    <w:rsid w:val="00FC5E2A"/>
    <w:rsid w:val="00FC70A6"/>
    <w:rsid w:val="00FD00F3"/>
    <w:rsid w:val="00FD1B5F"/>
    <w:rsid w:val="00FD1BB0"/>
    <w:rsid w:val="00FD5E8E"/>
    <w:rsid w:val="00FD5FDC"/>
    <w:rsid w:val="00FE0D64"/>
    <w:rsid w:val="00FE0F39"/>
    <w:rsid w:val="00FE21F5"/>
    <w:rsid w:val="00FE23F2"/>
    <w:rsid w:val="00FE2D6C"/>
    <w:rsid w:val="00FE2F1C"/>
    <w:rsid w:val="00FE7A99"/>
    <w:rsid w:val="00FF17A2"/>
    <w:rsid w:val="00FF2DDE"/>
    <w:rsid w:val="00FF50D1"/>
    <w:rsid w:val="00FF72D2"/>
    <w:rsid w:val="00FF7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9BEE3-2E01-422E-BEBC-02DCACA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2022-02-03T07:15:00Z</cp:lastPrinted>
  <dcterms:created xsi:type="dcterms:W3CDTF">2022-02-04T08:12:00Z</dcterms:created>
  <dcterms:modified xsi:type="dcterms:W3CDTF">2022-02-04T08:12:00Z</dcterms:modified>
</cp:coreProperties>
</file>