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E69F6" w:rsidRDefault="00E8293D" w:rsidP="006E69F6">
      <w:pPr>
        <w:pStyle w:val="NoSpacing"/>
        <w:jc w:val="both"/>
        <w:rPr>
          <w:b/>
          <w:szCs w:val="24"/>
        </w:rPr>
      </w:pPr>
      <w:r w:rsidRPr="006E69F6">
        <w:rPr>
          <w:b/>
          <w:szCs w:val="24"/>
        </w:rPr>
        <w:t>CONSTABLE GWETE P</w:t>
      </w:r>
    </w:p>
    <w:p w:rsidR="00E8293D" w:rsidRPr="006E69F6" w:rsidRDefault="00E8293D" w:rsidP="006E69F6">
      <w:pPr>
        <w:pStyle w:val="NoSpacing"/>
        <w:jc w:val="both"/>
        <w:rPr>
          <w:b/>
          <w:szCs w:val="24"/>
        </w:rPr>
      </w:pPr>
    </w:p>
    <w:p w:rsidR="00E8293D" w:rsidRPr="006E69F6" w:rsidRDefault="00E8293D" w:rsidP="006E69F6">
      <w:pPr>
        <w:pStyle w:val="NoSpacing"/>
        <w:jc w:val="both"/>
        <w:rPr>
          <w:b/>
          <w:szCs w:val="24"/>
        </w:rPr>
      </w:pPr>
      <w:r w:rsidRPr="006E69F6">
        <w:rPr>
          <w:b/>
          <w:szCs w:val="24"/>
        </w:rPr>
        <w:t>Versus</w:t>
      </w:r>
    </w:p>
    <w:p w:rsidR="00E8293D" w:rsidRPr="006E69F6" w:rsidRDefault="00E8293D" w:rsidP="006E69F6">
      <w:pPr>
        <w:pStyle w:val="NoSpacing"/>
        <w:jc w:val="both"/>
        <w:rPr>
          <w:b/>
          <w:szCs w:val="24"/>
        </w:rPr>
      </w:pPr>
    </w:p>
    <w:p w:rsidR="00E8293D" w:rsidRPr="006E69F6" w:rsidRDefault="00E8293D" w:rsidP="006E69F6">
      <w:pPr>
        <w:pStyle w:val="NoSpacing"/>
        <w:jc w:val="both"/>
        <w:rPr>
          <w:b/>
          <w:szCs w:val="24"/>
        </w:rPr>
      </w:pPr>
      <w:r w:rsidRPr="006E69F6">
        <w:rPr>
          <w:b/>
          <w:szCs w:val="24"/>
        </w:rPr>
        <w:t>THE TRIAL OFFICER</w:t>
      </w:r>
    </w:p>
    <w:p w:rsidR="00E8293D" w:rsidRPr="006E69F6" w:rsidRDefault="00E8293D" w:rsidP="006E69F6">
      <w:pPr>
        <w:pStyle w:val="NoSpacing"/>
        <w:jc w:val="both"/>
        <w:rPr>
          <w:b/>
          <w:szCs w:val="24"/>
        </w:rPr>
      </w:pPr>
      <w:r w:rsidRPr="006E69F6">
        <w:rPr>
          <w:b/>
          <w:szCs w:val="24"/>
        </w:rPr>
        <w:t>(SUPERINTENDE</w:t>
      </w:r>
      <w:r w:rsidR="006567C2" w:rsidRPr="006E69F6">
        <w:rPr>
          <w:b/>
          <w:szCs w:val="24"/>
        </w:rPr>
        <w:t>N</w:t>
      </w:r>
      <w:r w:rsidRPr="006E69F6">
        <w:rPr>
          <w:b/>
          <w:szCs w:val="24"/>
        </w:rPr>
        <w:t>T NEKATI)</w:t>
      </w:r>
    </w:p>
    <w:p w:rsidR="00E8293D" w:rsidRPr="006E69F6" w:rsidRDefault="00E8293D" w:rsidP="006E69F6">
      <w:pPr>
        <w:pStyle w:val="NoSpacing"/>
        <w:jc w:val="both"/>
        <w:rPr>
          <w:b/>
          <w:szCs w:val="24"/>
        </w:rPr>
      </w:pPr>
    </w:p>
    <w:p w:rsidR="00E8293D" w:rsidRPr="006E69F6" w:rsidRDefault="00E8293D" w:rsidP="006E69F6">
      <w:pPr>
        <w:pStyle w:val="NoSpacing"/>
        <w:jc w:val="both"/>
        <w:rPr>
          <w:b/>
          <w:szCs w:val="24"/>
        </w:rPr>
      </w:pPr>
      <w:r w:rsidRPr="006E69F6">
        <w:rPr>
          <w:b/>
          <w:szCs w:val="24"/>
        </w:rPr>
        <w:t>And</w:t>
      </w:r>
    </w:p>
    <w:p w:rsidR="00E8293D" w:rsidRPr="006E69F6" w:rsidRDefault="00E8293D" w:rsidP="006E69F6">
      <w:pPr>
        <w:pStyle w:val="NoSpacing"/>
        <w:jc w:val="both"/>
        <w:rPr>
          <w:b/>
          <w:szCs w:val="24"/>
        </w:rPr>
      </w:pPr>
    </w:p>
    <w:p w:rsidR="00E8293D" w:rsidRPr="006E69F6" w:rsidRDefault="00E8293D" w:rsidP="006E69F6">
      <w:pPr>
        <w:pStyle w:val="NoSpacing"/>
        <w:jc w:val="both"/>
        <w:rPr>
          <w:b/>
          <w:szCs w:val="24"/>
        </w:rPr>
      </w:pPr>
      <w:r w:rsidRPr="006E69F6">
        <w:rPr>
          <w:b/>
          <w:szCs w:val="24"/>
        </w:rPr>
        <w:t>THE COMMISSIONER GENERAL OFFICE</w:t>
      </w:r>
    </w:p>
    <w:p w:rsidR="00E8293D" w:rsidRPr="006E69F6" w:rsidRDefault="00E8293D" w:rsidP="006E69F6">
      <w:pPr>
        <w:pStyle w:val="NoSpacing"/>
        <w:jc w:val="both"/>
        <w:rPr>
          <w:b/>
          <w:szCs w:val="24"/>
        </w:rPr>
      </w:pPr>
    </w:p>
    <w:p w:rsidR="00E8293D" w:rsidRPr="006E69F6" w:rsidRDefault="00E8293D" w:rsidP="006E69F6">
      <w:pPr>
        <w:pStyle w:val="NoSpacing"/>
        <w:jc w:val="both"/>
        <w:rPr>
          <w:szCs w:val="24"/>
        </w:rPr>
      </w:pPr>
      <w:r w:rsidRPr="006E69F6">
        <w:rPr>
          <w:szCs w:val="24"/>
        </w:rPr>
        <w:t>IN THE HIGH COURT OF ZIMBABWE</w:t>
      </w:r>
    </w:p>
    <w:p w:rsidR="00E8293D" w:rsidRPr="006E69F6" w:rsidRDefault="00E8293D" w:rsidP="006E69F6">
      <w:pPr>
        <w:pStyle w:val="NoSpacing"/>
        <w:jc w:val="both"/>
        <w:rPr>
          <w:szCs w:val="24"/>
        </w:rPr>
      </w:pPr>
      <w:r w:rsidRPr="006E69F6">
        <w:rPr>
          <w:szCs w:val="24"/>
        </w:rPr>
        <w:t>MOYO J</w:t>
      </w:r>
    </w:p>
    <w:p w:rsidR="00E8293D" w:rsidRPr="006E69F6" w:rsidRDefault="00E8293D" w:rsidP="006E69F6">
      <w:pPr>
        <w:pStyle w:val="NoSpacing"/>
        <w:jc w:val="both"/>
        <w:rPr>
          <w:szCs w:val="24"/>
        </w:rPr>
      </w:pPr>
      <w:r w:rsidRPr="006E69F6">
        <w:rPr>
          <w:szCs w:val="24"/>
        </w:rPr>
        <w:t xml:space="preserve">BULAWAYO 3 JULY </w:t>
      </w:r>
      <w:r w:rsidR="006B45B3">
        <w:rPr>
          <w:szCs w:val="24"/>
        </w:rPr>
        <w:t xml:space="preserve">&amp; 3 OCTOBER </w:t>
      </w:r>
      <w:r w:rsidRPr="006E69F6">
        <w:rPr>
          <w:szCs w:val="24"/>
        </w:rPr>
        <w:t>2019</w:t>
      </w:r>
    </w:p>
    <w:p w:rsidR="00E8293D" w:rsidRPr="006E69F6" w:rsidRDefault="00E8293D" w:rsidP="006E69F6">
      <w:pPr>
        <w:pStyle w:val="NoSpacing"/>
        <w:jc w:val="both"/>
        <w:rPr>
          <w:szCs w:val="24"/>
        </w:rPr>
      </w:pPr>
    </w:p>
    <w:p w:rsidR="006567C2" w:rsidRPr="006E69F6" w:rsidRDefault="006567C2" w:rsidP="006E69F6">
      <w:pPr>
        <w:pStyle w:val="NoSpacing"/>
        <w:jc w:val="both"/>
        <w:rPr>
          <w:szCs w:val="24"/>
        </w:rPr>
      </w:pPr>
      <w:r w:rsidRPr="006E69F6">
        <w:rPr>
          <w:i/>
          <w:szCs w:val="24"/>
        </w:rPr>
        <w:t>T. Mabika</w:t>
      </w:r>
      <w:r w:rsidRPr="006E69F6">
        <w:rPr>
          <w:szCs w:val="24"/>
        </w:rPr>
        <w:t xml:space="preserve"> for the applicant</w:t>
      </w:r>
    </w:p>
    <w:p w:rsidR="006567C2" w:rsidRPr="006E69F6" w:rsidRDefault="006567C2" w:rsidP="006E69F6">
      <w:pPr>
        <w:pStyle w:val="NoSpacing"/>
        <w:jc w:val="both"/>
        <w:rPr>
          <w:szCs w:val="24"/>
        </w:rPr>
      </w:pPr>
      <w:r w:rsidRPr="006E69F6">
        <w:rPr>
          <w:i/>
          <w:szCs w:val="24"/>
        </w:rPr>
        <w:t>L. Duve</w:t>
      </w:r>
      <w:r w:rsidRPr="006E69F6">
        <w:rPr>
          <w:szCs w:val="24"/>
        </w:rPr>
        <w:t xml:space="preserve"> for the respondents</w:t>
      </w:r>
    </w:p>
    <w:p w:rsidR="006567C2" w:rsidRPr="006E69F6" w:rsidRDefault="006567C2" w:rsidP="006E69F6">
      <w:pPr>
        <w:pStyle w:val="NoSpacing"/>
        <w:jc w:val="both"/>
        <w:rPr>
          <w:szCs w:val="24"/>
        </w:rPr>
      </w:pPr>
    </w:p>
    <w:p w:rsidR="00E8293D" w:rsidRPr="006E69F6" w:rsidRDefault="00E8293D" w:rsidP="006E69F6">
      <w:pPr>
        <w:pStyle w:val="NoSpacing"/>
        <w:jc w:val="both"/>
        <w:rPr>
          <w:b/>
          <w:szCs w:val="24"/>
        </w:rPr>
      </w:pPr>
      <w:r w:rsidRPr="006E69F6">
        <w:rPr>
          <w:b/>
          <w:szCs w:val="24"/>
        </w:rPr>
        <w:t>Opposed Application</w:t>
      </w:r>
    </w:p>
    <w:p w:rsidR="00E8293D" w:rsidRPr="006E69F6" w:rsidRDefault="00E8293D" w:rsidP="006E69F6">
      <w:pPr>
        <w:jc w:val="both"/>
        <w:rPr>
          <w:szCs w:val="24"/>
        </w:rPr>
      </w:pPr>
      <w:r w:rsidRPr="006E69F6">
        <w:rPr>
          <w:szCs w:val="24"/>
        </w:rPr>
        <w:tab/>
      </w:r>
      <w:r w:rsidRPr="006E69F6">
        <w:rPr>
          <w:b/>
          <w:szCs w:val="24"/>
        </w:rPr>
        <w:t>MOYO J:</w:t>
      </w:r>
      <w:r w:rsidRPr="006E69F6">
        <w:rPr>
          <w:b/>
          <w:szCs w:val="24"/>
        </w:rPr>
        <w:tab/>
      </w:r>
      <w:r w:rsidRPr="006E69F6">
        <w:rPr>
          <w:szCs w:val="24"/>
        </w:rPr>
        <w:t xml:space="preserve">The applicant in this matter is seeking a review of </w:t>
      </w:r>
      <w:r w:rsidR="00D909AF">
        <w:rPr>
          <w:szCs w:val="24"/>
        </w:rPr>
        <w:t xml:space="preserve">the </w:t>
      </w:r>
      <w:r w:rsidRPr="006E69F6">
        <w:rPr>
          <w:szCs w:val="24"/>
        </w:rPr>
        <w:t xml:space="preserve">decision </w:t>
      </w:r>
      <w:r w:rsidR="00D909AF">
        <w:rPr>
          <w:szCs w:val="24"/>
        </w:rPr>
        <w:t xml:space="preserve">of a Single Trial Officer </w:t>
      </w:r>
      <w:r w:rsidRPr="006E69F6">
        <w:rPr>
          <w:szCs w:val="24"/>
        </w:rPr>
        <w:t>on the grounds that:</w:t>
      </w:r>
    </w:p>
    <w:p w:rsidR="00E8293D" w:rsidRPr="006E69F6" w:rsidRDefault="00E8293D" w:rsidP="006E69F6">
      <w:pPr>
        <w:pStyle w:val="ListParagraph"/>
        <w:numPr>
          <w:ilvl w:val="0"/>
          <w:numId w:val="1"/>
        </w:numPr>
        <w:jc w:val="both"/>
        <w:rPr>
          <w:szCs w:val="24"/>
        </w:rPr>
      </w:pPr>
      <w:r w:rsidRPr="006E69F6">
        <w:rPr>
          <w:szCs w:val="24"/>
        </w:rPr>
        <w:t>The 1</w:t>
      </w:r>
      <w:r w:rsidRPr="006E69F6">
        <w:rPr>
          <w:szCs w:val="24"/>
          <w:vertAlign w:val="superscript"/>
        </w:rPr>
        <w:t>st</w:t>
      </w:r>
      <w:r w:rsidRPr="006E69F6">
        <w:rPr>
          <w:szCs w:val="24"/>
        </w:rPr>
        <w:t xml:space="preserve"> respondent decided to proceed with t</w:t>
      </w:r>
      <w:r w:rsidR="006567C2" w:rsidRPr="006E69F6">
        <w:rPr>
          <w:szCs w:val="24"/>
        </w:rPr>
        <w:t>h</w:t>
      </w:r>
      <w:r w:rsidRPr="006E69F6">
        <w:rPr>
          <w:szCs w:val="24"/>
        </w:rPr>
        <w:t>e matter where he had no jurisdiction to do so in view of the fact that the applicant h</w:t>
      </w:r>
      <w:r w:rsidR="006567C2" w:rsidRPr="006E69F6">
        <w:rPr>
          <w:szCs w:val="24"/>
        </w:rPr>
        <w:t>a</w:t>
      </w:r>
      <w:r w:rsidRPr="006E69F6">
        <w:rPr>
          <w:szCs w:val="24"/>
        </w:rPr>
        <w:t xml:space="preserve">d already been charged over the same matter in </w:t>
      </w:r>
      <w:r w:rsidR="00866CA2" w:rsidRPr="006E69F6">
        <w:rPr>
          <w:szCs w:val="24"/>
        </w:rPr>
        <w:t>t</w:t>
      </w:r>
      <w:r w:rsidRPr="006E69F6">
        <w:rPr>
          <w:szCs w:val="24"/>
        </w:rPr>
        <w:t xml:space="preserve">erms of the ordinary law.  </w:t>
      </w:r>
    </w:p>
    <w:p w:rsidR="00E8293D" w:rsidRPr="006E69F6" w:rsidRDefault="00E8293D" w:rsidP="006E69F6">
      <w:pPr>
        <w:pStyle w:val="ListParagraph"/>
        <w:jc w:val="both"/>
        <w:rPr>
          <w:szCs w:val="24"/>
        </w:rPr>
      </w:pPr>
      <w:r w:rsidRPr="006E69F6">
        <w:rPr>
          <w:szCs w:val="24"/>
        </w:rPr>
        <w:t>The relie</w:t>
      </w:r>
      <w:r w:rsidR="006567C2" w:rsidRPr="006E69F6">
        <w:rPr>
          <w:szCs w:val="24"/>
        </w:rPr>
        <w:t>f</w:t>
      </w:r>
      <w:r w:rsidRPr="006E69F6">
        <w:rPr>
          <w:szCs w:val="24"/>
        </w:rPr>
        <w:t xml:space="preserve"> sought is that:</w:t>
      </w:r>
    </w:p>
    <w:p w:rsidR="00E8293D" w:rsidRPr="006E69F6" w:rsidRDefault="00CF13DF" w:rsidP="006E69F6">
      <w:pPr>
        <w:pStyle w:val="ListParagraph"/>
        <w:numPr>
          <w:ilvl w:val="0"/>
          <w:numId w:val="2"/>
        </w:numPr>
        <w:jc w:val="both"/>
        <w:rPr>
          <w:szCs w:val="24"/>
        </w:rPr>
      </w:pPr>
      <w:r w:rsidRPr="006E69F6">
        <w:rPr>
          <w:szCs w:val="24"/>
        </w:rPr>
        <w:t>The trial proceedings conducted by the 1</w:t>
      </w:r>
      <w:r w:rsidRPr="006E69F6">
        <w:rPr>
          <w:szCs w:val="24"/>
          <w:vertAlign w:val="superscript"/>
        </w:rPr>
        <w:t>st</w:t>
      </w:r>
      <w:r w:rsidRPr="006E69F6">
        <w:rPr>
          <w:szCs w:val="24"/>
        </w:rPr>
        <w:t xml:space="preserve"> respondent against the applicant be and are </w:t>
      </w:r>
      <w:r w:rsidR="006567C2" w:rsidRPr="006E69F6">
        <w:rPr>
          <w:szCs w:val="24"/>
        </w:rPr>
        <w:t>h</w:t>
      </w:r>
      <w:r w:rsidRPr="006E69F6">
        <w:rPr>
          <w:szCs w:val="24"/>
        </w:rPr>
        <w:t>ereby set asi</w:t>
      </w:r>
      <w:r w:rsidR="006567C2" w:rsidRPr="006E69F6">
        <w:rPr>
          <w:szCs w:val="24"/>
        </w:rPr>
        <w:t>d</w:t>
      </w:r>
      <w:r w:rsidRPr="006E69F6">
        <w:rPr>
          <w:szCs w:val="24"/>
        </w:rPr>
        <w:t>e.</w:t>
      </w:r>
    </w:p>
    <w:p w:rsidR="00CF13DF" w:rsidRPr="006E69F6" w:rsidRDefault="00CF13DF" w:rsidP="006E69F6">
      <w:pPr>
        <w:pStyle w:val="ListParagraph"/>
        <w:numPr>
          <w:ilvl w:val="0"/>
          <w:numId w:val="2"/>
        </w:numPr>
        <w:jc w:val="both"/>
        <w:rPr>
          <w:szCs w:val="24"/>
        </w:rPr>
      </w:pPr>
      <w:r w:rsidRPr="006E69F6">
        <w:rPr>
          <w:szCs w:val="24"/>
        </w:rPr>
        <w:t>The prosecution of the applicant in terms of the Police Act be and is hereby stayed permanently.</w:t>
      </w:r>
    </w:p>
    <w:p w:rsidR="00CF13DF" w:rsidRPr="006E69F6" w:rsidRDefault="00CF13DF" w:rsidP="006E69F6">
      <w:pPr>
        <w:pStyle w:val="ListParagraph"/>
        <w:numPr>
          <w:ilvl w:val="0"/>
          <w:numId w:val="2"/>
        </w:numPr>
        <w:jc w:val="both"/>
        <w:rPr>
          <w:szCs w:val="24"/>
        </w:rPr>
      </w:pPr>
      <w:r w:rsidRPr="006E69F6">
        <w:rPr>
          <w:szCs w:val="24"/>
        </w:rPr>
        <w:t>The respondent’s are ordered to pay the costs of suit.</w:t>
      </w:r>
    </w:p>
    <w:p w:rsidR="00CF13DF" w:rsidRPr="006E69F6" w:rsidRDefault="00CF13DF" w:rsidP="006E69F6">
      <w:pPr>
        <w:ind w:firstLine="720"/>
        <w:jc w:val="both"/>
        <w:rPr>
          <w:szCs w:val="24"/>
        </w:rPr>
      </w:pPr>
      <w:r w:rsidRPr="006E69F6">
        <w:rPr>
          <w:szCs w:val="24"/>
        </w:rPr>
        <w:t>The factual basis of the application for review is enunciated in pages 3 - 4 of the founding affidavit and it reads as follows:</w:t>
      </w:r>
    </w:p>
    <w:p w:rsidR="00CF13DF" w:rsidRPr="006E69F6" w:rsidRDefault="00CF13DF" w:rsidP="006E69F6">
      <w:pPr>
        <w:ind w:left="2160" w:hanging="720"/>
        <w:jc w:val="both"/>
        <w:rPr>
          <w:szCs w:val="24"/>
        </w:rPr>
      </w:pPr>
      <w:r w:rsidRPr="006E69F6">
        <w:rPr>
          <w:szCs w:val="24"/>
        </w:rPr>
        <w:lastRenderedPageBreak/>
        <w:t>“4.</w:t>
      </w:r>
      <w:r w:rsidRPr="006E69F6">
        <w:rPr>
          <w:szCs w:val="24"/>
        </w:rPr>
        <w:tab/>
        <w:t>On the 27</w:t>
      </w:r>
      <w:r w:rsidRPr="006E69F6">
        <w:rPr>
          <w:szCs w:val="24"/>
          <w:vertAlign w:val="superscript"/>
        </w:rPr>
        <w:t>th</w:t>
      </w:r>
      <w:r w:rsidRPr="006E69F6">
        <w:rPr>
          <w:szCs w:val="24"/>
        </w:rPr>
        <w:t xml:space="preserve"> of October 2010, I was charged for contravening paragraph 35 of the schedule to the Police Act as appears on the charge sheet and the state outline which forms art of the </w:t>
      </w:r>
      <w:r w:rsidR="00DF7337" w:rsidRPr="006E69F6">
        <w:rPr>
          <w:szCs w:val="24"/>
        </w:rPr>
        <w:t>record of proceedings which I have attached hereto as annexure “A”.</w:t>
      </w:r>
    </w:p>
    <w:p w:rsidR="00DF7337" w:rsidRPr="006E69F6" w:rsidRDefault="00DF7337" w:rsidP="006E69F6">
      <w:pPr>
        <w:pStyle w:val="ListParagraph"/>
        <w:numPr>
          <w:ilvl w:val="0"/>
          <w:numId w:val="3"/>
        </w:numPr>
        <w:jc w:val="both"/>
        <w:rPr>
          <w:szCs w:val="24"/>
        </w:rPr>
      </w:pPr>
      <w:r w:rsidRPr="006E69F6">
        <w:rPr>
          <w:szCs w:val="24"/>
        </w:rPr>
        <w:t>I was self acting when I commenced trial</w:t>
      </w:r>
      <w:r w:rsidR="006567C2" w:rsidRPr="006E69F6">
        <w:rPr>
          <w:szCs w:val="24"/>
        </w:rPr>
        <w:t xml:space="preserve"> and I then decided </w:t>
      </w:r>
      <w:r w:rsidRPr="006E69F6">
        <w:rPr>
          <w:szCs w:val="24"/>
        </w:rPr>
        <w:t xml:space="preserve">to engage a lawyer during the course of my trial.  My lawyer then made an exception </w:t>
      </w:r>
      <w:r w:rsidR="00D909AF">
        <w:rPr>
          <w:szCs w:val="24"/>
        </w:rPr>
        <w:t>to</w:t>
      </w:r>
      <w:r w:rsidRPr="006E69F6">
        <w:rPr>
          <w:szCs w:val="24"/>
        </w:rPr>
        <w:t xml:space="preserve"> the charge and t</w:t>
      </w:r>
      <w:r w:rsidR="006567C2" w:rsidRPr="006E69F6">
        <w:rPr>
          <w:szCs w:val="24"/>
        </w:rPr>
        <w:t>h</w:t>
      </w:r>
      <w:r w:rsidRPr="006E69F6">
        <w:rPr>
          <w:szCs w:val="24"/>
        </w:rPr>
        <w:t>e allegatio</w:t>
      </w:r>
      <w:r w:rsidR="006567C2" w:rsidRPr="006E69F6">
        <w:rPr>
          <w:szCs w:val="24"/>
        </w:rPr>
        <w:t>ns during the course of the trial</w:t>
      </w:r>
      <w:r w:rsidRPr="006E69F6">
        <w:rPr>
          <w:szCs w:val="24"/>
        </w:rPr>
        <w:t xml:space="preserve"> on the 31</w:t>
      </w:r>
      <w:r w:rsidRPr="006E69F6">
        <w:rPr>
          <w:szCs w:val="24"/>
          <w:vertAlign w:val="superscript"/>
        </w:rPr>
        <w:t>st</w:t>
      </w:r>
      <w:r w:rsidRPr="006E69F6">
        <w:rPr>
          <w:szCs w:val="24"/>
        </w:rPr>
        <w:t xml:space="preserve"> of January 2017 and the 1</w:t>
      </w:r>
      <w:r w:rsidRPr="006E69F6">
        <w:rPr>
          <w:szCs w:val="24"/>
          <w:vertAlign w:val="superscript"/>
        </w:rPr>
        <w:t>st</w:t>
      </w:r>
      <w:r w:rsidRPr="006E69F6">
        <w:rPr>
          <w:szCs w:val="24"/>
        </w:rPr>
        <w:t xml:space="preserve"> respondent made the ruling on the 19</w:t>
      </w:r>
      <w:r w:rsidRPr="006E69F6">
        <w:rPr>
          <w:szCs w:val="24"/>
          <w:vertAlign w:val="superscript"/>
        </w:rPr>
        <w:t>th</w:t>
      </w:r>
      <w:r w:rsidRPr="006E69F6">
        <w:rPr>
          <w:szCs w:val="24"/>
        </w:rPr>
        <w:t xml:space="preserve"> of April 2017 which ruling also forms part of the r</w:t>
      </w:r>
      <w:r w:rsidR="006567C2" w:rsidRPr="006E69F6">
        <w:rPr>
          <w:szCs w:val="24"/>
        </w:rPr>
        <w:t>e</w:t>
      </w:r>
      <w:r w:rsidRPr="006E69F6">
        <w:rPr>
          <w:szCs w:val="24"/>
        </w:rPr>
        <w:t>cord of proceedings already attached hereto as annexure “A”.</w:t>
      </w:r>
    </w:p>
    <w:p w:rsidR="00DF7337" w:rsidRPr="006E69F6" w:rsidRDefault="00DF7337" w:rsidP="006E69F6">
      <w:pPr>
        <w:pStyle w:val="ListParagraph"/>
        <w:numPr>
          <w:ilvl w:val="0"/>
          <w:numId w:val="3"/>
        </w:numPr>
        <w:jc w:val="both"/>
        <w:rPr>
          <w:szCs w:val="24"/>
        </w:rPr>
      </w:pPr>
      <w:r w:rsidRPr="006E69F6">
        <w:rPr>
          <w:szCs w:val="24"/>
        </w:rPr>
        <w:t>It is apparent th</w:t>
      </w:r>
      <w:r w:rsidR="006567C2" w:rsidRPr="006E69F6">
        <w:rPr>
          <w:szCs w:val="24"/>
        </w:rPr>
        <w:t>a</w:t>
      </w:r>
      <w:r w:rsidRPr="006E69F6">
        <w:rPr>
          <w:szCs w:val="24"/>
        </w:rPr>
        <w:t>t the trial officer (1</w:t>
      </w:r>
      <w:r w:rsidRPr="006E69F6">
        <w:rPr>
          <w:szCs w:val="24"/>
          <w:vertAlign w:val="superscript"/>
        </w:rPr>
        <w:t>st</w:t>
      </w:r>
      <w:r w:rsidRPr="006E69F6">
        <w:rPr>
          <w:szCs w:val="24"/>
        </w:rPr>
        <w:t xml:space="preserve"> respondent) has no </w:t>
      </w:r>
      <w:r w:rsidRPr="006E69F6">
        <w:rPr>
          <w:i/>
          <w:szCs w:val="24"/>
        </w:rPr>
        <w:t>locus standi</w:t>
      </w:r>
      <w:r w:rsidRPr="006E69F6">
        <w:rPr>
          <w:szCs w:val="24"/>
        </w:rPr>
        <w:t xml:space="preserve"> or jurisdiction to try me in terms of the Police Act and its ancillary Regulations, in particular the standing order Volume 1 and the Uncoded Rules.</w:t>
      </w:r>
    </w:p>
    <w:p w:rsidR="00DF7337" w:rsidRPr="006E69F6" w:rsidRDefault="00DF7337" w:rsidP="006E69F6">
      <w:pPr>
        <w:pStyle w:val="ListParagraph"/>
        <w:numPr>
          <w:ilvl w:val="0"/>
          <w:numId w:val="3"/>
        </w:numPr>
        <w:jc w:val="both"/>
        <w:rPr>
          <w:szCs w:val="24"/>
        </w:rPr>
      </w:pPr>
      <w:r w:rsidRPr="006E69F6">
        <w:rPr>
          <w:szCs w:val="24"/>
        </w:rPr>
        <w:t>At the time I was charged in terms of the Police Act, I had already been charged in terms of the ordinary law on the same allegations.</w:t>
      </w:r>
      <w:r w:rsidR="006E69F6" w:rsidRPr="006E69F6">
        <w:rPr>
          <w:szCs w:val="24"/>
        </w:rPr>
        <w:t>”</w:t>
      </w:r>
    </w:p>
    <w:p w:rsidR="006F33D5" w:rsidRPr="006E69F6" w:rsidRDefault="00320ACC" w:rsidP="006E69F6">
      <w:pPr>
        <w:ind w:firstLine="720"/>
        <w:jc w:val="both"/>
        <w:rPr>
          <w:szCs w:val="24"/>
        </w:rPr>
      </w:pPr>
      <w:r w:rsidRPr="006E69F6">
        <w:rPr>
          <w:szCs w:val="24"/>
        </w:rPr>
        <w:t>Paragraph 7 of the founding affidavit seems to compl</w:t>
      </w:r>
      <w:r w:rsidR="006E69F6" w:rsidRPr="006E69F6">
        <w:rPr>
          <w:szCs w:val="24"/>
        </w:rPr>
        <w:t>iment the only ground for review</w:t>
      </w:r>
      <w:r w:rsidRPr="006E69F6">
        <w:rPr>
          <w:szCs w:val="24"/>
        </w:rPr>
        <w:t xml:space="preserve">, in fact that is the very basis of the application </w:t>
      </w:r>
      <w:r w:rsidR="00866CA2" w:rsidRPr="006E69F6">
        <w:rPr>
          <w:szCs w:val="24"/>
        </w:rPr>
        <w:t>i</w:t>
      </w:r>
      <w:r w:rsidRPr="006E69F6">
        <w:rPr>
          <w:szCs w:val="24"/>
        </w:rPr>
        <w:t>tself.</w:t>
      </w:r>
    </w:p>
    <w:p w:rsidR="00320ACC" w:rsidRPr="006E69F6" w:rsidRDefault="00320ACC" w:rsidP="006E69F6">
      <w:pPr>
        <w:ind w:firstLine="720"/>
        <w:jc w:val="both"/>
        <w:rPr>
          <w:szCs w:val="24"/>
        </w:rPr>
      </w:pPr>
      <w:r w:rsidRPr="006E69F6">
        <w:rPr>
          <w:szCs w:val="24"/>
        </w:rPr>
        <w:t>Although applicant does not elaborate on the specific charge that he faced at the Magistrates’ Court, he simply says over the same allegations and over the same matter.  He does not elaborate on the exact nature of the charge.  Respondents have opposed the application and contended that a police office</w:t>
      </w:r>
      <w:r w:rsidR="00D909AF">
        <w:rPr>
          <w:szCs w:val="24"/>
        </w:rPr>
        <w:t>r</w:t>
      </w:r>
      <w:r w:rsidRPr="006E69F6">
        <w:rPr>
          <w:szCs w:val="24"/>
        </w:rPr>
        <w:t xml:space="preserve"> can face criminal charges, be acquitted on same and still face disciplinary proceedings on the same issue.  I hold</w:t>
      </w:r>
      <w:r w:rsidR="00FD45F0" w:rsidRPr="006E69F6">
        <w:rPr>
          <w:szCs w:val="24"/>
        </w:rPr>
        <w:t xml:space="preserve"> the view that the respondent is </w:t>
      </w:r>
      <w:r w:rsidR="00AE5287" w:rsidRPr="006E69F6">
        <w:rPr>
          <w:szCs w:val="24"/>
        </w:rPr>
        <w:t>correct in its contention.  In fact that is exactly what M</w:t>
      </w:r>
      <w:r w:rsidR="00AE5287" w:rsidRPr="006E69F6">
        <w:rPr>
          <w:sz w:val="20"/>
          <w:szCs w:val="20"/>
        </w:rPr>
        <w:t>ATHONSI</w:t>
      </w:r>
      <w:r w:rsidR="00AE5287" w:rsidRPr="006E69F6">
        <w:rPr>
          <w:szCs w:val="24"/>
        </w:rPr>
        <w:t xml:space="preserve"> J</w:t>
      </w:r>
      <w:r w:rsidR="00D909AF">
        <w:rPr>
          <w:szCs w:val="24"/>
        </w:rPr>
        <w:t>,</w:t>
      </w:r>
      <w:r w:rsidR="00AE5287" w:rsidRPr="006E69F6">
        <w:rPr>
          <w:szCs w:val="24"/>
        </w:rPr>
        <w:t xml:space="preserve"> as</w:t>
      </w:r>
      <w:r w:rsidR="00866CA2" w:rsidRPr="006E69F6">
        <w:rPr>
          <w:szCs w:val="24"/>
        </w:rPr>
        <w:t xml:space="preserve"> </w:t>
      </w:r>
      <w:r w:rsidR="00AE5287" w:rsidRPr="006E69F6">
        <w:rPr>
          <w:szCs w:val="24"/>
        </w:rPr>
        <w:t>he then was</w:t>
      </w:r>
      <w:r w:rsidR="00D909AF">
        <w:rPr>
          <w:szCs w:val="24"/>
        </w:rPr>
        <w:t>,</w:t>
      </w:r>
      <w:r w:rsidR="00AE5287" w:rsidRPr="006E69F6">
        <w:rPr>
          <w:szCs w:val="24"/>
        </w:rPr>
        <w:t xml:space="preserve"> stated in t</w:t>
      </w:r>
      <w:r w:rsidR="00866CA2" w:rsidRPr="006E69F6">
        <w:rPr>
          <w:szCs w:val="24"/>
        </w:rPr>
        <w:t>h</w:t>
      </w:r>
      <w:r w:rsidR="00AE5287" w:rsidRPr="006E69F6">
        <w:rPr>
          <w:szCs w:val="24"/>
        </w:rPr>
        <w:t xml:space="preserve">e case of </w:t>
      </w:r>
      <w:r w:rsidR="00AE5287" w:rsidRPr="006E69F6">
        <w:rPr>
          <w:i/>
          <w:szCs w:val="24"/>
        </w:rPr>
        <w:t>Felix Sangu</w:t>
      </w:r>
      <w:r w:rsidR="00AE5287" w:rsidRPr="006E69F6">
        <w:rPr>
          <w:szCs w:val="24"/>
        </w:rPr>
        <w:t xml:space="preserve"> v </w:t>
      </w:r>
      <w:r w:rsidR="00AE5287" w:rsidRPr="006E69F6">
        <w:rPr>
          <w:i/>
          <w:szCs w:val="24"/>
        </w:rPr>
        <w:t>Commissioner General of Police and 2 others.</w:t>
      </w:r>
      <w:r w:rsidR="00AE5287" w:rsidRPr="006E69F6">
        <w:rPr>
          <w:szCs w:val="24"/>
        </w:rPr>
        <w:t xml:space="preserve">  The learned judge explained this very same issue.  In that case </w:t>
      </w:r>
      <w:r w:rsidR="00AE5287" w:rsidRPr="006E69F6">
        <w:rPr>
          <w:i/>
          <w:szCs w:val="24"/>
        </w:rPr>
        <w:t>Mr Sangu</w:t>
      </w:r>
      <w:r w:rsidR="00AE5287" w:rsidRPr="006E69F6">
        <w:rPr>
          <w:szCs w:val="24"/>
        </w:rPr>
        <w:t xml:space="preserve"> had submitted that he was tried by the Magistrates’ Court in Bulawayo on a </w:t>
      </w:r>
      <w:r w:rsidR="00106883" w:rsidRPr="006E69F6">
        <w:rPr>
          <w:szCs w:val="24"/>
        </w:rPr>
        <w:t>c</w:t>
      </w:r>
      <w:r w:rsidR="00AE5287" w:rsidRPr="006E69F6">
        <w:rPr>
          <w:szCs w:val="24"/>
        </w:rPr>
        <w:t xml:space="preserve">harge of theft involving $264,00 and was in August 2015, found not guilty and </w:t>
      </w:r>
      <w:r w:rsidR="00AE5287" w:rsidRPr="006E69F6">
        <w:rPr>
          <w:szCs w:val="24"/>
        </w:rPr>
        <w:lastRenderedPageBreak/>
        <w:t xml:space="preserve">acquitted </w:t>
      </w:r>
      <w:r w:rsidR="00D909AF">
        <w:rPr>
          <w:szCs w:val="24"/>
        </w:rPr>
        <w:t xml:space="preserve">and </w:t>
      </w:r>
      <w:r w:rsidR="00AE5287" w:rsidRPr="006E69F6">
        <w:rPr>
          <w:szCs w:val="24"/>
        </w:rPr>
        <w:t>for that reason he submitted that it was improper for the police authorities to prefer a charge of improper conduct against him arising</w:t>
      </w:r>
      <w:r w:rsidR="00106883" w:rsidRPr="006E69F6">
        <w:rPr>
          <w:szCs w:val="24"/>
        </w:rPr>
        <w:t xml:space="preserve"> </w:t>
      </w:r>
      <w:r w:rsidR="00AE5287" w:rsidRPr="006E69F6">
        <w:rPr>
          <w:szCs w:val="24"/>
        </w:rPr>
        <w:t>out of the same set of facts.  The learned judge went on to explain why applicant’s contention was misplaced.  It is trit</w:t>
      </w:r>
      <w:r w:rsidR="00106883" w:rsidRPr="006E69F6">
        <w:rPr>
          <w:szCs w:val="24"/>
        </w:rPr>
        <w:t>e</w:t>
      </w:r>
      <w:r w:rsidR="00AE5287" w:rsidRPr="006E69F6">
        <w:rPr>
          <w:szCs w:val="24"/>
        </w:rPr>
        <w:t xml:space="preserve"> that the same conduct can give rise to both criminal and civil sanction.  Where an employee has allegedly stolen from an employer, the latter is entitled to prefer criminal charges </w:t>
      </w:r>
      <w:r w:rsidR="006F753E" w:rsidRPr="006E69F6">
        <w:rPr>
          <w:szCs w:val="24"/>
        </w:rPr>
        <w:t xml:space="preserve">against such employee to be pursued in a criminal court.  That, however, does not </w:t>
      </w:r>
      <w:r w:rsidR="00106883" w:rsidRPr="006E69F6">
        <w:rPr>
          <w:szCs w:val="24"/>
        </w:rPr>
        <w:t xml:space="preserve">oust </w:t>
      </w:r>
      <w:r w:rsidR="006F753E" w:rsidRPr="006E69F6">
        <w:rPr>
          <w:szCs w:val="24"/>
        </w:rPr>
        <w:t>the employ</w:t>
      </w:r>
      <w:r w:rsidR="00106883" w:rsidRPr="006E69F6">
        <w:rPr>
          <w:szCs w:val="24"/>
        </w:rPr>
        <w:t>er</w:t>
      </w:r>
      <w:r w:rsidR="006F753E" w:rsidRPr="006E69F6">
        <w:rPr>
          <w:szCs w:val="24"/>
        </w:rPr>
        <w:t xml:space="preserve">’s jurisdiction to discipline such an employee under the civil law, an exercise which may result in </w:t>
      </w:r>
      <w:r w:rsidR="00D909AF">
        <w:rPr>
          <w:szCs w:val="24"/>
        </w:rPr>
        <w:t xml:space="preserve">a </w:t>
      </w:r>
      <w:r w:rsidR="006F753E" w:rsidRPr="006E69F6">
        <w:rPr>
          <w:szCs w:val="24"/>
        </w:rPr>
        <w:t xml:space="preserve">misconduct charge being preferred against the employee and disciplinary sanction eventually.  </w:t>
      </w:r>
      <w:r w:rsidR="006F753E" w:rsidRPr="006E69F6">
        <w:rPr>
          <w:szCs w:val="24"/>
          <w:u w:val="single"/>
        </w:rPr>
        <w:t xml:space="preserve">As an employee, the applicant remains subject to disciplinary law internally even </w:t>
      </w:r>
      <w:r w:rsidR="00D909AF">
        <w:rPr>
          <w:szCs w:val="24"/>
          <w:u w:val="single"/>
        </w:rPr>
        <w:t xml:space="preserve">if </w:t>
      </w:r>
      <w:r w:rsidR="006F753E" w:rsidRPr="006E69F6">
        <w:rPr>
          <w:szCs w:val="24"/>
          <w:u w:val="single"/>
        </w:rPr>
        <w:t>a c</w:t>
      </w:r>
      <w:r w:rsidR="00D909AF">
        <w:rPr>
          <w:szCs w:val="24"/>
          <w:u w:val="single"/>
        </w:rPr>
        <w:t>riminal</w:t>
      </w:r>
      <w:r w:rsidR="006F753E" w:rsidRPr="006E69F6">
        <w:rPr>
          <w:szCs w:val="24"/>
          <w:u w:val="single"/>
        </w:rPr>
        <w:t xml:space="preserve"> trial process has taken pla</w:t>
      </w:r>
      <w:r w:rsidR="00106883" w:rsidRPr="006E69F6">
        <w:rPr>
          <w:szCs w:val="24"/>
          <w:u w:val="single"/>
        </w:rPr>
        <w:t>c</w:t>
      </w:r>
      <w:r w:rsidR="006F753E" w:rsidRPr="006E69F6">
        <w:rPr>
          <w:szCs w:val="24"/>
          <w:u w:val="single"/>
        </w:rPr>
        <w:t>e.  The acquittal by a c</w:t>
      </w:r>
      <w:r w:rsidR="00D909AF">
        <w:rPr>
          <w:szCs w:val="24"/>
          <w:u w:val="single"/>
        </w:rPr>
        <w:t>riminal</w:t>
      </w:r>
      <w:r w:rsidR="006F753E" w:rsidRPr="006E69F6">
        <w:rPr>
          <w:szCs w:val="24"/>
          <w:u w:val="single"/>
        </w:rPr>
        <w:t xml:space="preserve"> trial court </w:t>
      </w:r>
      <w:r w:rsidR="006E69F6" w:rsidRPr="006E69F6">
        <w:rPr>
          <w:szCs w:val="24"/>
          <w:u w:val="single"/>
        </w:rPr>
        <w:t>cannot ex</w:t>
      </w:r>
      <w:r w:rsidR="006F753E" w:rsidRPr="006E69F6">
        <w:rPr>
          <w:szCs w:val="24"/>
          <w:u w:val="single"/>
        </w:rPr>
        <w:t>onerate an employee from the consequences</w:t>
      </w:r>
      <w:r w:rsidR="006E69F6" w:rsidRPr="006E69F6">
        <w:rPr>
          <w:szCs w:val="24"/>
          <w:u w:val="single"/>
        </w:rPr>
        <w:t xml:space="preserve"> </w:t>
      </w:r>
      <w:r w:rsidR="006F753E" w:rsidRPr="006E69F6">
        <w:rPr>
          <w:szCs w:val="24"/>
          <w:u w:val="single"/>
        </w:rPr>
        <w:t xml:space="preserve">arising from disciplinary law </w:t>
      </w:r>
      <w:r w:rsidR="006F753E" w:rsidRPr="006E69F6">
        <w:rPr>
          <w:szCs w:val="24"/>
        </w:rPr>
        <w:t xml:space="preserve"> (emphasis mine)  The lear</w:t>
      </w:r>
      <w:r w:rsidR="006E69F6" w:rsidRPr="006E69F6">
        <w:rPr>
          <w:szCs w:val="24"/>
        </w:rPr>
        <w:t>n</w:t>
      </w:r>
      <w:r w:rsidR="006F753E" w:rsidRPr="006E69F6">
        <w:rPr>
          <w:szCs w:val="24"/>
        </w:rPr>
        <w:t xml:space="preserve">ed judge went on to quote section 278 </w:t>
      </w:r>
      <w:r w:rsidR="00871B27">
        <w:rPr>
          <w:szCs w:val="24"/>
        </w:rPr>
        <w:t xml:space="preserve">(2) and (3) </w:t>
      </w:r>
      <w:r w:rsidR="006F753E" w:rsidRPr="006E69F6">
        <w:rPr>
          <w:szCs w:val="24"/>
        </w:rPr>
        <w:t xml:space="preserve">of the Criminal </w:t>
      </w:r>
      <w:r w:rsidR="00871B27">
        <w:rPr>
          <w:szCs w:val="24"/>
        </w:rPr>
        <w:t>Law Codification and Reform Act Chapter 9:23</w:t>
      </w:r>
      <w:r w:rsidR="006F753E" w:rsidRPr="006E69F6">
        <w:rPr>
          <w:szCs w:val="24"/>
        </w:rPr>
        <w:t xml:space="preserve"> which </w:t>
      </w:r>
      <w:r w:rsidR="00871B27">
        <w:rPr>
          <w:szCs w:val="24"/>
        </w:rPr>
        <w:t>provide</w:t>
      </w:r>
      <w:r w:rsidR="006F753E" w:rsidRPr="006E69F6">
        <w:rPr>
          <w:szCs w:val="24"/>
        </w:rPr>
        <w:t>s as follows:</w:t>
      </w:r>
    </w:p>
    <w:p w:rsidR="006E69F6" w:rsidRDefault="00871B27" w:rsidP="006B45B3">
      <w:pPr>
        <w:pStyle w:val="NoSpacing"/>
        <w:ind w:left="1440" w:hanging="720"/>
      </w:pPr>
      <w:r>
        <w:t>“(2)</w:t>
      </w:r>
      <w:r>
        <w:tab/>
        <w:t xml:space="preserve">A conviction or acquittal in respect of any crime shall not bar civil or disciplinary proceedings in relation to any conduct constituting the crime with the instance of any person who has suffered lose or injury in consequence of the conduct or at the instance of the relevant disciplinary authority.  </w:t>
      </w:r>
    </w:p>
    <w:p w:rsidR="00871B27" w:rsidRPr="006E69F6" w:rsidRDefault="00871B27" w:rsidP="006B45B3">
      <w:pPr>
        <w:pStyle w:val="NoSpacing"/>
        <w:ind w:left="1440" w:hanging="720"/>
      </w:pPr>
      <w:r>
        <w:t>(3)</w:t>
      </w:r>
      <w:r>
        <w:tab/>
        <w:t>Civil or disciplinary proceedings in relation to any conduct that constitutes a crime may, without prejudice to the prosecution of any criminal proceedings in respect of the same conduct be instituted at any time before or after the commencement of such criminal proceedings.”</w:t>
      </w:r>
    </w:p>
    <w:p w:rsidR="006F753E" w:rsidRPr="006E69F6" w:rsidRDefault="00871B27" w:rsidP="006E69F6">
      <w:pPr>
        <w:ind w:firstLine="720"/>
        <w:jc w:val="both"/>
        <w:rPr>
          <w:szCs w:val="24"/>
        </w:rPr>
      </w:pPr>
      <w:r>
        <w:rPr>
          <w:szCs w:val="24"/>
        </w:rPr>
        <w:t>A</w:t>
      </w:r>
      <w:r w:rsidR="006F753E" w:rsidRPr="006E69F6">
        <w:rPr>
          <w:szCs w:val="24"/>
        </w:rPr>
        <w:t>s well as section 30(5) and section 34(9) of the</w:t>
      </w:r>
      <w:r>
        <w:rPr>
          <w:szCs w:val="24"/>
        </w:rPr>
        <w:t xml:space="preserve"> Police Act which provide that a member found guilty in terms of the Police Act</w:t>
      </w:r>
      <w:r w:rsidR="00D909AF">
        <w:rPr>
          <w:szCs w:val="24"/>
        </w:rPr>
        <w:t xml:space="preserve"> shall not be regarded as having found guilty for purposes of any other law.</w:t>
      </w:r>
    </w:p>
    <w:p w:rsidR="00D909AF" w:rsidRDefault="006F753E" w:rsidP="006E69F6">
      <w:pPr>
        <w:ind w:firstLine="720"/>
        <w:jc w:val="both"/>
        <w:rPr>
          <w:szCs w:val="24"/>
        </w:rPr>
      </w:pPr>
      <w:r w:rsidRPr="006E69F6">
        <w:rPr>
          <w:szCs w:val="24"/>
        </w:rPr>
        <w:t>It therefore follows that applicant’s contention is misplaced.  Nothing bars the applicant’s employer from proceeding</w:t>
      </w:r>
      <w:r w:rsidR="006567C2" w:rsidRPr="006E69F6">
        <w:rPr>
          <w:szCs w:val="24"/>
        </w:rPr>
        <w:t xml:space="preserve"> </w:t>
      </w:r>
      <w:r w:rsidR="00D909AF">
        <w:rPr>
          <w:szCs w:val="24"/>
        </w:rPr>
        <w:t>with the</w:t>
      </w:r>
      <w:r w:rsidR="006567C2" w:rsidRPr="006E69F6">
        <w:rPr>
          <w:szCs w:val="24"/>
        </w:rPr>
        <w:t xml:space="preserve"> disciplinary measure</w:t>
      </w:r>
      <w:r w:rsidR="00D909AF">
        <w:rPr>
          <w:szCs w:val="24"/>
        </w:rPr>
        <w:t>s</w:t>
      </w:r>
      <w:r w:rsidR="006567C2" w:rsidRPr="006E69F6">
        <w:rPr>
          <w:szCs w:val="24"/>
        </w:rPr>
        <w:t xml:space="preserve"> under the Police Act despite the acquittal in the </w:t>
      </w:r>
      <w:r w:rsidR="00D909AF">
        <w:rPr>
          <w:szCs w:val="24"/>
        </w:rPr>
        <w:t xml:space="preserve">criminal charges before the </w:t>
      </w:r>
      <w:r w:rsidR="006567C2" w:rsidRPr="006E69F6">
        <w:rPr>
          <w:szCs w:val="24"/>
        </w:rPr>
        <w:t>Magistrates</w:t>
      </w:r>
      <w:r w:rsidR="006E69F6" w:rsidRPr="006E69F6">
        <w:rPr>
          <w:szCs w:val="24"/>
        </w:rPr>
        <w:t>’</w:t>
      </w:r>
      <w:r w:rsidR="006567C2" w:rsidRPr="006E69F6">
        <w:rPr>
          <w:szCs w:val="24"/>
        </w:rPr>
        <w:t xml:space="preserve"> Court.  The on</w:t>
      </w:r>
      <w:r w:rsidR="00D909AF">
        <w:rPr>
          <w:szCs w:val="24"/>
        </w:rPr>
        <w:t>ly ground for review thus fail</w:t>
      </w:r>
      <w:r w:rsidR="006567C2" w:rsidRPr="006E69F6">
        <w:rPr>
          <w:szCs w:val="24"/>
        </w:rPr>
        <w:t xml:space="preserve">s as applicant has not made a case for the relief he seeks both on the facts and on the law.  </w:t>
      </w:r>
    </w:p>
    <w:p w:rsidR="006F753E" w:rsidRPr="006E69F6" w:rsidRDefault="006567C2" w:rsidP="006E69F6">
      <w:pPr>
        <w:ind w:firstLine="720"/>
        <w:jc w:val="both"/>
        <w:rPr>
          <w:szCs w:val="24"/>
        </w:rPr>
      </w:pPr>
      <w:r w:rsidRPr="006E69F6">
        <w:rPr>
          <w:szCs w:val="24"/>
        </w:rPr>
        <w:lastRenderedPageBreak/>
        <w:t>I</w:t>
      </w:r>
      <w:r w:rsidR="006E69F6" w:rsidRPr="006E69F6">
        <w:rPr>
          <w:szCs w:val="24"/>
        </w:rPr>
        <w:t>t</w:t>
      </w:r>
      <w:r w:rsidRPr="006E69F6">
        <w:rPr>
          <w:szCs w:val="24"/>
        </w:rPr>
        <w:t xml:space="preserve"> is for these reasons that this court finds t</w:t>
      </w:r>
      <w:r w:rsidR="006E69F6" w:rsidRPr="006E69F6">
        <w:rPr>
          <w:szCs w:val="24"/>
        </w:rPr>
        <w:t>h</w:t>
      </w:r>
      <w:r w:rsidRPr="006E69F6">
        <w:rPr>
          <w:szCs w:val="24"/>
        </w:rPr>
        <w:t>at applicant has failed to sustain the only ground for review and I accordingly dismiss the application with costs.</w:t>
      </w:r>
    </w:p>
    <w:p w:rsidR="006E69F6" w:rsidRDefault="006E69F6" w:rsidP="006E69F6">
      <w:pPr>
        <w:pStyle w:val="NoSpacing"/>
        <w:jc w:val="both"/>
        <w:rPr>
          <w:i/>
          <w:szCs w:val="24"/>
        </w:rPr>
      </w:pPr>
    </w:p>
    <w:p w:rsidR="006E69F6" w:rsidRDefault="006E69F6" w:rsidP="006E69F6">
      <w:pPr>
        <w:pStyle w:val="NoSpacing"/>
        <w:jc w:val="both"/>
        <w:rPr>
          <w:i/>
          <w:szCs w:val="24"/>
        </w:rPr>
      </w:pPr>
    </w:p>
    <w:p w:rsidR="006E69F6" w:rsidRDefault="006E69F6" w:rsidP="006E69F6">
      <w:pPr>
        <w:pStyle w:val="NoSpacing"/>
        <w:jc w:val="both"/>
        <w:rPr>
          <w:i/>
          <w:szCs w:val="24"/>
        </w:rPr>
      </w:pPr>
    </w:p>
    <w:p w:rsidR="006E69F6" w:rsidRDefault="006E69F6" w:rsidP="006E69F6">
      <w:pPr>
        <w:pStyle w:val="NoSpacing"/>
        <w:jc w:val="both"/>
        <w:rPr>
          <w:i/>
          <w:szCs w:val="24"/>
        </w:rPr>
      </w:pPr>
    </w:p>
    <w:p w:rsidR="006E69F6" w:rsidRDefault="006E69F6" w:rsidP="006E69F6">
      <w:pPr>
        <w:pStyle w:val="NoSpacing"/>
        <w:jc w:val="both"/>
        <w:rPr>
          <w:i/>
          <w:szCs w:val="24"/>
        </w:rPr>
      </w:pPr>
    </w:p>
    <w:p w:rsidR="006E69F6" w:rsidRDefault="006E69F6" w:rsidP="006E69F6">
      <w:pPr>
        <w:pStyle w:val="NoSpacing"/>
        <w:jc w:val="both"/>
        <w:rPr>
          <w:i/>
          <w:szCs w:val="24"/>
        </w:rPr>
      </w:pPr>
    </w:p>
    <w:p w:rsidR="006567C2" w:rsidRPr="006E69F6" w:rsidRDefault="00866CA2" w:rsidP="006E69F6">
      <w:pPr>
        <w:pStyle w:val="NoSpacing"/>
        <w:jc w:val="both"/>
        <w:rPr>
          <w:szCs w:val="24"/>
        </w:rPr>
      </w:pPr>
      <w:r w:rsidRPr="006E69F6">
        <w:rPr>
          <w:i/>
          <w:szCs w:val="24"/>
        </w:rPr>
        <w:t>Mugiya &amp; Macharaga Law Chambers</w:t>
      </w:r>
      <w:r w:rsidRPr="006E69F6">
        <w:rPr>
          <w:szCs w:val="24"/>
        </w:rPr>
        <w:t>, applicant’s legal practitioners</w:t>
      </w:r>
    </w:p>
    <w:p w:rsidR="00866CA2" w:rsidRPr="006E69F6" w:rsidRDefault="00866CA2" w:rsidP="006E69F6">
      <w:pPr>
        <w:pStyle w:val="NoSpacing"/>
        <w:jc w:val="both"/>
        <w:rPr>
          <w:szCs w:val="24"/>
        </w:rPr>
      </w:pPr>
      <w:r w:rsidRPr="006E69F6">
        <w:rPr>
          <w:i/>
          <w:szCs w:val="24"/>
        </w:rPr>
        <w:t>Attorney General’s Office, Civil Division,</w:t>
      </w:r>
      <w:r w:rsidRPr="006E69F6">
        <w:rPr>
          <w:szCs w:val="24"/>
        </w:rPr>
        <w:t xml:space="preserve"> respondents’ legal practitioners</w:t>
      </w:r>
    </w:p>
    <w:p w:rsidR="006567C2" w:rsidRPr="006E69F6" w:rsidRDefault="006567C2" w:rsidP="006E69F6">
      <w:pPr>
        <w:ind w:firstLine="720"/>
        <w:jc w:val="both"/>
        <w:rPr>
          <w:szCs w:val="24"/>
        </w:rPr>
      </w:pPr>
    </w:p>
    <w:p w:rsidR="00DF7337" w:rsidRPr="006E69F6" w:rsidRDefault="00DF7337" w:rsidP="006E69F6">
      <w:pPr>
        <w:ind w:left="720"/>
        <w:jc w:val="both"/>
        <w:rPr>
          <w:szCs w:val="24"/>
        </w:rPr>
      </w:pPr>
    </w:p>
    <w:sectPr w:rsidR="00DF7337" w:rsidRPr="006E69F6"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43D" w:rsidRDefault="0000343D" w:rsidP="006E69F6">
      <w:pPr>
        <w:spacing w:before="0" w:after="0" w:line="240" w:lineRule="auto"/>
      </w:pPr>
      <w:r>
        <w:separator/>
      </w:r>
    </w:p>
  </w:endnote>
  <w:endnote w:type="continuationSeparator" w:id="1">
    <w:p w:rsidR="0000343D" w:rsidRDefault="0000343D" w:rsidP="006E69F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43D" w:rsidRDefault="0000343D" w:rsidP="006E69F6">
      <w:pPr>
        <w:spacing w:before="0" w:after="0" w:line="240" w:lineRule="auto"/>
      </w:pPr>
      <w:r>
        <w:separator/>
      </w:r>
    </w:p>
  </w:footnote>
  <w:footnote w:type="continuationSeparator" w:id="1">
    <w:p w:rsidR="0000343D" w:rsidRDefault="0000343D" w:rsidP="006E69F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8417"/>
      <w:docPartObj>
        <w:docPartGallery w:val="Page Numbers (Top of Page)"/>
        <w:docPartUnique/>
      </w:docPartObj>
    </w:sdtPr>
    <w:sdtContent>
      <w:p w:rsidR="006E69F6" w:rsidRDefault="009C23D9">
        <w:pPr>
          <w:pStyle w:val="Header"/>
          <w:jc w:val="right"/>
        </w:pPr>
        <w:fldSimple w:instr=" PAGE   \* MERGEFORMAT ">
          <w:r w:rsidR="006B45B3">
            <w:rPr>
              <w:noProof/>
            </w:rPr>
            <w:t>4</w:t>
          </w:r>
        </w:fldSimple>
      </w:p>
      <w:p w:rsidR="006E69F6" w:rsidRDefault="006E69F6" w:rsidP="006E69F6">
        <w:pPr>
          <w:pStyle w:val="NoSpacing"/>
          <w:ind w:left="7920"/>
        </w:pPr>
        <w:r>
          <w:t xml:space="preserve">      HB 126/19</w:t>
        </w:r>
      </w:p>
      <w:p w:rsidR="006E69F6" w:rsidRDefault="006E69F6" w:rsidP="006E69F6">
        <w:pPr>
          <w:pStyle w:val="NoSpacing"/>
          <w:ind w:left="7920"/>
        </w:pPr>
        <w:r>
          <w:t xml:space="preserve">    HC 1238/17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29F"/>
    <w:multiLevelType w:val="hybridMultilevel"/>
    <w:tmpl w:val="C3B6B176"/>
    <w:lvl w:ilvl="0" w:tplc="2D5ED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C22C8B"/>
    <w:multiLevelType w:val="hybridMultilevel"/>
    <w:tmpl w:val="082A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63C69"/>
    <w:multiLevelType w:val="hybridMultilevel"/>
    <w:tmpl w:val="B1CA005A"/>
    <w:lvl w:ilvl="0" w:tplc="A32E8598">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293D"/>
    <w:rsid w:val="0000343D"/>
    <w:rsid w:val="00106883"/>
    <w:rsid w:val="001D126B"/>
    <w:rsid w:val="002C7F8A"/>
    <w:rsid w:val="00320ACC"/>
    <w:rsid w:val="003A3365"/>
    <w:rsid w:val="003C389F"/>
    <w:rsid w:val="003E5BAA"/>
    <w:rsid w:val="004115A1"/>
    <w:rsid w:val="00450027"/>
    <w:rsid w:val="00477B02"/>
    <w:rsid w:val="004D310B"/>
    <w:rsid w:val="0054317D"/>
    <w:rsid w:val="006567C2"/>
    <w:rsid w:val="0068662E"/>
    <w:rsid w:val="006A03C9"/>
    <w:rsid w:val="006B45B3"/>
    <w:rsid w:val="006E69F6"/>
    <w:rsid w:val="006F33D5"/>
    <w:rsid w:val="006F753E"/>
    <w:rsid w:val="00701C30"/>
    <w:rsid w:val="007B49A6"/>
    <w:rsid w:val="007D0B26"/>
    <w:rsid w:val="007D2790"/>
    <w:rsid w:val="00866CA2"/>
    <w:rsid w:val="00871B27"/>
    <w:rsid w:val="008A7672"/>
    <w:rsid w:val="008C3209"/>
    <w:rsid w:val="009A0597"/>
    <w:rsid w:val="009C23D9"/>
    <w:rsid w:val="009E5C1A"/>
    <w:rsid w:val="00A50BC8"/>
    <w:rsid w:val="00AC4850"/>
    <w:rsid w:val="00AE5287"/>
    <w:rsid w:val="00C61900"/>
    <w:rsid w:val="00C9153D"/>
    <w:rsid w:val="00CF13DF"/>
    <w:rsid w:val="00D20B4C"/>
    <w:rsid w:val="00D909AF"/>
    <w:rsid w:val="00DF7337"/>
    <w:rsid w:val="00E10C27"/>
    <w:rsid w:val="00E8293D"/>
    <w:rsid w:val="00EC4E04"/>
    <w:rsid w:val="00FD4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8293D"/>
    <w:pPr>
      <w:ind w:left="720"/>
      <w:contextualSpacing/>
    </w:pPr>
  </w:style>
  <w:style w:type="paragraph" w:styleId="Header">
    <w:name w:val="header"/>
    <w:basedOn w:val="Normal"/>
    <w:link w:val="HeaderChar"/>
    <w:uiPriority w:val="99"/>
    <w:unhideWhenUsed/>
    <w:rsid w:val="006E69F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69F6"/>
    <w:rPr>
      <w:rFonts w:ascii="Times New Roman" w:hAnsi="Times New Roman"/>
      <w:sz w:val="24"/>
    </w:rPr>
  </w:style>
  <w:style w:type="paragraph" w:styleId="Footer">
    <w:name w:val="footer"/>
    <w:basedOn w:val="Normal"/>
    <w:link w:val="FooterChar"/>
    <w:uiPriority w:val="99"/>
    <w:semiHidden/>
    <w:unhideWhenUsed/>
    <w:rsid w:val="006E69F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E69F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10</cp:revision>
  <cp:lastPrinted>2019-10-02T09:09:00Z</cp:lastPrinted>
  <dcterms:created xsi:type="dcterms:W3CDTF">2019-08-19T08:25:00Z</dcterms:created>
  <dcterms:modified xsi:type="dcterms:W3CDTF">2019-10-02T09:29:00Z</dcterms:modified>
</cp:coreProperties>
</file>