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D6"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IN THE LABOUR COURT OF ZIMBABWE</w:t>
      </w:r>
      <w:r w:rsidRPr="001158E7">
        <w:rPr>
          <w:rFonts w:ascii="Times New Roman" w:hAnsi="Times New Roman" w:cs="Times New Roman"/>
          <w:b/>
          <w:sz w:val="24"/>
          <w:szCs w:val="24"/>
        </w:rPr>
        <w:tab/>
        <w:t>JUDGMENT NO LC/H/</w:t>
      </w:r>
      <w:r w:rsidR="002B68BD">
        <w:rPr>
          <w:rFonts w:ascii="Times New Roman" w:hAnsi="Times New Roman" w:cs="Times New Roman"/>
          <w:b/>
          <w:sz w:val="24"/>
          <w:szCs w:val="24"/>
        </w:rPr>
        <w:t>99</w:t>
      </w:r>
      <w:r w:rsidRPr="001158E7">
        <w:rPr>
          <w:rFonts w:ascii="Times New Roman" w:hAnsi="Times New Roman" w:cs="Times New Roman"/>
          <w:b/>
          <w:sz w:val="24"/>
          <w:szCs w:val="24"/>
        </w:rPr>
        <w:t>/2016</w:t>
      </w:r>
    </w:p>
    <w:p w:rsidR="00BC2ECD" w:rsidRPr="001158E7" w:rsidRDefault="00BC2ECD" w:rsidP="00BC2ECD">
      <w:pPr>
        <w:spacing w:after="0" w:line="240" w:lineRule="auto"/>
        <w:rPr>
          <w:rFonts w:ascii="Times New Roman" w:hAnsi="Times New Roman" w:cs="Times New Roman"/>
          <w:b/>
          <w:sz w:val="24"/>
          <w:szCs w:val="24"/>
        </w:rPr>
      </w:pP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HARARE, 2 FEBRUARY 2016 &amp;</w:t>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t>CASE NO LC/H/APP/1345/2015</w:t>
      </w:r>
    </w:p>
    <w:p w:rsidR="00BC2ECD" w:rsidRDefault="00276272" w:rsidP="00BC2ECD">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r w:rsidR="002B68BD">
        <w:rPr>
          <w:rFonts w:ascii="Times New Roman" w:hAnsi="Times New Roman" w:cs="Times New Roman"/>
          <w:b/>
          <w:sz w:val="24"/>
          <w:szCs w:val="24"/>
        </w:rPr>
        <w:t xml:space="preserve"> MARCH 2016</w:t>
      </w:r>
    </w:p>
    <w:p w:rsidR="002B68BD" w:rsidRPr="001158E7" w:rsidRDefault="002B68BD" w:rsidP="00BC2ECD">
      <w:pPr>
        <w:spacing w:after="0" w:line="240" w:lineRule="auto"/>
        <w:rPr>
          <w:rFonts w:ascii="Times New Roman" w:hAnsi="Times New Roman" w:cs="Times New Roman"/>
          <w:b/>
          <w:sz w:val="24"/>
          <w:szCs w:val="24"/>
        </w:rPr>
      </w:pP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COLLEGE LECTURERS ASSOCIATION</w:t>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001158E7">
        <w:rPr>
          <w:rFonts w:ascii="Times New Roman" w:hAnsi="Times New Roman" w:cs="Times New Roman"/>
          <w:b/>
          <w:sz w:val="24"/>
          <w:szCs w:val="24"/>
        </w:rPr>
        <w:t xml:space="preserve">      </w:t>
      </w:r>
      <w:r w:rsidR="004E3093">
        <w:rPr>
          <w:rFonts w:ascii="Times New Roman" w:hAnsi="Times New Roman" w:cs="Times New Roman"/>
          <w:b/>
          <w:sz w:val="24"/>
          <w:szCs w:val="24"/>
        </w:rPr>
        <w:t xml:space="preserve">   </w:t>
      </w:r>
      <w:r w:rsidRPr="001158E7">
        <w:rPr>
          <w:rFonts w:ascii="Times New Roman" w:hAnsi="Times New Roman" w:cs="Times New Roman"/>
          <w:b/>
          <w:sz w:val="24"/>
          <w:szCs w:val="24"/>
        </w:rPr>
        <w:t>APPLICANTS</w:t>
      </w: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OF ZIMBABWE &amp; 36 OTHERS</w:t>
      </w:r>
    </w:p>
    <w:p w:rsidR="00BC2ECD" w:rsidRDefault="00BC2ECD" w:rsidP="00BC2ECD">
      <w:pPr>
        <w:spacing w:after="0" w:line="240" w:lineRule="auto"/>
        <w:rPr>
          <w:rFonts w:ascii="Times New Roman" w:hAnsi="Times New Roman" w:cs="Times New Roman"/>
          <w:sz w:val="24"/>
          <w:szCs w:val="24"/>
        </w:rPr>
      </w:pPr>
    </w:p>
    <w:p w:rsidR="00BC2ECD" w:rsidRDefault="00FC47C2"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C2ECD" w:rsidRDefault="00BC2ECD" w:rsidP="00BC2ECD">
      <w:pPr>
        <w:spacing w:after="0" w:line="240" w:lineRule="auto"/>
        <w:rPr>
          <w:rFonts w:ascii="Times New Roman" w:hAnsi="Times New Roman" w:cs="Times New Roman"/>
          <w:sz w:val="24"/>
          <w:szCs w:val="24"/>
        </w:rPr>
      </w:pP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MINISTER OF HIGHER &amp; TERTIARY</w:t>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t xml:space="preserve">    1</w:t>
      </w:r>
      <w:r w:rsidRPr="001158E7">
        <w:rPr>
          <w:rFonts w:ascii="Times New Roman" w:hAnsi="Times New Roman" w:cs="Times New Roman"/>
          <w:b/>
          <w:sz w:val="24"/>
          <w:szCs w:val="24"/>
          <w:vertAlign w:val="superscript"/>
        </w:rPr>
        <w:t>ST</w:t>
      </w:r>
      <w:r w:rsidRPr="001158E7">
        <w:rPr>
          <w:rFonts w:ascii="Times New Roman" w:hAnsi="Times New Roman" w:cs="Times New Roman"/>
          <w:b/>
          <w:sz w:val="24"/>
          <w:szCs w:val="24"/>
        </w:rPr>
        <w:t xml:space="preserve"> RESPONDENT</w:t>
      </w: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EDUCATION, SCIENCE &amp; TECHNOLOGY</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C2ECD" w:rsidRDefault="00BC2ECD" w:rsidP="00BC2ECD">
      <w:pPr>
        <w:spacing w:after="0" w:line="240" w:lineRule="auto"/>
        <w:rPr>
          <w:rFonts w:ascii="Times New Roman" w:hAnsi="Times New Roman" w:cs="Times New Roman"/>
          <w:sz w:val="24"/>
          <w:szCs w:val="24"/>
        </w:rPr>
      </w:pP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THE CIVIL SERVICE COMMISSION</w:t>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r>
      <w:r w:rsidRPr="001158E7">
        <w:rPr>
          <w:rFonts w:ascii="Times New Roman" w:hAnsi="Times New Roman" w:cs="Times New Roman"/>
          <w:b/>
          <w:sz w:val="24"/>
          <w:szCs w:val="24"/>
        </w:rPr>
        <w:tab/>
        <w:t xml:space="preserve">     2</w:t>
      </w:r>
      <w:r w:rsidRPr="001158E7">
        <w:rPr>
          <w:rFonts w:ascii="Times New Roman" w:hAnsi="Times New Roman" w:cs="Times New Roman"/>
          <w:b/>
          <w:sz w:val="24"/>
          <w:szCs w:val="24"/>
          <w:vertAlign w:val="superscript"/>
        </w:rPr>
        <w:t>ND</w:t>
      </w:r>
      <w:r w:rsidRPr="001158E7">
        <w:rPr>
          <w:rFonts w:ascii="Times New Roman" w:hAnsi="Times New Roman" w:cs="Times New Roman"/>
          <w:b/>
          <w:sz w:val="24"/>
          <w:szCs w:val="24"/>
        </w:rPr>
        <w:t xml:space="preserve"> RESPONDENT</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Applicants</w:t>
      </w:r>
      <w:r>
        <w:rPr>
          <w:rFonts w:ascii="Times New Roman" w:hAnsi="Times New Roman" w:cs="Times New Roman"/>
          <w:sz w:val="24"/>
          <w:szCs w:val="24"/>
        </w:rPr>
        <w:tab/>
        <w:t xml:space="preserve">  Ms C </w:t>
      </w:r>
      <w:proofErr w:type="spellStart"/>
      <w:proofErr w:type="gramStart"/>
      <w:r>
        <w:rPr>
          <w:rFonts w:ascii="Times New Roman" w:hAnsi="Times New Roman" w:cs="Times New Roman"/>
          <w:sz w:val="24"/>
          <w:szCs w:val="24"/>
        </w:rPr>
        <w:t>Mahlangu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Ms L </w:t>
      </w:r>
      <w:proofErr w:type="spellStart"/>
      <w:proofErr w:type="gramStart"/>
      <w:r>
        <w:rPr>
          <w:rFonts w:ascii="Times New Roman" w:hAnsi="Times New Roman" w:cs="Times New Roman"/>
          <w:sz w:val="24"/>
          <w:szCs w:val="24"/>
        </w:rPr>
        <w:t>Shambamuto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BC2ECD" w:rsidRPr="001158E7" w:rsidRDefault="00BC2ECD" w:rsidP="00BC2ECD">
      <w:pPr>
        <w:spacing w:after="0" w:line="240" w:lineRule="auto"/>
        <w:rPr>
          <w:rFonts w:ascii="Times New Roman" w:hAnsi="Times New Roman" w:cs="Times New Roman"/>
          <w:b/>
          <w:sz w:val="24"/>
          <w:szCs w:val="24"/>
        </w:rPr>
      </w:pPr>
      <w:r w:rsidRPr="001158E7">
        <w:rPr>
          <w:rFonts w:ascii="Times New Roman" w:hAnsi="Times New Roman" w:cs="Times New Roman"/>
          <w:b/>
          <w:sz w:val="24"/>
          <w:szCs w:val="24"/>
        </w:rPr>
        <w:t>MURASI J:</w:t>
      </w:r>
    </w:p>
    <w:p w:rsidR="00BC2ECD" w:rsidRDefault="00BC2ECD" w:rsidP="00BC2ECD">
      <w:pPr>
        <w:spacing w:after="0" w:line="240" w:lineRule="auto"/>
        <w:rPr>
          <w:rFonts w:ascii="Times New Roman" w:hAnsi="Times New Roman" w:cs="Times New Roman"/>
          <w:sz w:val="24"/>
          <w:szCs w:val="24"/>
        </w:rPr>
      </w:pPr>
    </w:p>
    <w:p w:rsidR="00BC2ECD" w:rsidRDefault="00BC2ECD"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an appeal. The facts in this case are largely common cause. The applicants filed an appeal with this court against the decisions of first and second respondents finding the lecturers guilty of misconduct and imposing various penalties. The facts also show that before the appeal could be heard, the respondents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alleging that the respondents were incorrectly cited. This court, as per KUDYA J, upheld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proceeded to strike the appeal off the roll. The applicants wish to pursue the appeal, hence this application.</w:t>
      </w:r>
    </w:p>
    <w:p w:rsidR="008C6C54" w:rsidRDefault="00BC2ECD"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Mahlangu</w:t>
      </w:r>
      <w:proofErr w:type="spellEnd"/>
      <w:r>
        <w:rPr>
          <w:rFonts w:ascii="Times New Roman" w:hAnsi="Times New Roman" w:cs="Times New Roman"/>
          <w:sz w:val="24"/>
          <w:szCs w:val="24"/>
        </w:rPr>
        <w:t xml:space="preserve"> for the applicants stated that she largely abided by the documents filed of record. It was submitted on behalf of the applicants that even though the delay was inordinate</w:t>
      </w:r>
      <w:r w:rsidR="009D6B4F">
        <w:rPr>
          <w:rFonts w:ascii="Times New Roman" w:hAnsi="Times New Roman" w:cs="Times New Roman"/>
          <w:sz w:val="24"/>
          <w:szCs w:val="24"/>
        </w:rPr>
        <w:t xml:space="preserve">, amounting to some two and a half years, the explanation was reasonable. This was because the applicants were always before the court pursuing their legal rights and the court had even granted an order in their favour despite the defective citation of the parties. Ms </w:t>
      </w:r>
      <w:proofErr w:type="spellStart"/>
      <w:r w:rsidR="009D6B4F">
        <w:rPr>
          <w:rFonts w:ascii="Times New Roman" w:hAnsi="Times New Roman" w:cs="Times New Roman"/>
          <w:i/>
          <w:sz w:val="24"/>
          <w:szCs w:val="24"/>
        </w:rPr>
        <w:t>Mahlangu</w:t>
      </w:r>
      <w:proofErr w:type="spellEnd"/>
      <w:r w:rsidR="009D6B4F">
        <w:rPr>
          <w:rFonts w:ascii="Times New Roman" w:hAnsi="Times New Roman" w:cs="Times New Roman"/>
          <w:i/>
          <w:sz w:val="24"/>
          <w:szCs w:val="24"/>
        </w:rPr>
        <w:t xml:space="preserve"> </w:t>
      </w:r>
      <w:r w:rsidR="009D6B4F">
        <w:rPr>
          <w:rFonts w:ascii="Times New Roman" w:hAnsi="Times New Roman" w:cs="Times New Roman"/>
          <w:sz w:val="24"/>
          <w:szCs w:val="24"/>
        </w:rPr>
        <w:t xml:space="preserve">urged the court not to dwell on the technicalities raised by the respondents but to </w:t>
      </w:r>
      <w:r w:rsidR="009D6B4F">
        <w:rPr>
          <w:rFonts w:ascii="Times New Roman" w:hAnsi="Times New Roman" w:cs="Times New Roman"/>
          <w:sz w:val="24"/>
          <w:szCs w:val="24"/>
        </w:rPr>
        <w:lastRenderedPageBreak/>
        <w:t xml:space="preserve">use its discretion and allow the matter to be heard on the merits. As far as the prospects of success on appeal were concerned, it was submitted that the applicants had good prospects of success. It was argued that the disciplinary hearings had shifted the burden of proof onto the applicants which was not correct. It was further stated that the disciplinary committees had not clearly established that the applicants were guilty of engaging in a “sit-in”. Ms </w:t>
      </w:r>
      <w:proofErr w:type="spellStart"/>
      <w:r w:rsidR="009D6B4F">
        <w:rPr>
          <w:rFonts w:ascii="Times New Roman" w:hAnsi="Times New Roman" w:cs="Times New Roman"/>
          <w:i/>
          <w:sz w:val="24"/>
          <w:szCs w:val="24"/>
        </w:rPr>
        <w:t>Mahlangu</w:t>
      </w:r>
      <w:proofErr w:type="spellEnd"/>
      <w:r w:rsidR="009D6B4F">
        <w:rPr>
          <w:rFonts w:ascii="Times New Roman" w:hAnsi="Times New Roman" w:cs="Times New Roman"/>
          <w:sz w:val="24"/>
          <w:szCs w:val="24"/>
        </w:rPr>
        <w:t xml:space="preserve"> further submitted that there was an unnecessary splitting of charges levell</w:t>
      </w:r>
      <w:r w:rsidR="008C6C54">
        <w:rPr>
          <w:rFonts w:ascii="Times New Roman" w:hAnsi="Times New Roman" w:cs="Times New Roman"/>
          <w:sz w:val="24"/>
          <w:szCs w:val="24"/>
        </w:rPr>
        <w:t>ed against the applicants which may have led to severe punishments being meted upon the applicants.</w:t>
      </w:r>
    </w:p>
    <w:p w:rsidR="008C6C54" w:rsidRDefault="008C6C54"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Shambamuto</w:t>
      </w:r>
      <w:proofErr w:type="spellEnd"/>
      <w:r>
        <w:rPr>
          <w:rFonts w:ascii="Times New Roman" w:hAnsi="Times New Roman" w:cs="Times New Roman"/>
          <w:sz w:val="24"/>
          <w:szCs w:val="24"/>
        </w:rPr>
        <w:t xml:space="preserve"> stated that a plethora of cases has given guidance as to what criteria are to be taken into account in determining such matters. These include the reasonableness of the explanation for the delay, prospects of success, prejudice to the other party and the balance of convenience. It was submitted that the applicants were legally represented and negligence in filing court documents could not be taken as a reasonable explanation for the delay as due diligence was supposed to be exercised by the applicants to cite the correct parties. It was also pointed out that when the error was pointed out, the applicants had insisted in proceeding to amend a nullity. Ms </w:t>
      </w:r>
      <w:proofErr w:type="spellStart"/>
      <w:r>
        <w:rPr>
          <w:rFonts w:ascii="Times New Roman" w:hAnsi="Times New Roman" w:cs="Times New Roman"/>
          <w:i/>
          <w:sz w:val="24"/>
          <w:szCs w:val="24"/>
        </w:rPr>
        <w:t>Shambamuto</w:t>
      </w:r>
      <w:proofErr w:type="spellEnd"/>
      <w:r>
        <w:rPr>
          <w:rFonts w:ascii="Times New Roman" w:hAnsi="Times New Roman" w:cs="Times New Roman"/>
          <w:sz w:val="24"/>
          <w:szCs w:val="24"/>
        </w:rPr>
        <w:t xml:space="preserve"> further submitted that the respondents are being prejudiced as a result and have been forced to attend proceedings because of the negligence by the applicants in not making the proper citation of the parties. Ms </w:t>
      </w:r>
      <w:proofErr w:type="spellStart"/>
      <w:r>
        <w:rPr>
          <w:rFonts w:ascii="Times New Roman" w:hAnsi="Times New Roman" w:cs="Times New Roman"/>
          <w:i/>
          <w:sz w:val="24"/>
          <w:szCs w:val="24"/>
        </w:rPr>
        <w:t>Shambamuto</w:t>
      </w:r>
      <w:proofErr w:type="spellEnd"/>
      <w:r>
        <w:rPr>
          <w:rFonts w:ascii="Times New Roman" w:hAnsi="Times New Roman" w:cs="Times New Roman"/>
          <w:sz w:val="24"/>
          <w:szCs w:val="24"/>
        </w:rPr>
        <w:t xml:space="preserve"> argued that there were no prospects of success as the applicants were properly found guilty and the respondents properly exercised their discretion in imposing the respective penalties on the applicants. It was also disputed that the respondents had shifted the </w:t>
      </w:r>
      <w:r>
        <w:rPr>
          <w:rFonts w:ascii="Times New Roman" w:hAnsi="Times New Roman" w:cs="Times New Roman"/>
          <w:i/>
          <w:sz w:val="24"/>
          <w:szCs w:val="24"/>
        </w:rPr>
        <w:t>onus</w:t>
      </w:r>
      <w:r>
        <w:rPr>
          <w:rFonts w:ascii="Times New Roman" w:hAnsi="Times New Roman" w:cs="Times New Roman"/>
          <w:sz w:val="24"/>
          <w:szCs w:val="24"/>
        </w:rPr>
        <w:t xml:space="preserve"> onto the applicants to prove their innocence. It was further argued that the allegation of a splitting of charges was a procedural issue which should be brought by way of review.</w:t>
      </w:r>
    </w:p>
    <w:p w:rsidR="00E1011A" w:rsidRDefault="008C6C54"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failure to file an appeal timeously is an indulgence which may be granted at the discretion of the court. An applicant must satisfy the court that there are compelling reasons or circumstances which justify a finding in his or her favour. Candidness and honesty are important requirements in such applications. Precedent has shown that certain criteria have to be satisfied in the determination of such applications. These include </w:t>
      </w:r>
      <w:r>
        <w:rPr>
          <w:rFonts w:ascii="Times New Roman" w:hAnsi="Times New Roman" w:cs="Times New Roman"/>
          <w:i/>
          <w:sz w:val="24"/>
          <w:szCs w:val="24"/>
        </w:rPr>
        <w:t>inter alia</w:t>
      </w:r>
      <w:r>
        <w:rPr>
          <w:rFonts w:ascii="Times New Roman" w:hAnsi="Times New Roman" w:cs="Times New Roman"/>
          <w:sz w:val="24"/>
          <w:szCs w:val="24"/>
        </w:rPr>
        <w:t>, the extent of the delay and the reasonableness of the explanation, the prospects of success on appeal, the interest of the court in the finality of the judgments and the prejudice to the party who is unable to execute his</w:t>
      </w:r>
      <w:r w:rsidR="00E1011A">
        <w:rPr>
          <w:rFonts w:ascii="Times New Roman" w:hAnsi="Times New Roman" w:cs="Times New Roman"/>
          <w:sz w:val="24"/>
          <w:szCs w:val="24"/>
        </w:rPr>
        <w:t>/her judgment.</w:t>
      </w:r>
    </w:p>
    <w:p w:rsidR="00E1011A" w:rsidRDefault="00E1011A"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the above principles, the court will proceed to make a determination firstly, whether the explanation tendered is both reasonable and acceptable. The applicants state that the reason for the delay is that they had made an improper citation of the respondents. They </w:t>
      </w:r>
      <w:r>
        <w:rPr>
          <w:rFonts w:ascii="Times New Roman" w:hAnsi="Times New Roman" w:cs="Times New Roman"/>
          <w:sz w:val="24"/>
          <w:szCs w:val="24"/>
        </w:rPr>
        <w:lastRenderedPageBreak/>
        <w:t>said the error was only realised when the respondent raised the issue before the appeal was heard. This appeal had been filed in 2012 and some two and a half years later, that is when the error was brought to their attention. The applicants were then represented by another firm of legal practitioners.</w:t>
      </w:r>
    </w:p>
    <w:p w:rsidR="00E1011A" w:rsidRDefault="00E1011A"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noteworthy is that the Founding Affidavit is made by one </w:t>
      </w:r>
      <w:proofErr w:type="spellStart"/>
      <w:r>
        <w:rPr>
          <w:rFonts w:ascii="Times New Roman" w:hAnsi="Times New Roman" w:cs="Times New Roman"/>
          <w:sz w:val="24"/>
          <w:szCs w:val="24"/>
        </w:rPr>
        <w:t>Nickson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Madovi</w:t>
      </w:r>
      <w:proofErr w:type="spellEnd"/>
      <w:r>
        <w:rPr>
          <w:rFonts w:ascii="Times New Roman" w:hAnsi="Times New Roman" w:cs="Times New Roman"/>
          <w:sz w:val="24"/>
          <w:szCs w:val="24"/>
        </w:rPr>
        <w:t xml:space="preserve">. The said </w:t>
      </w:r>
      <w:proofErr w:type="spellStart"/>
      <w:r>
        <w:rPr>
          <w:rFonts w:ascii="Times New Roman" w:hAnsi="Times New Roman" w:cs="Times New Roman"/>
          <w:sz w:val="24"/>
          <w:szCs w:val="24"/>
        </w:rPr>
        <w:t>Nickson</w:t>
      </w:r>
      <w:proofErr w:type="spellEnd"/>
      <w:r>
        <w:rPr>
          <w:rFonts w:ascii="Times New Roman" w:hAnsi="Times New Roman" w:cs="Times New Roman"/>
          <w:sz w:val="24"/>
          <w:szCs w:val="24"/>
        </w:rPr>
        <w:t xml:space="preserve"> does not give reasons why the error was made in the first place. The applicants did not attach any affidavit from the erstwhile legal practitioners to explain the error or negligence. Apart from making the mere allegation, there is nothing to demonstrate that the applicants sought an explanation for the negligence from their former legal practitioners. Where a litigant blames their legal practitioner for the negligence, it is necessary for that litigant to avail proof, usually in affidavit form or in writing that the litigant has requested an explanation from the legal practitioner concerned.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applicants have not shown what steps they took in this regard.</w:t>
      </w:r>
    </w:p>
    <w:p w:rsidR="008C6C54" w:rsidRDefault="00E1011A"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be said that the applicants, in the circumstances, have given a reasonable and acceptable explanation? The reasonableness of an explanation is dependent on the circumstances of the case. The applicants’ former legal practitioners did not attend to the detail of examining their papers when they filed them with the court. This lack of diligence led to the matter being struck off the roll. A similar matter concerning the lack of</w:t>
      </w:r>
      <w:r w:rsidR="008C6C54">
        <w:rPr>
          <w:rFonts w:ascii="Times New Roman" w:hAnsi="Times New Roman" w:cs="Times New Roman"/>
          <w:sz w:val="24"/>
          <w:szCs w:val="24"/>
        </w:rPr>
        <w:t xml:space="preserve">  </w:t>
      </w:r>
      <w:r w:rsidR="00B15E67">
        <w:rPr>
          <w:rFonts w:ascii="Times New Roman" w:hAnsi="Times New Roman" w:cs="Times New Roman"/>
          <w:sz w:val="24"/>
          <w:szCs w:val="24"/>
        </w:rPr>
        <w:t xml:space="preserve">diligence and negligence came up for determination before GOWORA AJA (as she then was) in </w:t>
      </w:r>
      <w:r w:rsidR="00B15E67">
        <w:rPr>
          <w:rFonts w:ascii="Times New Roman" w:hAnsi="Times New Roman" w:cs="Times New Roman"/>
          <w:i/>
          <w:sz w:val="24"/>
          <w:szCs w:val="24"/>
        </w:rPr>
        <w:t>K M Auctions</w:t>
      </w:r>
      <w:r w:rsidR="00B15E67">
        <w:rPr>
          <w:rFonts w:ascii="Times New Roman" w:hAnsi="Times New Roman" w:cs="Times New Roman"/>
          <w:sz w:val="24"/>
          <w:szCs w:val="24"/>
        </w:rPr>
        <w:t xml:space="preserve"> (</w:t>
      </w:r>
      <w:r w:rsidR="00B15E67">
        <w:rPr>
          <w:rFonts w:ascii="Times New Roman" w:hAnsi="Times New Roman" w:cs="Times New Roman"/>
          <w:i/>
          <w:sz w:val="24"/>
          <w:szCs w:val="24"/>
        </w:rPr>
        <w:t>Pvt</w:t>
      </w:r>
      <w:r w:rsidR="00B15E67">
        <w:rPr>
          <w:rFonts w:ascii="Times New Roman" w:hAnsi="Times New Roman" w:cs="Times New Roman"/>
          <w:sz w:val="24"/>
          <w:szCs w:val="24"/>
        </w:rPr>
        <w:t xml:space="preserve">) </w:t>
      </w:r>
      <w:r w:rsidR="00B15E67">
        <w:rPr>
          <w:rFonts w:ascii="Times New Roman" w:hAnsi="Times New Roman" w:cs="Times New Roman"/>
          <w:i/>
          <w:sz w:val="24"/>
          <w:szCs w:val="24"/>
        </w:rPr>
        <w:t>Ltd</w:t>
      </w:r>
      <w:r w:rsidR="00B15E67">
        <w:rPr>
          <w:rFonts w:ascii="Times New Roman" w:hAnsi="Times New Roman" w:cs="Times New Roman"/>
          <w:sz w:val="24"/>
          <w:szCs w:val="24"/>
        </w:rPr>
        <w:t xml:space="preserve"> v </w:t>
      </w:r>
      <w:r w:rsidR="00B15E67">
        <w:rPr>
          <w:rFonts w:ascii="Times New Roman" w:hAnsi="Times New Roman" w:cs="Times New Roman"/>
          <w:i/>
          <w:sz w:val="24"/>
          <w:szCs w:val="24"/>
        </w:rPr>
        <w:t xml:space="preserve">Samuel &amp; </w:t>
      </w:r>
      <w:proofErr w:type="spellStart"/>
      <w:r w:rsidR="00B15E67">
        <w:rPr>
          <w:rFonts w:ascii="Times New Roman" w:hAnsi="Times New Roman" w:cs="Times New Roman"/>
          <w:i/>
          <w:sz w:val="24"/>
          <w:szCs w:val="24"/>
        </w:rPr>
        <w:t>Anor</w:t>
      </w:r>
      <w:proofErr w:type="spellEnd"/>
      <w:r w:rsidR="00B15E67">
        <w:rPr>
          <w:rFonts w:ascii="Times New Roman" w:hAnsi="Times New Roman" w:cs="Times New Roman"/>
          <w:i/>
          <w:sz w:val="24"/>
          <w:szCs w:val="24"/>
        </w:rPr>
        <w:t xml:space="preserve"> </w:t>
      </w:r>
      <w:r w:rsidR="00B15E67">
        <w:rPr>
          <w:rFonts w:ascii="Times New Roman" w:hAnsi="Times New Roman" w:cs="Times New Roman"/>
          <w:sz w:val="24"/>
          <w:szCs w:val="24"/>
        </w:rPr>
        <w:t xml:space="preserve"> SC 15-12. In that case the legal practitioner had said that the defect in the notice of appeal had been due to an oversight on his part. The court held that there had been lack of diligence on the part of the applicant and the legal practitioner. It was further held that the court could not continue to be encumbered by applications for </w:t>
      </w:r>
      <w:proofErr w:type="spellStart"/>
      <w:r w:rsidR="00B15E67">
        <w:rPr>
          <w:rFonts w:ascii="Times New Roman" w:hAnsi="Times New Roman" w:cs="Times New Roman"/>
          <w:sz w:val="24"/>
          <w:szCs w:val="24"/>
        </w:rPr>
        <w:t>condonation</w:t>
      </w:r>
      <w:proofErr w:type="spellEnd"/>
      <w:r w:rsidR="00B15E67">
        <w:rPr>
          <w:rFonts w:ascii="Times New Roman" w:hAnsi="Times New Roman" w:cs="Times New Roman"/>
          <w:sz w:val="24"/>
          <w:szCs w:val="24"/>
        </w:rPr>
        <w:t xml:space="preserve"> caused by a legal practitioner’s tardy performance of his work. It was also held that negligence or lack of attention to detail on the part of the legal practitioner could not be an explanation that the court should find satisfactory. The court stated that there was a limit beyond which a litigant cannot escape the results of his legal practitioner’s lack of diligence or the insufficiency of the explanation tendered. It was emphasized that the legal practitioner is the representative whom the litigant would have chosen and there should be little reason why in regard to </w:t>
      </w:r>
      <w:proofErr w:type="spellStart"/>
      <w:r w:rsidR="00B15E67">
        <w:rPr>
          <w:rFonts w:ascii="Times New Roman" w:hAnsi="Times New Roman" w:cs="Times New Roman"/>
          <w:sz w:val="24"/>
          <w:szCs w:val="24"/>
        </w:rPr>
        <w:t>condonation</w:t>
      </w:r>
      <w:proofErr w:type="spellEnd"/>
      <w:r w:rsidR="00B15E67">
        <w:rPr>
          <w:rFonts w:ascii="Times New Roman" w:hAnsi="Times New Roman" w:cs="Times New Roman"/>
          <w:sz w:val="24"/>
          <w:szCs w:val="24"/>
        </w:rPr>
        <w:t xml:space="preserve"> the litigant should be absolved from the normal consequences of such a relationship no matter the circumstances of the failure are.</w:t>
      </w:r>
    </w:p>
    <w:p w:rsidR="00B15E67" w:rsidRDefault="00B15E67"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already alluded to the absence of an explanation from</w:t>
      </w:r>
      <w:r w:rsidR="003D3765">
        <w:rPr>
          <w:rFonts w:ascii="Times New Roman" w:hAnsi="Times New Roman" w:cs="Times New Roman"/>
          <w:sz w:val="24"/>
          <w:szCs w:val="24"/>
        </w:rPr>
        <w:t xml:space="preserve"> the applicants’ former practitioners. The facts show that after the issue was brought to those legal </w:t>
      </w:r>
      <w:r w:rsidR="003D3765">
        <w:rPr>
          <w:rFonts w:ascii="Times New Roman" w:hAnsi="Times New Roman" w:cs="Times New Roman"/>
          <w:sz w:val="24"/>
          <w:szCs w:val="24"/>
        </w:rPr>
        <w:lastRenderedPageBreak/>
        <w:t>practitioners’ attention, they insisted in proceeding to make an application for an amendment. JUSTICE KUDYA made the following observation when she struck the matter off the roll:</w:t>
      </w:r>
    </w:p>
    <w:p w:rsidR="003D3765" w:rsidRDefault="003D3765" w:rsidP="007950DB">
      <w:pPr>
        <w:spacing w:after="0" w:line="240" w:lineRule="auto"/>
        <w:jc w:val="both"/>
        <w:rPr>
          <w:rFonts w:ascii="Times New Roman" w:hAnsi="Times New Roman" w:cs="Times New Roman"/>
          <w:sz w:val="24"/>
          <w:szCs w:val="24"/>
        </w:rPr>
      </w:pPr>
    </w:p>
    <w:p w:rsidR="003D3765" w:rsidRDefault="003D3765" w:rsidP="001158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critical to note that the instant matter commenced as far back as 2012 and it did not need the applicant to bring in instant application at the 11</w:t>
      </w:r>
      <w:r w:rsidRPr="003D3765">
        <w:rPr>
          <w:rFonts w:ascii="Times New Roman" w:hAnsi="Times New Roman" w:cs="Times New Roman"/>
          <w:sz w:val="24"/>
          <w:szCs w:val="24"/>
          <w:vertAlign w:val="superscript"/>
        </w:rPr>
        <w:t>th</w:t>
      </w:r>
      <w:r>
        <w:rPr>
          <w:rFonts w:ascii="Times New Roman" w:hAnsi="Times New Roman" w:cs="Times New Roman"/>
          <w:sz w:val="24"/>
          <w:szCs w:val="24"/>
        </w:rPr>
        <w:t xml:space="preserve"> hour where it clearly appreciated the defective nature of its papers. Such an attitude demonstrates lack of sincerity on the part of the applicant.”</w:t>
      </w:r>
    </w:p>
    <w:p w:rsidR="003D3765" w:rsidRDefault="003D3765" w:rsidP="001158E7">
      <w:pPr>
        <w:spacing w:after="0" w:line="240" w:lineRule="auto"/>
        <w:jc w:val="both"/>
        <w:rPr>
          <w:rFonts w:ascii="Times New Roman" w:hAnsi="Times New Roman" w:cs="Times New Roman"/>
          <w:sz w:val="24"/>
          <w:szCs w:val="24"/>
        </w:rPr>
      </w:pPr>
    </w:p>
    <w:p w:rsidR="003D3765" w:rsidRDefault="003D3765" w:rsidP="001158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on the same page of the judgment:</w:t>
      </w:r>
    </w:p>
    <w:p w:rsidR="003D3765" w:rsidRDefault="003D3765" w:rsidP="001158E7">
      <w:pPr>
        <w:spacing w:after="0" w:line="240" w:lineRule="auto"/>
        <w:ind w:left="720"/>
        <w:jc w:val="both"/>
        <w:rPr>
          <w:rFonts w:ascii="Times New Roman" w:hAnsi="Times New Roman" w:cs="Times New Roman"/>
          <w:sz w:val="24"/>
          <w:szCs w:val="24"/>
        </w:rPr>
      </w:pPr>
    </w:p>
    <w:p w:rsidR="003D3765" w:rsidRDefault="003D3765" w:rsidP="001158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fact for that whole stretch that was more the reason why the applicant should have put its house in order in time.”</w:t>
      </w:r>
    </w:p>
    <w:p w:rsidR="003D3765" w:rsidRDefault="003D3765" w:rsidP="001158E7">
      <w:pPr>
        <w:spacing w:after="0" w:line="360" w:lineRule="auto"/>
        <w:jc w:val="both"/>
        <w:rPr>
          <w:rFonts w:ascii="Times New Roman" w:hAnsi="Times New Roman" w:cs="Times New Roman"/>
          <w:sz w:val="24"/>
          <w:szCs w:val="24"/>
        </w:rPr>
      </w:pPr>
    </w:p>
    <w:p w:rsidR="003D3765" w:rsidRDefault="003D3765"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erstwhile legal practitioners’ explanation for the defect is not before the court. To enable this court make a determination as to the reasonableness of the explanation it was indeed incumbent on the applicants’ to favour the court with such explanation. This the applicants did not do. I therefore am of the view that the explanation tendered by the applicants is not reasonable. It is thus not acceptable.</w:t>
      </w:r>
    </w:p>
    <w:p w:rsidR="00E4438C" w:rsidRDefault="003D3765"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turn to the issue of prospects of success on appeal. The applicants were arraigned before disciplinary committees and found guilty and respective penalties were meted out to the applicants. The court has gone through the record and read the minutes of the proceedings leading to the convictions. At </w:t>
      </w:r>
      <w:proofErr w:type="spellStart"/>
      <w:r>
        <w:rPr>
          <w:rFonts w:ascii="Times New Roman" w:hAnsi="Times New Roman" w:cs="Times New Roman"/>
          <w:sz w:val="24"/>
          <w:szCs w:val="24"/>
        </w:rPr>
        <w:t>Mkoba</w:t>
      </w:r>
      <w:proofErr w:type="spellEnd"/>
      <w:r>
        <w:rPr>
          <w:rFonts w:ascii="Times New Roman" w:hAnsi="Times New Roman" w:cs="Times New Roman"/>
          <w:sz w:val="24"/>
          <w:szCs w:val="24"/>
        </w:rPr>
        <w:t xml:space="preserve"> Teachers’ College the hearings were chaired by </w:t>
      </w:r>
      <w:r w:rsidRPr="003D3765">
        <w:rPr>
          <w:rFonts w:ascii="Times New Roman" w:hAnsi="Times New Roman" w:cs="Times New Roman"/>
          <w:sz w:val="24"/>
          <w:szCs w:val="24"/>
          <w:u w:val="single"/>
        </w:rPr>
        <w:t xml:space="preserve">P </w:t>
      </w:r>
      <w:proofErr w:type="spellStart"/>
      <w:r w:rsidRPr="003D3765">
        <w:rPr>
          <w:rFonts w:ascii="Times New Roman" w:hAnsi="Times New Roman" w:cs="Times New Roman"/>
          <w:sz w:val="24"/>
          <w:szCs w:val="24"/>
          <w:u w:val="single"/>
        </w:rPr>
        <w:t>Mavhondo</w:t>
      </w:r>
      <w:proofErr w:type="spellEnd"/>
      <w:r>
        <w:rPr>
          <w:rFonts w:ascii="Times New Roman" w:hAnsi="Times New Roman" w:cs="Times New Roman"/>
          <w:sz w:val="24"/>
          <w:szCs w:val="24"/>
        </w:rPr>
        <w:t xml:space="preserve"> and the lecturers were represented by a legal practitioner named </w:t>
      </w:r>
      <w:r w:rsidRPr="003D3765">
        <w:rPr>
          <w:rFonts w:ascii="Times New Roman" w:hAnsi="Times New Roman" w:cs="Times New Roman"/>
          <w:sz w:val="24"/>
          <w:szCs w:val="24"/>
          <w:u w:val="single"/>
        </w:rPr>
        <w:t xml:space="preserve">Walter </w:t>
      </w:r>
      <w:proofErr w:type="spellStart"/>
      <w:r w:rsidRPr="003D3765">
        <w:rPr>
          <w:rFonts w:ascii="Times New Roman" w:hAnsi="Times New Roman" w:cs="Times New Roman"/>
          <w:sz w:val="24"/>
          <w:szCs w:val="24"/>
          <w:u w:val="single"/>
        </w:rPr>
        <w:t>Chikanda</w:t>
      </w:r>
      <w:proofErr w:type="spellEnd"/>
      <w:r>
        <w:rPr>
          <w:rFonts w:ascii="Times New Roman" w:hAnsi="Times New Roman" w:cs="Times New Roman"/>
          <w:sz w:val="24"/>
          <w:szCs w:val="24"/>
        </w:rPr>
        <w:t>.</w:t>
      </w:r>
      <w:r w:rsidR="002969AE">
        <w:rPr>
          <w:rFonts w:ascii="Times New Roman" w:hAnsi="Times New Roman" w:cs="Times New Roman"/>
          <w:sz w:val="24"/>
          <w:szCs w:val="24"/>
        </w:rPr>
        <w:t xml:space="preserve"> Apart from the Principal of the College, other witnesses also testified. At </w:t>
      </w:r>
      <w:proofErr w:type="spellStart"/>
      <w:r w:rsidR="002969AE">
        <w:rPr>
          <w:rFonts w:ascii="Times New Roman" w:hAnsi="Times New Roman" w:cs="Times New Roman"/>
          <w:sz w:val="24"/>
          <w:szCs w:val="24"/>
        </w:rPr>
        <w:t>Morgester</w:t>
      </w:r>
      <w:proofErr w:type="spellEnd"/>
      <w:r w:rsidR="002969AE">
        <w:rPr>
          <w:rFonts w:ascii="Times New Roman" w:hAnsi="Times New Roman" w:cs="Times New Roman"/>
          <w:sz w:val="24"/>
          <w:szCs w:val="24"/>
        </w:rPr>
        <w:t xml:space="preserve"> Teachers’ College, the hearings were chaired by </w:t>
      </w:r>
      <w:r w:rsidR="002969AE" w:rsidRPr="002969AE">
        <w:rPr>
          <w:rFonts w:ascii="Times New Roman" w:hAnsi="Times New Roman" w:cs="Times New Roman"/>
          <w:sz w:val="24"/>
          <w:szCs w:val="24"/>
          <w:u w:val="single"/>
        </w:rPr>
        <w:t>I</w:t>
      </w:r>
      <w:r w:rsidR="002969AE">
        <w:rPr>
          <w:rFonts w:ascii="Times New Roman" w:hAnsi="Times New Roman" w:cs="Times New Roman"/>
          <w:sz w:val="24"/>
          <w:szCs w:val="24"/>
          <w:u w:val="single"/>
        </w:rPr>
        <w:t xml:space="preserve"> </w:t>
      </w:r>
      <w:r w:rsidR="002969AE" w:rsidRPr="002969AE">
        <w:rPr>
          <w:rFonts w:ascii="Times New Roman" w:hAnsi="Times New Roman" w:cs="Times New Roman"/>
          <w:sz w:val="24"/>
          <w:szCs w:val="24"/>
          <w:u w:val="single"/>
        </w:rPr>
        <w:t xml:space="preserve">N </w:t>
      </w:r>
      <w:proofErr w:type="spellStart"/>
      <w:r w:rsidR="002969AE" w:rsidRPr="002969AE">
        <w:rPr>
          <w:rFonts w:ascii="Times New Roman" w:hAnsi="Times New Roman" w:cs="Times New Roman"/>
          <w:sz w:val="24"/>
          <w:szCs w:val="24"/>
          <w:u w:val="single"/>
        </w:rPr>
        <w:t>Kajengo</w:t>
      </w:r>
      <w:proofErr w:type="spellEnd"/>
      <w:r w:rsidR="002969AE">
        <w:rPr>
          <w:rFonts w:ascii="Times New Roman" w:hAnsi="Times New Roman" w:cs="Times New Roman"/>
          <w:sz w:val="24"/>
          <w:szCs w:val="24"/>
        </w:rPr>
        <w:t xml:space="preserve"> and again Mr </w:t>
      </w:r>
      <w:r w:rsidR="002969AE" w:rsidRPr="002969AE">
        <w:rPr>
          <w:rFonts w:ascii="Times New Roman" w:hAnsi="Times New Roman" w:cs="Times New Roman"/>
          <w:sz w:val="24"/>
          <w:szCs w:val="24"/>
          <w:u w:val="single"/>
        </w:rPr>
        <w:t xml:space="preserve">Walter </w:t>
      </w:r>
      <w:proofErr w:type="spellStart"/>
      <w:r w:rsidR="002969AE" w:rsidRPr="002969AE">
        <w:rPr>
          <w:rFonts w:ascii="Times New Roman" w:hAnsi="Times New Roman" w:cs="Times New Roman"/>
          <w:sz w:val="24"/>
          <w:szCs w:val="24"/>
          <w:u w:val="single"/>
        </w:rPr>
        <w:t>Chikanda</w:t>
      </w:r>
      <w:proofErr w:type="spellEnd"/>
      <w:r>
        <w:rPr>
          <w:rFonts w:ascii="Times New Roman" w:hAnsi="Times New Roman" w:cs="Times New Roman"/>
          <w:sz w:val="24"/>
          <w:szCs w:val="24"/>
        </w:rPr>
        <w:t xml:space="preserve"> </w:t>
      </w:r>
      <w:r w:rsidR="002969AE">
        <w:rPr>
          <w:rFonts w:ascii="Times New Roman" w:hAnsi="Times New Roman" w:cs="Times New Roman"/>
          <w:sz w:val="24"/>
          <w:szCs w:val="24"/>
        </w:rPr>
        <w:t xml:space="preserve">represented the College lecturers. The Principal and the Vice Principal were called as witnesses. In respect of </w:t>
      </w:r>
      <w:proofErr w:type="spellStart"/>
      <w:r w:rsidR="002969AE">
        <w:rPr>
          <w:rFonts w:ascii="Times New Roman" w:hAnsi="Times New Roman" w:cs="Times New Roman"/>
          <w:sz w:val="24"/>
          <w:szCs w:val="24"/>
        </w:rPr>
        <w:t>Bondolfi</w:t>
      </w:r>
      <w:proofErr w:type="spellEnd"/>
      <w:r w:rsidR="002969AE">
        <w:rPr>
          <w:rFonts w:ascii="Times New Roman" w:hAnsi="Times New Roman" w:cs="Times New Roman"/>
          <w:sz w:val="24"/>
          <w:szCs w:val="24"/>
        </w:rPr>
        <w:t xml:space="preserve"> Teachers’</w:t>
      </w:r>
      <w:r w:rsidR="0075635D">
        <w:rPr>
          <w:rFonts w:ascii="Times New Roman" w:hAnsi="Times New Roman" w:cs="Times New Roman"/>
          <w:sz w:val="24"/>
          <w:szCs w:val="24"/>
        </w:rPr>
        <w:t xml:space="preserve"> </w:t>
      </w:r>
      <w:r w:rsidR="002969AE">
        <w:rPr>
          <w:rFonts w:ascii="Times New Roman" w:hAnsi="Times New Roman" w:cs="Times New Roman"/>
          <w:sz w:val="24"/>
          <w:szCs w:val="24"/>
        </w:rPr>
        <w:t xml:space="preserve">College, Mr F T </w:t>
      </w:r>
      <w:proofErr w:type="spellStart"/>
      <w:r w:rsidR="002969AE">
        <w:rPr>
          <w:rFonts w:ascii="Times New Roman" w:hAnsi="Times New Roman" w:cs="Times New Roman"/>
          <w:sz w:val="24"/>
          <w:szCs w:val="24"/>
        </w:rPr>
        <w:t>Kanyowa</w:t>
      </w:r>
      <w:proofErr w:type="spellEnd"/>
      <w:r w:rsidR="002969AE">
        <w:rPr>
          <w:rFonts w:ascii="Times New Roman" w:hAnsi="Times New Roman" w:cs="Times New Roman"/>
          <w:sz w:val="24"/>
          <w:szCs w:val="24"/>
        </w:rPr>
        <w:t xml:space="preserve"> chaired the hearings with Mr </w:t>
      </w:r>
      <w:r w:rsidR="002969AE" w:rsidRPr="00E4438C">
        <w:rPr>
          <w:rFonts w:ascii="Times New Roman" w:hAnsi="Times New Roman" w:cs="Times New Roman"/>
          <w:sz w:val="24"/>
          <w:szCs w:val="24"/>
          <w:u w:val="single"/>
        </w:rPr>
        <w:t xml:space="preserve">Walter </w:t>
      </w:r>
      <w:proofErr w:type="spellStart"/>
      <w:r w:rsidR="002969AE" w:rsidRPr="00E4438C">
        <w:rPr>
          <w:rFonts w:ascii="Times New Roman" w:hAnsi="Times New Roman" w:cs="Times New Roman"/>
          <w:sz w:val="24"/>
          <w:szCs w:val="24"/>
          <w:u w:val="single"/>
        </w:rPr>
        <w:t>Chikanda</w:t>
      </w:r>
      <w:proofErr w:type="spellEnd"/>
      <w:r w:rsidR="002969AE">
        <w:rPr>
          <w:rFonts w:ascii="Times New Roman" w:hAnsi="Times New Roman" w:cs="Times New Roman"/>
          <w:sz w:val="24"/>
          <w:szCs w:val="24"/>
        </w:rPr>
        <w:t xml:space="preserve"> representing </w:t>
      </w:r>
      <w:r w:rsidR="00FC47C2">
        <w:rPr>
          <w:rFonts w:ascii="Times New Roman" w:hAnsi="Times New Roman" w:cs="Times New Roman"/>
          <w:sz w:val="24"/>
          <w:szCs w:val="24"/>
        </w:rPr>
        <w:t>t</w:t>
      </w:r>
      <w:r w:rsidR="002969AE">
        <w:rPr>
          <w:rFonts w:ascii="Times New Roman" w:hAnsi="Times New Roman" w:cs="Times New Roman"/>
          <w:sz w:val="24"/>
          <w:szCs w:val="24"/>
        </w:rPr>
        <w:t>he College lecturers and the Acting Principal</w:t>
      </w:r>
      <w:r w:rsidR="00E4438C">
        <w:rPr>
          <w:rFonts w:ascii="Times New Roman" w:hAnsi="Times New Roman" w:cs="Times New Roman"/>
          <w:sz w:val="24"/>
          <w:szCs w:val="24"/>
        </w:rPr>
        <w:t xml:space="preserve"> was called to testify. At </w:t>
      </w:r>
      <w:proofErr w:type="spellStart"/>
      <w:r w:rsidR="00E4438C">
        <w:rPr>
          <w:rFonts w:ascii="Times New Roman" w:hAnsi="Times New Roman" w:cs="Times New Roman"/>
          <w:sz w:val="24"/>
          <w:szCs w:val="24"/>
        </w:rPr>
        <w:t>Masvingo</w:t>
      </w:r>
      <w:proofErr w:type="spellEnd"/>
      <w:r w:rsidR="00E4438C">
        <w:rPr>
          <w:rFonts w:ascii="Times New Roman" w:hAnsi="Times New Roman" w:cs="Times New Roman"/>
          <w:sz w:val="24"/>
          <w:szCs w:val="24"/>
        </w:rPr>
        <w:t xml:space="preserve"> Teachers’ College, Mr G.M. </w:t>
      </w:r>
      <w:proofErr w:type="spellStart"/>
      <w:r w:rsidR="00E4438C">
        <w:rPr>
          <w:rFonts w:ascii="Times New Roman" w:hAnsi="Times New Roman" w:cs="Times New Roman"/>
          <w:sz w:val="24"/>
          <w:szCs w:val="24"/>
        </w:rPr>
        <w:t>Chabururuka</w:t>
      </w:r>
      <w:proofErr w:type="spellEnd"/>
      <w:r w:rsidR="00E4438C">
        <w:rPr>
          <w:rFonts w:ascii="Times New Roman" w:hAnsi="Times New Roman" w:cs="Times New Roman"/>
          <w:sz w:val="24"/>
          <w:szCs w:val="24"/>
        </w:rPr>
        <w:t xml:space="preserve"> chaired the hearings with Mr </w:t>
      </w:r>
      <w:r w:rsidR="00E4438C" w:rsidRPr="00E4438C">
        <w:rPr>
          <w:rFonts w:ascii="Times New Roman" w:hAnsi="Times New Roman" w:cs="Times New Roman"/>
          <w:sz w:val="24"/>
          <w:szCs w:val="24"/>
          <w:u w:val="single"/>
        </w:rPr>
        <w:t xml:space="preserve">Walter </w:t>
      </w:r>
      <w:proofErr w:type="spellStart"/>
      <w:r w:rsidR="00E4438C" w:rsidRPr="00E4438C">
        <w:rPr>
          <w:rFonts w:ascii="Times New Roman" w:hAnsi="Times New Roman" w:cs="Times New Roman"/>
          <w:sz w:val="24"/>
          <w:szCs w:val="24"/>
          <w:u w:val="single"/>
        </w:rPr>
        <w:t>Chikanda</w:t>
      </w:r>
      <w:proofErr w:type="spellEnd"/>
      <w:r w:rsidR="00E4438C">
        <w:rPr>
          <w:rFonts w:ascii="Times New Roman" w:hAnsi="Times New Roman" w:cs="Times New Roman"/>
          <w:sz w:val="24"/>
          <w:szCs w:val="24"/>
        </w:rPr>
        <w:t xml:space="preserve"> representing the college lecturers. The Principal, Mr </w:t>
      </w:r>
      <w:proofErr w:type="spellStart"/>
      <w:r w:rsidR="00E4438C">
        <w:rPr>
          <w:rFonts w:ascii="Times New Roman" w:hAnsi="Times New Roman" w:cs="Times New Roman"/>
          <w:sz w:val="24"/>
          <w:szCs w:val="24"/>
        </w:rPr>
        <w:t>Masarira</w:t>
      </w:r>
      <w:proofErr w:type="spellEnd"/>
      <w:r w:rsidR="00E4438C">
        <w:rPr>
          <w:rFonts w:ascii="Times New Roman" w:hAnsi="Times New Roman" w:cs="Times New Roman"/>
          <w:sz w:val="24"/>
          <w:szCs w:val="24"/>
        </w:rPr>
        <w:t xml:space="preserve"> was called to testify during the hearings.</w:t>
      </w:r>
    </w:p>
    <w:p w:rsidR="0075635D" w:rsidRDefault="00E4438C"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record shows one common thread to the hearings. This was that members of COLLEGE LECTURERS ASSOCIATION OF ZIMBABWE (COLAZ) approached the Principals of their respective institutions with a Memorandum informing the said Principals of the impending “sit-in” by members of the association. The evidence which is common to all the hearings is that following the presentation of this Memorandum, the </w:t>
      </w:r>
      <w:r>
        <w:rPr>
          <w:rFonts w:ascii="Times New Roman" w:hAnsi="Times New Roman" w:cs="Times New Roman"/>
          <w:sz w:val="24"/>
          <w:szCs w:val="24"/>
        </w:rPr>
        <w:lastRenderedPageBreak/>
        <w:t xml:space="preserve">College lecturers did not attend to their duties. The court also noted that the evidence of the Principals and Acting Principals was basically similar in respect of the respective hearings. Principals gave evidence to the effect that no lectures were conducted during the period in question. In certain instances, scheduled programmes had to be postponed because of the “sit-in”. An example was an RBM workshop which was scheduled to be held at </w:t>
      </w:r>
      <w:proofErr w:type="spellStart"/>
      <w:r>
        <w:rPr>
          <w:rFonts w:ascii="Times New Roman" w:hAnsi="Times New Roman" w:cs="Times New Roman"/>
          <w:sz w:val="24"/>
          <w:szCs w:val="24"/>
        </w:rPr>
        <w:t>Bondolfi</w:t>
      </w:r>
      <w:proofErr w:type="spellEnd"/>
      <w:r>
        <w:rPr>
          <w:rFonts w:ascii="Times New Roman" w:hAnsi="Times New Roman" w:cs="Times New Roman"/>
          <w:sz w:val="24"/>
          <w:szCs w:val="24"/>
        </w:rPr>
        <w:t xml:space="preserve"> Teachers’ College. This had to be cancelled as the college lecture</w:t>
      </w:r>
      <w:r w:rsidR="0075635D">
        <w:rPr>
          <w:rFonts w:ascii="Times New Roman" w:hAnsi="Times New Roman" w:cs="Times New Roman"/>
          <w:sz w:val="24"/>
          <w:szCs w:val="24"/>
        </w:rPr>
        <w:t>rs stated that they would not participate because of the “sit-in”. At page 134 of the record the acting Principal states that the conveners of the RBM workshop tried to convince the college lecturers to attend the workshop, but they refused.</w:t>
      </w:r>
    </w:p>
    <w:p w:rsidR="00A15A57" w:rsidRDefault="0075635D"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that arises is whether the hearing officers were entitled to convict on the </w:t>
      </w:r>
      <w:r w:rsidR="00422D25">
        <w:rPr>
          <w:rFonts w:ascii="Times New Roman" w:hAnsi="Times New Roman" w:cs="Times New Roman"/>
          <w:sz w:val="24"/>
          <w:szCs w:val="24"/>
        </w:rPr>
        <w:t xml:space="preserve">basis of the evidence adduced. It is also a </w:t>
      </w:r>
      <w:r w:rsidR="00A15A57">
        <w:rPr>
          <w:rFonts w:ascii="Times New Roman" w:hAnsi="Times New Roman" w:cs="Times New Roman"/>
          <w:sz w:val="24"/>
          <w:szCs w:val="24"/>
        </w:rPr>
        <w:t xml:space="preserve">truism that the applicants should demonstrate that the decision arrived at was so irrational that a reasonable panel exercising its mind would not have arrived at such a decision. The respondents were bound to prove the cases on a balance of probability. What is a balance of probability? Courts have occasionally had to point out that evidence does not have to be accepted merely because it is un-contradicted. What </w:t>
      </w:r>
      <w:proofErr w:type="gramStart"/>
      <w:r w:rsidR="00A15A57">
        <w:rPr>
          <w:rFonts w:ascii="Times New Roman" w:hAnsi="Times New Roman" w:cs="Times New Roman"/>
          <w:sz w:val="24"/>
          <w:szCs w:val="24"/>
        </w:rPr>
        <w:t>is</w:t>
      </w:r>
      <w:proofErr w:type="gramEnd"/>
      <w:r w:rsidR="00A15A57">
        <w:rPr>
          <w:rFonts w:ascii="Times New Roman" w:hAnsi="Times New Roman" w:cs="Times New Roman"/>
          <w:sz w:val="24"/>
          <w:szCs w:val="24"/>
        </w:rPr>
        <w:t xml:space="preserve"> being weighed on the “balance” is not quantities of evidence</w:t>
      </w:r>
      <w:r>
        <w:rPr>
          <w:rFonts w:ascii="Times New Roman" w:hAnsi="Times New Roman" w:cs="Times New Roman"/>
          <w:sz w:val="24"/>
          <w:szCs w:val="24"/>
        </w:rPr>
        <w:t xml:space="preserve"> </w:t>
      </w:r>
      <w:r w:rsidR="00A15A57">
        <w:rPr>
          <w:rFonts w:ascii="Times New Roman" w:hAnsi="Times New Roman" w:cs="Times New Roman"/>
          <w:sz w:val="24"/>
          <w:szCs w:val="24"/>
        </w:rPr>
        <w:t xml:space="preserve">but he probabilities arising from that evidence and all the circumstances of the case. KOTZE JA had this to say in </w:t>
      </w:r>
      <w:r w:rsidR="00A15A57">
        <w:rPr>
          <w:rFonts w:ascii="Times New Roman" w:hAnsi="Times New Roman" w:cs="Times New Roman"/>
          <w:i/>
          <w:sz w:val="24"/>
          <w:szCs w:val="24"/>
        </w:rPr>
        <w:t>West Rand Estates Limited</w:t>
      </w:r>
      <w:r w:rsidR="00A15A57">
        <w:rPr>
          <w:rFonts w:ascii="Times New Roman" w:hAnsi="Times New Roman" w:cs="Times New Roman"/>
          <w:sz w:val="24"/>
          <w:szCs w:val="24"/>
        </w:rPr>
        <w:t xml:space="preserve"> v </w:t>
      </w:r>
      <w:r w:rsidR="00A15A57">
        <w:rPr>
          <w:rFonts w:ascii="Times New Roman" w:hAnsi="Times New Roman" w:cs="Times New Roman"/>
          <w:i/>
          <w:sz w:val="24"/>
          <w:szCs w:val="24"/>
        </w:rPr>
        <w:t>New Zealand Insurances Co Ltd</w:t>
      </w:r>
      <w:r w:rsidR="00A15A57">
        <w:rPr>
          <w:rFonts w:ascii="Times New Roman" w:hAnsi="Times New Roman" w:cs="Times New Roman"/>
          <w:sz w:val="24"/>
          <w:szCs w:val="24"/>
        </w:rPr>
        <w:t xml:space="preserve"> 1925 AD 245 at 263:</w:t>
      </w:r>
    </w:p>
    <w:p w:rsidR="00A15A57" w:rsidRDefault="00A15A57" w:rsidP="001158E7">
      <w:pPr>
        <w:spacing w:after="0" w:line="240" w:lineRule="auto"/>
        <w:jc w:val="both"/>
        <w:rPr>
          <w:rFonts w:ascii="Times New Roman" w:hAnsi="Times New Roman" w:cs="Times New Roman"/>
          <w:sz w:val="24"/>
          <w:szCs w:val="24"/>
        </w:rPr>
      </w:pPr>
    </w:p>
    <w:p w:rsidR="00A15A57" w:rsidRDefault="00A15A57" w:rsidP="001158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a mere conjecture or slight probability that will suffice. The probability must be of sufficient force to raise a reasonable presumption in favour of the party who relies on it. It must be of sufficient weight to throw the </w:t>
      </w:r>
      <w:r>
        <w:rPr>
          <w:rFonts w:ascii="Times New Roman" w:hAnsi="Times New Roman" w:cs="Times New Roman"/>
          <w:i/>
          <w:sz w:val="24"/>
          <w:szCs w:val="24"/>
        </w:rPr>
        <w:t>onus</w:t>
      </w:r>
      <w:r>
        <w:rPr>
          <w:rFonts w:ascii="Times New Roman" w:hAnsi="Times New Roman" w:cs="Times New Roman"/>
          <w:sz w:val="24"/>
          <w:szCs w:val="24"/>
        </w:rPr>
        <w:t xml:space="preserve"> on the other side to rebut it.”</w:t>
      </w:r>
    </w:p>
    <w:p w:rsidR="00A15A57" w:rsidRDefault="00A15A57" w:rsidP="007950DB">
      <w:pPr>
        <w:spacing w:after="0" w:line="240" w:lineRule="auto"/>
        <w:jc w:val="both"/>
        <w:rPr>
          <w:rFonts w:ascii="Times New Roman" w:hAnsi="Times New Roman" w:cs="Times New Roman"/>
          <w:sz w:val="24"/>
          <w:szCs w:val="24"/>
        </w:rPr>
      </w:pPr>
    </w:p>
    <w:p w:rsidR="00A15A57" w:rsidRDefault="00A15A57"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alluded to the fact that all the heads of the Teachers’ Colleges concerned were se</w:t>
      </w:r>
      <w:r w:rsidR="00FC47C2">
        <w:rPr>
          <w:rFonts w:ascii="Times New Roman" w:hAnsi="Times New Roman" w:cs="Times New Roman"/>
          <w:sz w:val="24"/>
          <w:szCs w:val="24"/>
        </w:rPr>
        <w:t>rv</w:t>
      </w:r>
      <w:r>
        <w:rPr>
          <w:rFonts w:ascii="Times New Roman" w:hAnsi="Times New Roman" w:cs="Times New Roman"/>
          <w:sz w:val="24"/>
          <w:szCs w:val="24"/>
        </w:rPr>
        <w:t xml:space="preserve">ed with a Memorandum that members of COLAZ were going to embark on a “sit-in”. The same </w:t>
      </w:r>
      <w:r w:rsidR="009A294F">
        <w:rPr>
          <w:rFonts w:ascii="Times New Roman" w:hAnsi="Times New Roman" w:cs="Times New Roman"/>
          <w:sz w:val="24"/>
          <w:szCs w:val="24"/>
        </w:rPr>
        <w:t>Principals gave evidence during the disciplinary hearings that following that notice from COLAZ, no lecturers were conducted. Evidence was also given by the Principals of their personal involvement in discussions with the applicants concerning the “sit-in” they were engaged in. There were no denials by the applicants that the Principals were se</w:t>
      </w:r>
      <w:r w:rsidR="00FC47C2">
        <w:rPr>
          <w:rFonts w:ascii="Times New Roman" w:hAnsi="Times New Roman" w:cs="Times New Roman"/>
          <w:sz w:val="24"/>
          <w:szCs w:val="24"/>
        </w:rPr>
        <w:t>rv</w:t>
      </w:r>
      <w:r w:rsidR="009A294F">
        <w:rPr>
          <w:rFonts w:ascii="Times New Roman" w:hAnsi="Times New Roman" w:cs="Times New Roman"/>
          <w:sz w:val="24"/>
          <w:szCs w:val="24"/>
        </w:rPr>
        <w:t xml:space="preserve">ed with the notice of “sit-in”. Can it be said that the </w:t>
      </w:r>
      <w:r w:rsidR="001158E7">
        <w:rPr>
          <w:rFonts w:ascii="Times New Roman" w:hAnsi="Times New Roman" w:cs="Times New Roman"/>
          <w:sz w:val="24"/>
          <w:szCs w:val="24"/>
        </w:rPr>
        <w:t>decisions of the hearing committees were</w:t>
      </w:r>
      <w:r w:rsidR="009A294F">
        <w:rPr>
          <w:rFonts w:ascii="Times New Roman" w:hAnsi="Times New Roman" w:cs="Times New Roman"/>
          <w:sz w:val="24"/>
          <w:szCs w:val="24"/>
        </w:rPr>
        <w:t xml:space="preserve"> irrational in the circumstances? I think not. It is my view that the events and the evidence showed a clear intention by the applicants to engage in a “sit-in”. It is trite that an appellate court can only </w:t>
      </w:r>
      <w:proofErr w:type="spellStart"/>
      <w:r w:rsidR="009A294F">
        <w:rPr>
          <w:rFonts w:ascii="Times New Roman" w:hAnsi="Times New Roman" w:cs="Times New Roman"/>
          <w:sz w:val="24"/>
          <w:szCs w:val="24"/>
        </w:rPr>
        <w:t>interfer</w:t>
      </w:r>
      <w:proofErr w:type="spellEnd"/>
      <w:r w:rsidR="009A294F">
        <w:rPr>
          <w:rFonts w:ascii="Times New Roman" w:hAnsi="Times New Roman" w:cs="Times New Roman"/>
          <w:sz w:val="24"/>
          <w:szCs w:val="24"/>
        </w:rPr>
        <w:t xml:space="preserve"> with the decision of a lower court or tribunal where there </w:t>
      </w:r>
      <w:r w:rsidR="009A294F">
        <w:rPr>
          <w:rFonts w:ascii="Times New Roman" w:hAnsi="Times New Roman" w:cs="Times New Roman"/>
          <w:sz w:val="24"/>
          <w:szCs w:val="24"/>
        </w:rPr>
        <w:lastRenderedPageBreak/>
        <w:t xml:space="preserve">is evidence of a gross misdirection on the part of the lower court or tribunal. In </w:t>
      </w:r>
      <w:r w:rsidR="009A294F">
        <w:rPr>
          <w:rFonts w:ascii="Times New Roman" w:hAnsi="Times New Roman" w:cs="Times New Roman"/>
          <w:i/>
          <w:sz w:val="24"/>
          <w:szCs w:val="24"/>
        </w:rPr>
        <w:t xml:space="preserve">Barros &amp; </w:t>
      </w:r>
      <w:proofErr w:type="spellStart"/>
      <w:r w:rsidR="009A294F">
        <w:rPr>
          <w:rFonts w:ascii="Times New Roman" w:hAnsi="Times New Roman" w:cs="Times New Roman"/>
          <w:i/>
          <w:sz w:val="24"/>
          <w:szCs w:val="24"/>
        </w:rPr>
        <w:t>Anor</w:t>
      </w:r>
      <w:proofErr w:type="spellEnd"/>
      <w:r w:rsidR="009A294F">
        <w:rPr>
          <w:rFonts w:ascii="Times New Roman" w:hAnsi="Times New Roman" w:cs="Times New Roman"/>
          <w:sz w:val="24"/>
          <w:szCs w:val="24"/>
        </w:rPr>
        <w:t xml:space="preserve"> v </w:t>
      </w:r>
      <w:proofErr w:type="spellStart"/>
      <w:r w:rsidR="009A294F">
        <w:rPr>
          <w:rFonts w:ascii="Times New Roman" w:hAnsi="Times New Roman" w:cs="Times New Roman"/>
          <w:i/>
          <w:sz w:val="24"/>
          <w:szCs w:val="24"/>
        </w:rPr>
        <w:t>Chimpondah</w:t>
      </w:r>
      <w:proofErr w:type="spellEnd"/>
      <w:r w:rsidR="009A294F">
        <w:rPr>
          <w:rFonts w:ascii="Times New Roman" w:hAnsi="Times New Roman" w:cs="Times New Roman"/>
          <w:sz w:val="24"/>
          <w:szCs w:val="24"/>
        </w:rPr>
        <w:t xml:space="preserve"> 1999 (1) ZLR 58 (S) GUBBAY CJ (as he then was) had this to say:  </w:t>
      </w:r>
    </w:p>
    <w:p w:rsidR="009A294F" w:rsidRDefault="009A294F" w:rsidP="001158E7">
      <w:pPr>
        <w:spacing w:after="0" w:line="240" w:lineRule="auto"/>
        <w:jc w:val="both"/>
        <w:rPr>
          <w:rFonts w:ascii="Times New Roman" w:hAnsi="Times New Roman" w:cs="Times New Roman"/>
          <w:sz w:val="24"/>
          <w:szCs w:val="24"/>
        </w:rPr>
      </w:pPr>
    </w:p>
    <w:p w:rsidR="009A294F" w:rsidRDefault="009A294F" w:rsidP="001158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“These grounds are firmly entrenched. It is not enough that the appellate court considers that if it had been in the position of the primary court it would have taken a different course. It must appear that some error has been made in exercising the discretion.”</w:t>
      </w:r>
    </w:p>
    <w:p w:rsidR="009A294F" w:rsidRDefault="009A294F" w:rsidP="001158E7">
      <w:pPr>
        <w:spacing w:after="0" w:line="240" w:lineRule="auto"/>
        <w:jc w:val="both"/>
        <w:rPr>
          <w:rFonts w:ascii="Times New Roman" w:hAnsi="Times New Roman" w:cs="Times New Roman"/>
          <w:sz w:val="24"/>
          <w:szCs w:val="24"/>
        </w:rPr>
      </w:pPr>
    </w:p>
    <w:p w:rsidR="009A294F" w:rsidRDefault="009A294F"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the decisions of the hearing committees are unassailable. In fact the applicants have not demonstrated that the decisions arrived at are irrational.</w:t>
      </w:r>
    </w:p>
    <w:p w:rsidR="00DB6627" w:rsidRDefault="009A294F"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to a matter raised by the applicants’</w:t>
      </w:r>
      <w:r w:rsidR="00FC47C2">
        <w:rPr>
          <w:rFonts w:ascii="Times New Roman" w:hAnsi="Times New Roman" w:cs="Times New Roman"/>
          <w:sz w:val="24"/>
          <w:szCs w:val="24"/>
        </w:rPr>
        <w:t xml:space="preserve"> C</w:t>
      </w:r>
      <w:r>
        <w:rPr>
          <w:rFonts w:ascii="Times New Roman" w:hAnsi="Times New Roman" w:cs="Times New Roman"/>
          <w:sz w:val="24"/>
          <w:szCs w:val="24"/>
        </w:rPr>
        <w:t>ounsel that the respondents shifted the burden of proof to the applicants. To this end, the court was referred to sections of the record where individual applicants were asked to prove that they had actually done the work they had purported to do. The applicants’</w:t>
      </w:r>
      <w:r w:rsidR="00DB6627">
        <w:rPr>
          <w:rFonts w:ascii="Times New Roman" w:hAnsi="Times New Roman" w:cs="Times New Roman"/>
          <w:sz w:val="24"/>
          <w:szCs w:val="24"/>
        </w:rPr>
        <w:t xml:space="preserve"> </w:t>
      </w:r>
      <w:r>
        <w:rPr>
          <w:rFonts w:ascii="Times New Roman" w:hAnsi="Times New Roman" w:cs="Times New Roman"/>
          <w:sz w:val="24"/>
          <w:szCs w:val="24"/>
        </w:rPr>
        <w:t>counsel lost sight of the fact</w:t>
      </w:r>
      <w:r w:rsidR="00DB6627">
        <w:rPr>
          <w:rFonts w:ascii="Times New Roman" w:hAnsi="Times New Roman" w:cs="Times New Roman"/>
          <w:sz w:val="24"/>
          <w:szCs w:val="24"/>
        </w:rPr>
        <w:t xml:space="preserve"> that in all the hearings the Principals had given evidence first showing that a particular</w:t>
      </w:r>
      <w:r w:rsidR="00FC47C2">
        <w:rPr>
          <w:rFonts w:ascii="Times New Roman" w:hAnsi="Times New Roman" w:cs="Times New Roman"/>
          <w:sz w:val="24"/>
          <w:szCs w:val="24"/>
        </w:rPr>
        <w:t xml:space="preserve"> applicant</w:t>
      </w:r>
      <w:r w:rsidR="00DB6627">
        <w:rPr>
          <w:rFonts w:ascii="Times New Roman" w:hAnsi="Times New Roman" w:cs="Times New Roman"/>
          <w:sz w:val="24"/>
          <w:szCs w:val="24"/>
        </w:rPr>
        <w:t xml:space="preserve"> had not performed the requisite duties on a particular day. It was </w:t>
      </w:r>
      <w:r w:rsidR="00DB6627" w:rsidRPr="00DB6627">
        <w:rPr>
          <w:rFonts w:ascii="Times New Roman" w:hAnsi="Times New Roman" w:cs="Times New Roman"/>
          <w:sz w:val="24"/>
          <w:szCs w:val="24"/>
          <w:u w:val="single"/>
        </w:rPr>
        <w:t xml:space="preserve">after </w:t>
      </w:r>
      <w:r w:rsidR="00DB6627">
        <w:rPr>
          <w:rFonts w:ascii="Times New Roman" w:hAnsi="Times New Roman" w:cs="Times New Roman"/>
          <w:sz w:val="24"/>
          <w:szCs w:val="24"/>
        </w:rPr>
        <w:t xml:space="preserve">the evidence of the Principals that these applicants had alleged that they had performed certain tasks. The hearing committees then asked them to “prove” such evidence. In short, the hearing committees were asking these applicants to provide evidence controverting the evidence given by the Principals. In other words, they were asked to provide proof and not merely make allegations without any foundation. This did not amount to shifting the burden of proof. As stated in the </w:t>
      </w:r>
      <w:r w:rsidR="00DB6627">
        <w:rPr>
          <w:rFonts w:ascii="Times New Roman" w:hAnsi="Times New Roman" w:cs="Times New Roman"/>
          <w:i/>
          <w:sz w:val="24"/>
          <w:szCs w:val="24"/>
        </w:rPr>
        <w:t>West Rand</w:t>
      </w:r>
      <w:r w:rsidR="00DB6627">
        <w:rPr>
          <w:rFonts w:ascii="Times New Roman" w:hAnsi="Times New Roman" w:cs="Times New Roman"/>
          <w:sz w:val="24"/>
          <w:szCs w:val="24"/>
        </w:rPr>
        <w:t xml:space="preserve"> case </w:t>
      </w:r>
      <w:r w:rsidR="00DB6627">
        <w:rPr>
          <w:rFonts w:ascii="Times New Roman" w:hAnsi="Times New Roman" w:cs="Times New Roman"/>
          <w:i/>
          <w:sz w:val="24"/>
          <w:szCs w:val="24"/>
        </w:rPr>
        <w:t>supra</w:t>
      </w:r>
      <w:r w:rsidR="00DB6627">
        <w:rPr>
          <w:rFonts w:ascii="Times New Roman" w:hAnsi="Times New Roman" w:cs="Times New Roman"/>
          <w:sz w:val="24"/>
          <w:szCs w:val="24"/>
        </w:rPr>
        <w:t xml:space="preserve">, the respondents had given evidence which was of such a nature that it “threw the </w:t>
      </w:r>
      <w:r w:rsidR="00DB6627">
        <w:rPr>
          <w:rFonts w:ascii="Times New Roman" w:hAnsi="Times New Roman" w:cs="Times New Roman"/>
          <w:i/>
          <w:sz w:val="24"/>
          <w:szCs w:val="24"/>
        </w:rPr>
        <w:t>onus</w:t>
      </w:r>
      <w:r w:rsidR="00DB6627">
        <w:rPr>
          <w:rFonts w:ascii="Times New Roman" w:hAnsi="Times New Roman" w:cs="Times New Roman"/>
          <w:sz w:val="24"/>
          <w:szCs w:val="24"/>
        </w:rPr>
        <w:t xml:space="preserve"> on the other side to rebut”. The applicants were being asked to rebut the evidence given by the respondents and not that the burden of proof was shifted to the applicants.</w:t>
      </w:r>
    </w:p>
    <w:p w:rsidR="009A294F" w:rsidRDefault="00DB6627"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raised another point as regards the fact that no mitigation was recorded from the applicants. The respondents’ counsel conceded that she could not find anywhere in the record where mitigation was taken from the applicants. The applicants were given varying penalties. It is also correct that the respondents were enjoined to record aspects of mitigation from the applicants. A reading of the record shows that the applicants’ </w:t>
      </w:r>
      <w:r w:rsidR="00D3522B">
        <w:rPr>
          <w:rFonts w:ascii="Times New Roman" w:hAnsi="Times New Roman" w:cs="Times New Roman"/>
          <w:sz w:val="24"/>
          <w:szCs w:val="24"/>
        </w:rPr>
        <w:t>penalties varied</w:t>
      </w:r>
      <w:r>
        <w:rPr>
          <w:rFonts w:ascii="Times New Roman" w:hAnsi="Times New Roman" w:cs="Times New Roman"/>
          <w:sz w:val="24"/>
          <w:szCs w:val="24"/>
        </w:rPr>
        <w:t xml:space="preserve"> in severity in the amounts imposed and the others were subjected to transfers. Under the heading “Findings” the hearing committees would detail the respective member’s degree of participation and the appropriate recommendation. This shows that the hearing committees took into consideration the gravity of the offence as related to each applicant’s participation in the “sit-in”. It is also clear, that the applicants’ personal circumstances are not recorded as </w:t>
      </w:r>
      <w:r>
        <w:rPr>
          <w:rFonts w:ascii="Times New Roman" w:hAnsi="Times New Roman" w:cs="Times New Roman"/>
          <w:sz w:val="24"/>
          <w:szCs w:val="24"/>
        </w:rPr>
        <w:lastRenderedPageBreak/>
        <w:t>having been taken into account. Wh</w:t>
      </w:r>
      <w:r w:rsidR="001158E7">
        <w:rPr>
          <w:rFonts w:ascii="Times New Roman" w:hAnsi="Times New Roman" w:cs="Times New Roman"/>
          <w:sz w:val="24"/>
          <w:szCs w:val="24"/>
        </w:rPr>
        <w:t>ilst it must be admitted that the hearing committees should have recorded the personal mitigation of the applicants, can it be said that the sentences imposed on the applicants are clearly irrational taking into account the nature of the offence they were charged with? Would it be necessary at this belated stage, some four years later to know whether the existing personal circumstances (at the time) would have led to a different sentence being imposed on the applicants? In other words once it is established that the decision to find the applicants guilty was properly made, the question arises as to what justification could there be to alter the past, that is</w:t>
      </w:r>
      <w:r w:rsidR="00FC47C2">
        <w:rPr>
          <w:rFonts w:ascii="Times New Roman" w:hAnsi="Times New Roman" w:cs="Times New Roman"/>
          <w:sz w:val="24"/>
          <w:szCs w:val="24"/>
        </w:rPr>
        <w:t>,</w:t>
      </w:r>
      <w:r w:rsidR="00434786">
        <w:rPr>
          <w:rFonts w:ascii="Times New Roman" w:hAnsi="Times New Roman" w:cs="Times New Roman"/>
          <w:sz w:val="24"/>
          <w:szCs w:val="24"/>
        </w:rPr>
        <w:t xml:space="preserve"> </w:t>
      </w:r>
      <w:r w:rsidR="001158E7">
        <w:rPr>
          <w:rFonts w:ascii="Times New Roman" w:hAnsi="Times New Roman" w:cs="Times New Roman"/>
          <w:sz w:val="24"/>
          <w:szCs w:val="24"/>
        </w:rPr>
        <w:t xml:space="preserve">altering what is </w:t>
      </w:r>
      <w:r w:rsidR="001158E7">
        <w:rPr>
          <w:rFonts w:ascii="Times New Roman" w:hAnsi="Times New Roman" w:cs="Times New Roman"/>
          <w:i/>
          <w:sz w:val="24"/>
          <w:szCs w:val="24"/>
        </w:rPr>
        <w:t>judicata</w:t>
      </w:r>
      <w:r w:rsidR="001158E7">
        <w:rPr>
          <w:rFonts w:ascii="Times New Roman" w:hAnsi="Times New Roman" w:cs="Times New Roman"/>
          <w:sz w:val="24"/>
          <w:szCs w:val="24"/>
        </w:rPr>
        <w:t xml:space="preserve"> only in order to make life easier for the applicants. There should be finality in litigation and no meaningful purpose will be served in harping on the issue of unrecorded mitigation when the record clearly shows that real and substantial justice was handed down in the disciplinary hearings.</w:t>
      </w:r>
    </w:p>
    <w:p w:rsidR="001158E7" w:rsidRDefault="001158E7"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court is of the firm view that the explanation tendered in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not reasonable and thus unacceptable. There are no prospects of success on appeal.</w:t>
      </w:r>
    </w:p>
    <w:p w:rsidR="001158E7" w:rsidRDefault="001158E7" w:rsidP="001158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noting of appeal is accordingly dismissed with no order as to costs.</w:t>
      </w:r>
    </w:p>
    <w:p w:rsidR="001158E7" w:rsidRDefault="001158E7" w:rsidP="001158E7">
      <w:pPr>
        <w:spacing w:after="0" w:line="360" w:lineRule="auto"/>
        <w:jc w:val="both"/>
        <w:rPr>
          <w:rFonts w:ascii="Times New Roman" w:hAnsi="Times New Roman" w:cs="Times New Roman"/>
          <w:sz w:val="24"/>
          <w:szCs w:val="24"/>
        </w:rPr>
      </w:pPr>
    </w:p>
    <w:p w:rsidR="001158E7" w:rsidRDefault="001158E7" w:rsidP="001158E7">
      <w:pPr>
        <w:spacing w:after="0" w:line="360" w:lineRule="auto"/>
        <w:jc w:val="both"/>
        <w:rPr>
          <w:rFonts w:ascii="Times New Roman" w:hAnsi="Times New Roman" w:cs="Times New Roman"/>
          <w:sz w:val="24"/>
          <w:szCs w:val="24"/>
        </w:rPr>
      </w:pPr>
    </w:p>
    <w:p w:rsidR="001158E7" w:rsidRDefault="001158E7" w:rsidP="001158E7">
      <w:pPr>
        <w:spacing w:after="0" w:line="360" w:lineRule="auto"/>
        <w:rPr>
          <w:rFonts w:ascii="Times New Roman" w:hAnsi="Times New Roman" w:cs="Times New Roman"/>
          <w:sz w:val="24"/>
          <w:szCs w:val="24"/>
        </w:rPr>
      </w:pPr>
    </w:p>
    <w:p w:rsidR="001158E7" w:rsidRDefault="001158E7" w:rsidP="001158E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Munyaradzi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Gwisai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1158E7" w:rsidRPr="001158E7" w:rsidRDefault="001158E7" w:rsidP="001158E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3D3765" w:rsidRPr="00B15E67" w:rsidRDefault="003D3765" w:rsidP="003D376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BC2ECD" w:rsidRPr="00BC2ECD" w:rsidRDefault="00BC2ECD" w:rsidP="00BC2EC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BC2ECD" w:rsidRDefault="00BC2ECD" w:rsidP="00BC2ECD">
      <w:pPr>
        <w:spacing w:after="0" w:line="240" w:lineRule="auto"/>
        <w:rPr>
          <w:rFonts w:ascii="Times New Roman" w:hAnsi="Times New Roman" w:cs="Times New Roman"/>
          <w:sz w:val="24"/>
          <w:szCs w:val="24"/>
        </w:rPr>
      </w:pPr>
    </w:p>
    <w:p w:rsidR="00BC2ECD" w:rsidRPr="00BC2ECD" w:rsidRDefault="00BC2ECD" w:rsidP="00BC2ECD">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BC2ECD" w:rsidRPr="00BC2ECD" w:rsidSect="009A3D6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583" w:rsidRDefault="00161583" w:rsidP="00D65437">
      <w:pPr>
        <w:spacing w:after="0" w:line="240" w:lineRule="auto"/>
      </w:pPr>
      <w:r>
        <w:separator/>
      </w:r>
    </w:p>
  </w:endnote>
  <w:endnote w:type="continuationSeparator" w:id="0">
    <w:p w:rsidR="00161583" w:rsidRDefault="00161583" w:rsidP="00D6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583" w:rsidRDefault="00161583" w:rsidP="00D65437">
      <w:pPr>
        <w:spacing w:after="0" w:line="240" w:lineRule="auto"/>
      </w:pPr>
      <w:r>
        <w:separator/>
      </w:r>
    </w:p>
  </w:footnote>
  <w:footnote w:type="continuationSeparator" w:id="0">
    <w:p w:rsidR="00161583" w:rsidRDefault="00161583" w:rsidP="00D65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497975"/>
      <w:docPartObj>
        <w:docPartGallery w:val="Page Numbers (Top of Page)"/>
        <w:docPartUnique/>
      </w:docPartObj>
    </w:sdtPr>
    <w:sdtEndPr>
      <w:rPr>
        <w:noProof/>
      </w:rPr>
    </w:sdtEndPr>
    <w:sdtContent>
      <w:p w:rsidR="00D65437" w:rsidRDefault="00D65437">
        <w:pPr>
          <w:pStyle w:val="Header"/>
          <w:jc w:val="right"/>
          <w:rPr>
            <w:noProof/>
          </w:rPr>
        </w:pPr>
        <w:r>
          <w:fldChar w:fldCharType="begin"/>
        </w:r>
        <w:r>
          <w:instrText xml:space="preserve"> PAGE   \* MERGEFORMAT </w:instrText>
        </w:r>
        <w:r>
          <w:fldChar w:fldCharType="separate"/>
        </w:r>
        <w:r w:rsidR="00276272">
          <w:rPr>
            <w:noProof/>
          </w:rPr>
          <w:t>7</w:t>
        </w:r>
        <w:r>
          <w:rPr>
            <w:noProof/>
          </w:rPr>
          <w:fldChar w:fldCharType="end"/>
        </w:r>
      </w:p>
      <w:p w:rsidR="00D65437" w:rsidRDefault="00D65437">
        <w:pPr>
          <w:pStyle w:val="Header"/>
          <w:jc w:val="right"/>
          <w:rPr>
            <w:noProof/>
          </w:rPr>
        </w:pPr>
        <w:r>
          <w:rPr>
            <w:noProof/>
          </w:rPr>
          <w:t>JUDGMENT NO LC/H/</w:t>
        </w:r>
        <w:r w:rsidR="002B68BD">
          <w:rPr>
            <w:noProof/>
          </w:rPr>
          <w:t>99</w:t>
        </w:r>
        <w:r>
          <w:rPr>
            <w:noProof/>
          </w:rPr>
          <w:t>/201</w:t>
        </w:r>
        <w:r w:rsidR="002B68BD">
          <w:rPr>
            <w:noProof/>
          </w:rPr>
          <w:t>6</w:t>
        </w:r>
      </w:p>
      <w:p w:rsidR="00D65437" w:rsidRDefault="00D65437">
        <w:pPr>
          <w:pStyle w:val="Header"/>
          <w:jc w:val="right"/>
        </w:pPr>
        <w:r>
          <w:rPr>
            <w:noProof/>
          </w:rPr>
          <w:t xml:space="preserve">CASE NO </w:t>
        </w:r>
        <w:r w:rsidR="009A3D6C">
          <w:rPr>
            <w:noProof/>
          </w:rPr>
          <w:t>LC/H/APP/1345/2015</w:t>
        </w:r>
      </w:p>
    </w:sdtContent>
  </w:sdt>
  <w:p w:rsidR="00D65437" w:rsidRDefault="00D65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CD"/>
    <w:rsid w:val="001158E7"/>
    <w:rsid w:val="00161583"/>
    <w:rsid w:val="00246557"/>
    <w:rsid w:val="00276272"/>
    <w:rsid w:val="002969AE"/>
    <w:rsid w:val="002B68BD"/>
    <w:rsid w:val="003D3765"/>
    <w:rsid w:val="00422D25"/>
    <w:rsid w:val="00434786"/>
    <w:rsid w:val="004E3093"/>
    <w:rsid w:val="007544D6"/>
    <w:rsid w:val="0075635D"/>
    <w:rsid w:val="007950DB"/>
    <w:rsid w:val="00853F1C"/>
    <w:rsid w:val="008C6C54"/>
    <w:rsid w:val="00952BC1"/>
    <w:rsid w:val="009A294F"/>
    <w:rsid w:val="009A3D6C"/>
    <w:rsid w:val="009D6B4F"/>
    <w:rsid w:val="00A15A57"/>
    <w:rsid w:val="00B15E67"/>
    <w:rsid w:val="00BC2ECD"/>
    <w:rsid w:val="00BE5862"/>
    <w:rsid w:val="00D252C8"/>
    <w:rsid w:val="00D3522B"/>
    <w:rsid w:val="00D65437"/>
    <w:rsid w:val="00DB6627"/>
    <w:rsid w:val="00E1011A"/>
    <w:rsid w:val="00E4438C"/>
    <w:rsid w:val="00EB2B1E"/>
    <w:rsid w:val="00F068B6"/>
    <w:rsid w:val="00FC47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37"/>
  </w:style>
  <w:style w:type="paragraph" w:styleId="Footer">
    <w:name w:val="footer"/>
    <w:basedOn w:val="Normal"/>
    <w:link w:val="FooterChar"/>
    <w:uiPriority w:val="99"/>
    <w:unhideWhenUsed/>
    <w:rsid w:val="00D65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437"/>
  </w:style>
  <w:style w:type="paragraph" w:styleId="Footer">
    <w:name w:val="footer"/>
    <w:basedOn w:val="Normal"/>
    <w:link w:val="FooterChar"/>
    <w:uiPriority w:val="99"/>
    <w:unhideWhenUsed/>
    <w:rsid w:val="00D65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13</cp:revision>
  <cp:lastPrinted>2016-02-24T07:17:00Z</cp:lastPrinted>
  <dcterms:created xsi:type="dcterms:W3CDTF">2016-02-09T12:13:00Z</dcterms:created>
  <dcterms:modified xsi:type="dcterms:W3CDTF">2016-03-02T10:01:00Z</dcterms:modified>
</cp:coreProperties>
</file>