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42530B">
      <w:pPr>
        <w:spacing w:after="0" w:line="360" w:lineRule="auto"/>
        <w:jc w:val="both"/>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E304B8">
        <w:rPr>
          <w:rFonts w:ascii="Tahoma" w:hAnsi="Tahoma" w:cs="Tahoma"/>
          <w:b/>
          <w:sz w:val="24"/>
          <w:szCs w:val="24"/>
        </w:rPr>
        <w:t>422</w:t>
      </w:r>
      <w:r w:rsidR="00BD43C4" w:rsidRPr="00A70728">
        <w:rPr>
          <w:rFonts w:ascii="Tahoma" w:hAnsi="Tahoma" w:cs="Tahoma"/>
          <w:b/>
          <w:sz w:val="24"/>
          <w:szCs w:val="24"/>
        </w:rPr>
        <w:t>/16</w:t>
      </w:r>
    </w:p>
    <w:p w:rsidR="0011530D" w:rsidRPr="00A70728" w:rsidRDefault="0011530D" w:rsidP="0042530B">
      <w:pPr>
        <w:spacing w:after="0" w:line="360" w:lineRule="auto"/>
        <w:jc w:val="both"/>
        <w:rPr>
          <w:rFonts w:ascii="Tahoma" w:hAnsi="Tahoma" w:cs="Tahoma"/>
          <w:b/>
          <w:sz w:val="24"/>
          <w:szCs w:val="24"/>
        </w:rPr>
      </w:pPr>
      <w:r w:rsidRPr="00A70728">
        <w:rPr>
          <w:rFonts w:ascii="Tahoma" w:hAnsi="Tahoma" w:cs="Tahoma"/>
          <w:b/>
          <w:sz w:val="24"/>
          <w:szCs w:val="24"/>
        </w:rPr>
        <w:t xml:space="preserve">HELD AT HARARE ON </w:t>
      </w:r>
      <w:r w:rsidR="00E304B8">
        <w:rPr>
          <w:rFonts w:ascii="Tahoma" w:hAnsi="Tahoma" w:cs="Tahoma"/>
          <w:b/>
          <w:sz w:val="24"/>
          <w:szCs w:val="24"/>
        </w:rPr>
        <w:t>22</w:t>
      </w:r>
      <w:r w:rsidR="00E304B8" w:rsidRPr="00E304B8">
        <w:rPr>
          <w:rFonts w:ascii="Tahoma" w:hAnsi="Tahoma" w:cs="Tahoma"/>
          <w:b/>
          <w:sz w:val="24"/>
          <w:szCs w:val="24"/>
          <w:vertAlign w:val="superscript"/>
        </w:rPr>
        <w:t>ND</w:t>
      </w:r>
      <w:r w:rsidR="00E304B8">
        <w:rPr>
          <w:rFonts w:ascii="Tahoma" w:hAnsi="Tahoma" w:cs="Tahoma"/>
          <w:b/>
          <w:sz w:val="24"/>
          <w:szCs w:val="24"/>
        </w:rPr>
        <w:t xml:space="preserve"> </w:t>
      </w:r>
      <w:r w:rsidR="00772D5C">
        <w:rPr>
          <w:rFonts w:ascii="Tahoma" w:hAnsi="Tahoma" w:cs="Tahoma"/>
          <w:b/>
          <w:sz w:val="24"/>
          <w:szCs w:val="24"/>
        </w:rPr>
        <w:t>MARCH</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E304B8">
        <w:rPr>
          <w:rFonts w:ascii="Tahoma" w:hAnsi="Tahoma" w:cs="Tahoma"/>
          <w:b/>
          <w:sz w:val="24"/>
          <w:szCs w:val="24"/>
        </w:rPr>
        <w:t>713</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42530B">
      <w:pPr>
        <w:spacing w:after="0" w:line="360" w:lineRule="auto"/>
        <w:jc w:val="both"/>
        <w:rPr>
          <w:rFonts w:ascii="Tahoma" w:hAnsi="Tahoma" w:cs="Tahoma"/>
          <w:b/>
          <w:sz w:val="24"/>
          <w:szCs w:val="24"/>
        </w:rPr>
      </w:pPr>
      <w:r w:rsidRPr="00A70728">
        <w:rPr>
          <w:rFonts w:ascii="Tahoma" w:hAnsi="Tahoma" w:cs="Tahoma"/>
          <w:b/>
          <w:sz w:val="24"/>
          <w:szCs w:val="24"/>
        </w:rPr>
        <w:t xml:space="preserve">AND </w:t>
      </w:r>
      <w:r w:rsidR="006676CB">
        <w:rPr>
          <w:rFonts w:ascii="Tahoma" w:hAnsi="Tahoma" w:cs="Tahoma"/>
          <w:b/>
          <w:sz w:val="24"/>
          <w:szCs w:val="24"/>
        </w:rPr>
        <w:t>22</w:t>
      </w:r>
      <w:r w:rsidR="006676CB" w:rsidRPr="006676CB">
        <w:rPr>
          <w:rFonts w:ascii="Tahoma" w:hAnsi="Tahoma" w:cs="Tahoma"/>
          <w:b/>
          <w:sz w:val="24"/>
          <w:szCs w:val="24"/>
          <w:vertAlign w:val="superscript"/>
        </w:rPr>
        <w:t>ND</w:t>
      </w:r>
      <w:r w:rsidR="000E5A35" w:rsidRPr="00A70728">
        <w:rPr>
          <w:rFonts w:ascii="Tahoma" w:hAnsi="Tahoma" w:cs="Tahoma"/>
          <w:b/>
          <w:sz w:val="24"/>
          <w:szCs w:val="24"/>
        </w:rPr>
        <w:t xml:space="preserve"> </w:t>
      </w:r>
      <w:r w:rsidR="0078151B">
        <w:rPr>
          <w:rFonts w:ascii="Tahoma" w:hAnsi="Tahoma" w:cs="Tahoma"/>
          <w:b/>
          <w:sz w:val="24"/>
          <w:szCs w:val="24"/>
        </w:rPr>
        <w:t>JU</w:t>
      </w:r>
      <w:r w:rsidR="00772D5C">
        <w:rPr>
          <w:rFonts w:ascii="Tahoma" w:hAnsi="Tahoma" w:cs="Tahoma"/>
          <w:b/>
          <w:sz w:val="24"/>
          <w:szCs w:val="24"/>
        </w:rPr>
        <w:t>LY</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42530B">
      <w:pPr>
        <w:spacing w:after="0" w:line="360" w:lineRule="auto"/>
        <w:jc w:val="both"/>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42530B">
      <w:pPr>
        <w:spacing w:after="0" w:line="360" w:lineRule="auto"/>
        <w:jc w:val="both"/>
        <w:rPr>
          <w:rFonts w:ascii="Tahoma" w:hAnsi="Tahoma" w:cs="Tahoma"/>
          <w:sz w:val="25"/>
          <w:szCs w:val="25"/>
        </w:rPr>
      </w:pPr>
    </w:p>
    <w:p w:rsidR="0011530D" w:rsidRPr="00D95B8F" w:rsidRDefault="0011530D" w:rsidP="0042530B">
      <w:pPr>
        <w:spacing w:after="0" w:line="240" w:lineRule="auto"/>
        <w:jc w:val="both"/>
        <w:rPr>
          <w:rFonts w:ascii="Tahoma" w:hAnsi="Tahoma" w:cs="Tahoma"/>
          <w:sz w:val="25"/>
          <w:szCs w:val="25"/>
        </w:rPr>
      </w:pPr>
    </w:p>
    <w:p w:rsidR="0011530D" w:rsidRPr="00D95B8F" w:rsidRDefault="00E304B8" w:rsidP="0042530B">
      <w:pPr>
        <w:spacing w:after="0" w:line="360" w:lineRule="auto"/>
        <w:jc w:val="both"/>
        <w:rPr>
          <w:rFonts w:ascii="Tahoma" w:hAnsi="Tahoma" w:cs="Tahoma"/>
          <w:b/>
          <w:sz w:val="25"/>
          <w:szCs w:val="25"/>
        </w:rPr>
      </w:pPr>
      <w:r>
        <w:rPr>
          <w:rFonts w:ascii="Tahoma" w:hAnsi="Tahoma" w:cs="Tahoma"/>
          <w:b/>
          <w:sz w:val="25"/>
          <w:szCs w:val="25"/>
        </w:rPr>
        <w:t>CLEVER NYANHETE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42530B">
      <w:pPr>
        <w:spacing w:after="0" w:line="360" w:lineRule="auto"/>
        <w:jc w:val="both"/>
        <w:rPr>
          <w:rFonts w:ascii="Tahoma" w:hAnsi="Tahoma" w:cs="Tahoma"/>
          <w:b/>
          <w:sz w:val="25"/>
          <w:szCs w:val="25"/>
        </w:rPr>
      </w:pPr>
      <w:r w:rsidRPr="00D95B8F">
        <w:rPr>
          <w:rFonts w:ascii="Tahoma" w:hAnsi="Tahoma" w:cs="Tahoma"/>
          <w:b/>
          <w:sz w:val="25"/>
          <w:szCs w:val="25"/>
        </w:rPr>
        <w:t>And</w:t>
      </w:r>
    </w:p>
    <w:p w:rsidR="00E304B8" w:rsidRDefault="00E304B8" w:rsidP="0042530B">
      <w:pPr>
        <w:spacing w:after="0" w:line="240" w:lineRule="auto"/>
        <w:jc w:val="both"/>
        <w:rPr>
          <w:rFonts w:ascii="Tahoma" w:hAnsi="Tahoma" w:cs="Tahoma"/>
          <w:b/>
          <w:sz w:val="25"/>
          <w:szCs w:val="25"/>
        </w:rPr>
      </w:pPr>
      <w:r>
        <w:rPr>
          <w:rFonts w:ascii="Tahoma" w:hAnsi="Tahoma" w:cs="Tahoma"/>
          <w:b/>
          <w:sz w:val="25"/>
          <w:szCs w:val="25"/>
        </w:rPr>
        <w:t xml:space="preserve">NATIONAL OIL INFRASTRUCTURE </w:t>
      </w:r>
    </w:p>
    <w:p w:rsidR="0011530D" w:rsidRPr="009111D0" w:rsidRDefault="00E304B8" w:rsidP="0042530B">
      <w:pPr>
        <w:spacing w:after="0" w:line="240" w:lineRule="auto"/>
        <w:jc w:val="both"/>
        <w:rPr>
          <w:rFonts w:ascii="Tahoma" w:hAnsi="Tahoma" w:cs="Tahoma"/>
          <w:b/>
          <w:sz w:val="25"/>
          <w:szCs w:val="25"/>
        </w:rPr>
      </w:pPr>
      <w:r>
        <w:rPr>
          <w:rFonts w:ascii="Tahoma" w:hAnsi="Tahoma" w:cs="Tahoma"/>
          <w:b/>
          <w:sz w:val="25"/>
          <w:szCs w:val="25"/>
        </w:rPr>
        <w:t>COMPANY OF ZIMBABWE</w:t>
      </w:r>
      <w:r>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sidR="00772D5C">
        <w:rPr>
          <w:rFonts w:ascii="Tahoma" w:hAnsi="Tahoma" w:cs="Tahoma"/>
          <w:b/>
          <w:sz w:val="25"/>
          <w:szCs w:val="25"/>
        </w:rPr>
        <w:tab/>
      </w:r>
      <w:r w:rsidR="00772D5C">
        <w:rPr>
          <w:rFonts w:ascii="Tahoma" w:hAnsi="Tahoma" w:cs="Tahoma"/>
          <w:b/>
          <w:sz w:val="25"/>
          <w:szCs w:val="25"/>
        </w:rPr>
        <w:tab/>
      </w:r>
      <w:r w:rsidR="00772D5C">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42530B">
      <w:pPr>
        <w:pStyle w:val="NoSpacing"/>
        <w:spacing w:line="360" w:lineRule="auto"/>
        <w:jc w:val="both"/>
        <w:rPr>
          <w:rFonts w:ascii="Tahoma" w:hAnsi="Tahoma" w:cs="Tahoma"/>
          <w:b/>
          <w:sz w:val="25"/>
          <w:szCs w:val="25"/>
        </w:rPr>
      </w:pPr>
    </w:p>
    <w:p w:rsidR="0011530D" w:rsidRPr="00D95B8F" w:rsidRDefault="0011530D" w:rsidP="0042530B">
      <w:pPr>
        <w:pStyle w:val="NoSpacing"/>
        <w:jc w:val="both"/>
        <w:rPr>
          <w:rFonts w:ascii="Tahoma" w:hAnsi="Tahoma" w:cs="Tahoma"/>
          <w:b/>
          <w:sz w:val="25"/>
          <w:szCs w:val="25"/>
        </w:rPr>
      </w:pPr>
    </w:p>
    <w:p w:rsidR="0011530D" w:rsidRPr="00D95B8F" w:rsidRDefault="007548C0" w:rsidP="0042530B">
      <w:pPr>
        <w:spacing w:after="0" w:line="360" w:lineRule="auto"/>
        <w:jc w:val="both"/>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42530B">
      <w:pPr>
        <w:spacing w:after="0" w:line="360" w:lineRule="auto"/>
        <w:jc w:val="both"/>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E304B8">
        <w:rPr>
          <w:rFonts w:ascii="Tahoma" w:hAnsi="Tahoma" w:cs="Tahoma"/>
          <w:b/>
          <w:sz w:val="25"/>
          <w:szCs w:val="25"/>
        </w:rPr>
        <w:t>E Mukwewa</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42530B">
      <w:pPr>
        <w:tabs>
          <w:tab w:val="left" w:pos="2160"/>
        </w:tabs>
        <w:spacing w:after="0" w:line="240" w:lineRule="auto"/>
        <w:jc w:val="both"/>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772D5C">
        <w:rPr>
          <w:rFonts w:ascii="Tahoma" w:hAnsi="Tahoma" w:cs="Tahoma"/>
          <w:b/>
          <w:sz w:val="25"/>
          <w:szCs w:val="25"/>
        </w:rPr>
        <w:t xml:space="preserve">Mr </w:t>
      </w:r>
      <w:r w:rsidR="00E34FF8">
        <w:rPr>
          <w:rFonts w:ascii="Tahoma" w:hAnsi="Tahoma" w:cs="Tahoma"/>
          <w:b/>
          <w:sz w:val="25"/>
          <w:szCs w:val="25"/>
        </w:rPr>
        <w:t xml:space="preserve">G </w:t>
      </w:r>
      <w:proofErr w:type="spellStart"/>
      <w:r w:rsidR="00E34FF8">
        <w:rPr>
          <w:rFonts w:ascii="Tahoma" w:hAnsi="Tahoma" w:cs="Tahoma"/>
          <w:b/>
          <w:sz w:val="25"/>
          <w:szCs w:val="25"/>
        </w:rPr>
        <w:t>Jakuo</w:t>
      </w:r>
      <w:r w:rsidR="00E304B8">
        <w:rPr>
          <w:rFonts w:ascii="Tahoma" w:hAnsi="Tahoma" w:cs="Tahoma"/>
          <w:b/>
          <w:sz w:val="25"/>
          <w:szCs w:val="25"/>
        </w:rPr>
        <w:t>si</w:t>
      </w:r>
      <w:proofErr w:type="spellEnd"/>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Pr="00D95B8F" w:rsidRDefault="0011530D" w:rsidP="0042530B">
      <w:pPr>
        <w:spacing w:after="0" w:line="360" w:lineRule="auto"/>
        <w:jc w:val="both"/>
        <w:rPr>
          <w:rFonts w:ascii="Tahoma" w:hAnsi="Tahoma" w:cs="Tahoma"/>
          <w:b/>
          <w:sz w:val="25"/>
          <w:szCs w:val="25"/>
        </w:rPr>
      </w:pPr>
    </w:p>
    <w:p w:rsidR="007F16D4" w:rsidRPr="00D95B8F" w:rsidRDefault="007F16D4" w:rsidP="0042530B">
      <w:pPr>
        <w:spacing w:after="0" w:line="240" w:lineRule="auto"/>
        <w:jc w:val="both"/>
        <w:rPr>
          <w:rFonts w:ascii="Tahoma" w:hAnsi="Tahoma" w:cs="Tahoma"/>
          <w:b/>
          <w:sz w:val="25"/>
          <w:szCs w:val="25"/>
        </w:rPr>
      </w:pPr>
    </w:p>
    <w:p w:rsidR="0011530D" w:rsidRPr="00D95B8F" w:rsidRDefault="0011530D" w:rsidP="0042530B">
      <w:pPr>
        <w:spacing w:after="120" w:line="240" w:lineRule="auto"/>
        <w:jc w:val="both"/>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42530B">
      <w:pPr>
        <w:spacing w:after="0" w:line="360" w:lineRule="auto"/>
        <w:jc w:val="both"/>
        <w:rPr>
          <w:rFonts w:ascii="Tahoma" w:hAnsi="Tahoma" w:cs="Tahoma"/>
          <w:b/>
          <w:sz w:val="25"/>
          <w:szCs w:val="25"/>
        </w:rPr>
      </w:pPr>
    </w:p>
    <w:p w:rsidR="0042530B" w:rsidRDefault="001F2A28" w:rsidP="0042530B">
      <w:pPr>
        <w:spacing w:after="0" w:line="360" w:lineRule="auto"/>
        <w:jc w:val="both"/>
        <w:rPr>
          <w:rFonts w:ascii="Tahoma" w:hAnsi="Tahoma" w:cs="Tahoma"/>
          <w:sz w:val="25"/>
          <w:szCs w:val="25"/>
        </w:rPr>
      </w:pPr>
      <w:r w:rsidRPr="00D95B8F">
        <w:rPr>
          <w:rFonts w:ascii="Tahoma" w:hAnsi="Tahoma" w:cs="Tahoma"/>
          <w:b/>
          <w:sz w:val="25"/>
          <w:szCs w:val="25"/>
        </w:rPr>
        <w:tab/>
      </w:r>
      <w:r w:rsidR="0042530B">
        <w:rPr>
          <w:rFonts w:ascii="Tahoma" w:hAnsi="Tahoma" w:cs="Tahoma"/>
          <w:sz w:val="25"/>
          <w:szCs w:val="25"/>
        </w:rPr>
        <w:t>On the 4</w:t>
      </w:r>
      <w:r w:rsidR="0042530B" w:rsidRPr="00072D7E">
        <w:rPr>
          <w:rFonts w:ascii="Tahoma" w:hAnsi="Tahoma" w:cs="Tahoma"/>
          <w:sz w:val="25"/>
          <w:szCs w:val="25"/>
          <w:vertAlign w:val="superscript"/>
        </w:rPr>
        <w:t>th</w:t>
      </w:r>
      <w:r w:rsidR="0042530B">
        <w:rPr>
          <w:rFonts w:ascii="Tahoma" w:hAnsi="Tahoma" w:cs="Tahoma"/>
          <w:sz w:val="25"/>
          <w:szCs w:val="25"/>
        </w:rPr>
        <w:t xml:space="preserve"> August, 2015 Appellant filed a Notice of Appeal which had the following as grounds of appeal –</w:t>
      </w:r>
    </w:p>
    <w:p w:rsidR="0042530B" w:rsidRDefault="0042530B" w:rsidP="0042530B">
      <w:pPr>
        <w:spacing w:after="0" w:line="360" w:lineRule="auto"/>
        <w:ind w:left="720"/>
        <w:jc w:val="both"/>
        <w:rPr>
          <w:rFonts w:ascii="Tahoma" w:hAnsi="Tahoma" w:cs="Tahoma"/>
          <w:sz w:val="25"/>
          <w:szCs w:val="25"/>
        </w:rPr>
      </w:pPr>
    </w:p>
    <w:p w:rsidR="0042530B" w:rsidRPr="0042530B" w:rsidRDefault="0042530B" w:rsidP="0042530B">
      <w:pPr>
        <w:spacing w:after="0" w:line="360" w:lineRule="auto"/>
        <w:ind w:left="720"/>
        <w:jc w:val="both"/>
        <w:rPr>
          <w:rFonts w:ascii="Times New Roman" w:hAnsi="Times New Roman" w:cs="Times New Roman"/>
          <w:i/>
        </w:rPr>
      </w:pPr>
      <w:r w:rsidRPr="0042530B">
        <w:rPr>
          <w:rFonts w:ascii="Times New Roman" w:hAnsi="Times New Roman" w:cs="Times New Roman"/>
          <w:i/>
        </w:rPr>
        <w:t xml:space="preserve">“It will be contended that the Appeals Committee erred in one or more of the following: </w:t>
      </w:r>
    </w:p>
    <w:p w:rsidR="0042530B" w:rsidRPr="0042530B" w:rsidRDefault="0042530B" w:rsidP="0042530B">
      <w:pPr>
        <w:spacing w:after="0" w:line="240" w:lineRule="auto"/>
        <w:ind w:left="720"/>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t>The disciplinary committee misdirected itself in hearing and conducting the case leading to the Appellant being dismissed from work.</w:t>
      </w:r>
    </w:p>
    <w:p w:rsidR="0042530B" w:rsidRPr="0042530B" w:rsidRDefault="0042530B" w:rsidP="0042530B">
      <w:pPr>
        <w:pStyle w:val="ListParagraph"/>
        <w:spacing w:after="0" w:line="240" w:lineRule="auto"/>
        <w:ind w:left="1080"/>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t xml:space="preserve">The Appellant clearly did his best as a prudent person to advise the disciplinary committee that their failure to call witnesses who had testified against the Appellant to be cross examined by him </w:t>
      </w:r>
      <w:r w:rsidR="00E34FF8">
        <w:rPr>
          <w:rFonts w:ascii="Times New Roman" w:hAnsi="Times New Roman" w:cs="Times New Roman"/>
          <w:i/>
        </w:rPr>
        <w:t>w</w:t>
      </w:r>
      <w:r w:rsidRPr="0042530B">
        <w:rPr>
          <w:rFonts w:ascii="Times New Roman" w:hAnsi="Times New Roman" w:cs="Times New Roman"/>
          <w:i/>
        </w:rPr>
        <w:t>as to his prejudice.</w:t>
      </w:r>
    </w:p>
    <w:p w:rsidR="0042530B" w:rsidRPr="0042530B" w:rsidRDefault="0042530B" w:rsidP="0042530B">
      <w:pPr>
        <w:pStyle w:val="ListParagraph"/>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t xml:space="preserve">There was a procedural irregularity by the disciplinary committee when they did not consider that the local sector official must notify the employee concerned that investigations were being carried out against him. </w:t>
      </w:r>
    </w:p>
    <w:p w:rsidR="0042530B" w:rsidRPr="0042530B" w:rsidRDefault="0042530B" w:rsidP="0042530B">
      <w:pPr>
        <w:pStyle w:val="ListParagraph"/>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lastRenderedPageBreak/>
        <w:t xml:space="preserve">The disciplinary committee and Appeals Committee erred by not seriously considering that Appellant had worked for 15 years and had never been brought before any disciplinary hearing. </w:t>
      </w:r>
    </w:p>
    <w:p w:rsidR="0042530B" w:rsidRPr="0042530B" w:rsidRDefault="0042530B" w:rsidP="0042530B">
      <w:pPr>
        <w:pStyle w:val="ListParagraph"/>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t xml:space="preserve">The disciplinary committee erred by not appreciating that Chiyanike the acting charge hand did </w:t>
      </w:r>
      <w:r w:rsidR="00912A4F" w:rsidRPr="0042530B">
        <w:rPr>
          <w:rFonts w:ascii="Times New Roman" w:hAnsi="Times New Roman" w:cs="Times New Roman"/>
          <w:i/>
        </w:rPr>
        <w:t>alleging</w:t>
      </w:r>
      <w:r w:rsidRPr="0042530B">
        <w:rPr>
          <w:rFonts w:ascii="Times New Roman" w:hAnsi="Times New Roman" w:cs="Times New Roman"/>
          <w:i/>
        </w:rPr>
        <w:t xml:space="preserve"> whilst Appellant connected the hoses. </w:t>
      </w:r>
    </w:p>
    <w:p w:rsidR="0042530B" w:rsidRPr="0042530B" w:rsidRDefault="0042530B" w:rsidP="0042530B">
      <w:pPr>
        <w:pStyle w:val="ListParagraph"/>
        <w:jc w:val="both"/>
        <w:rPr>
          <w:rFonts w:ascii="Times New Roman" w:hAnsi="Times New Roman" w:cs="Times New Roman"/>
          <w:i/>
        </w:rPr>
      </w:pPr>
    </w:p>
    <w:p w:rsidR="0042530B" w:rsidRPr="0042530B" w:rsidRDefault="0042530B" w:rsidP="0042530B">
      <w:pPr>
        <w:pStyle w:val="ListParagraph"/>
        <w:numPr>
          <w:ilvl w:val="0"/>
          <w:numId w:val="4"/>
        </w:numPr>
        <w:spacing w:after="0" w:line="360" w:lineRule="auto"/>
        <w:jc w:val="both"/>
        <w:rPr>
          <w:rFonts w:ascii="Times New Roman" w:hAnsi="Times New Roman" w:cs="Times New Roman"/>
          <w:i/>
        </w:rPr>
      </w:pPr>
      <w:r w:rsidRPr="0042530B">
        <w:rPr>
          <w:rFonts w:ascii="Times New Roman" w:hAnsi="Times New Roman" w:cs="Times New Roman"/>
          <w:i/>
        </w:rPr>
        <w:t>Mitigatory factors were never considered.”</w:t>
      </w:r>
    </w:p>
    <w:p w:rsidR="00A42E04" w:rsidRPr="00D95B8F" w:rsidRDefault="009E7D2A" w:rsidP="0042530B">
      <w:pPr>
        <w:spacing w:after="0" w:line="360" w:lineRule="auto"/>
        <w:jc w:val="both"/>
        <w:rPr>
          <w:rFonts w:ascii="Tahoma" w:hAnsi="Tahoma" w:cs="Tahoma"/>
          <w:sz w:val="25"/>
          <w:szCs w:val="25"/>
        </w:rPr>
      </w:pPr>
      <w:r>
        <w:rPr>
          <w:rFonts w:ascii="Tahoma" w:hAnsi="Tahoma" w:cs="Tahoma"/>
          <w:sz w:val="25"/>
          <w:szCs w:val="25"/>
        </w:rPr>
        <w:tab/>
      </w:r>
    </w:p>
    <w:p w:rsidR="00025B6C" w:rsidRDefault="0042530B" w:rsidP="0042530B">
      <w:pPr>
        <w:spacing w:after="0" w:line="360" w:lineRule="auto"/>
        <w:ind w:firstLine="720"/>
        <w:jc w:val="both"/>
        <w:rPr>
          <w:rFonts w:ascii="Tahoma" w:hAnsi="Tahoma" w:cs="Tahoma"/>
          <w:sz w:val="25"/>
          <w:szCs w:val="25"/>
        </w:rPr>
      </w:pPr>
      <w:r>
        <w:rPr>
          <w:rFonts w:ascii="Tahoma" w:hAnsi="Tahoma" w:cs="Tahoma"/>
          <w:sz w:val="25"/>
          <w:szCs w:val="25"/>
        </w:rPr>
        <w:t xml:space="preserve">Respondent took issue with these grounds arguing that they are not proper grounds of appeal and </w:t>
      </w:r>
      <w:r w:rsidR="00E34FF8">
        <w:rPr>
          <w:rFonts w:ascii="Tahoma" w:hAnsi="Tahoma" w:cs="Tahoma"/>
          <w:sz w:val="25"/>
          <w:szCs w:val="25"/>
        </w:rPr>
        <w:t>that on that basis the appeal mu</w:t>
      </w:r>
      <w:r>
        <w:rPr>
          <w:rFonts w:ascii="Tahoma" w:hAnsi="Tahoma" w:cs="Tahoma"/>
          <w:sz w:val="25"/>
          <w:szCs w:val="25"/>
        </w:rPr>
        <w:t>s</w:t>
      </w:r>
      <w:r w:rsidR="00E34FF8">
        <w:rPr>
          <w:rFonts w:ascii="Tahoma" w:hAnsi="Tahoma" w:cs="Tahoma"/>
          <w:sz w:val="25"/>
          <w:szCs w:val="25"/>
        </w:rPr>
        <w:t>t</w:t>
      </w:r>
      <w:r>
        <w:rPr>
          <w:rFonts w:ascii="Tahoma" w:hAnsi="Tahoma" w:cs="Tahoma"/>
          <w:sz w:val="25"/>
          <w:szCs w:val="25"/>
        </w:rPr>
        <w:t xml:space="preserve"> be dismissed with costs. </w:t>
      </w:r>
    </w:p>
    <w:p w:rsidR="0042530B" w:rsidRDefault="0042530B" w:rsidP="0042530B">
      <w:pPr>
        <w:spacing w:after="0" w:line="360" w:lineRule="auto"/>
        <w:ind w:firstLine="720"/>
        <w:jc w:val="both"/>
        <w:rPr>
          <w:rFonts w:ascii="Tahoma" w:hAnsi="Tahoma" w:cs="Tahoma"/>
          <w:sz w:val="25"/>
          <w:szCs w:val="25"/>
        </w:rPr>
      </w:pPr>
    </w:p>
    <w:p w:rsidR="0042530B" w:rsidRDefault="0042530B" w:rsidP="0042530B">
      <w:pPr>
        <w:spacing w:after="0" w:line="360" w:lineRule="auto"/>
        <w:ind w:firstLine="720"/>
        <w:jc w:val="both"/>
        <w:rPr>
          <w:rFonts w:ascii="Tahoma" w:hAnsi="Tahoma" w:cs="Tahoma"/>
          <w:sz w:val="25"/>
          <w:szCs w:val="25"/>
        </w:rPr>
      </w:pPr>
      <w:r>
        <w:rPr>
          <w:rFonts w:ascii="Tahoma" w:hAnsi="Tahoma" w:cs="Tahoma"/>
          <w:sz w:val="25"/>
          <w:szCs w:val="25"/>
        </w:rPr>
        <w:t xml:space="preserve">It is worth noting that these grounds of appeal were drafted by a legal practitioner. </w:t>
      </w:r>
    </w:p>
    <w:p w:rsidR="0042530B" w:rsidRDefault="0042530B" w:rsidP="0042530B">
      <w:pPr>
        <w:spacing w:after="0" w:line="360" w:lineRule="auto"/>
        <w:ind w:firstLine="720"/>
        <w:jc w:val="both"/>
        <w:rPr>
          <w:rFonts w:ascii="Tahoma" w:hAnsi="Tahoma" w:cs="Tahoma"/>
          <w:sz w:val="25"/>
          <w:szCs w:val="25"/>
        </w:rPr>
      </w:pPr>
    </w:p>
    <w:p w:rsidR="0042530B" w:rsidRDefault="0042530B" w:rsidP="0042530B">
      <w:pPr>
        <w:spacing w:after="0" w:line="360" w:lineRule="auto"/>
        <w:ind w:firstLine="720"/>
        <w:jc w:val="both"/>
        <w:rPr>
          <w:rFonts w:ascii="Tahoma" w:hAnsi="Tahoma" w:cs="Tahoma"/>
          <w:sz w:val="25"/>
          <w:szCs w:val="25"/>
        </w:rPr>
      </w:pPr>
      <w:r>
        <w:rPr>
          <w:rFonts w:ascii="Tahoma" w:hAnsi="Tahoma" w:cs="Tahoma"/>
          <w:sz w:val="25"/>
          <w:szCs w:val="25"/>
        </w:rPr>
        <w:t xml:space="preserve">A reading of the grounds of appeal clearly shows that the drafter did not put any attention to them. </w:t>
      </w:r>
    </w:p>
    <w:p w:rsidR="0042530B" w:rsidRDefault="0042530B" w:rsidP="0042530B">
      <w:pPr>
        <w:spacing w:after="0" w:line="360" w:lineRule="auto"/>
        <w:ind w:firstLine="720"/>
        <w:jc w:val="both"/>
        <w:rPr>
          <w:rFonts w:ascii="Tahoma" w:hAnsi="Tahoma" w:cs="Tahoma"/>
          <w:sz w:val="25"/>
          <w:szCs w:val="25"/>
        </w:rPr>
      </w:pPr>
    </w:p>
    <w:p w:rsidR="0042530B" w:rsidRDefault="0042530B" w:rsidP="0042530B">
      <w:pPr>
        <w:spacing w:after="0" w:line="360" w:lineRule="auto"/>
        <w:ind w:firstLine="720"/>
        <w:jc w:val="both"/>
        <w:rPr>
          <w:rFonts w:ascii="Tahoma" w:hAnsi="Tahoma" w:cs="Tahoma"/>
          <w:sz w:val="25"/>
          <w:szCs w:val="25"/>
        </w:rPr>
      </w:pPr>
      <w:r>
        <w:rPr>
          <w:rFonts w:ascii="Tahoma" w:hAnsi="Tahoma" w:cs="Tahoma"/>
          <w:sz w:val="25"/>
          <w:szCs w:val="25"/>
        </w:rPr>
        <w:t xml:space="preserve">As regards ground number 1, it is difficult to understand what this ground means.  Is it not the duty of a Disciplinary Committee to hear and determine a matter placed before </w:t>
      </w:r>
      <w:r w:rsidR="00912A4F">
        <w:rPr>
          <w:rFonts w:ascii="Tahoma" w:hAnsi="Tahoma" w:cs="Tahoma"/>
          <w:sz w:val="25"/>
          <w:szCs w:val="25"/>
        </w:rPr>
        <w:t>it?</w:t>
      </w:r>
      <w:r>
        <w:rPr>
          <w:rFonts w:ascii="Tahoma" w:hAnsi="Tahoma" w:cs="Tahoma"/>
          <w:sz w:val="25"/>
          <w:szCs w:val="25"/>
        </w:rPr>
        <w:t xml:space="preserve">  Can one honestly allege as a ground, a misdirection on the part of a Disciplinary Committee for conducting and hearing a case and issuing a penalty</w:t>
      </w:r>
      <w:r w:rsidR="001769F7">
        <w:rPr>
          <w:rFonts w:ascii="Tahoma" w:hAnsi="Tahoma" w:cs="Tahoma"/>
          <w:sz w:val="25"/>
          <w:szCs w:val="25"/>
        </w:rPr>
        <w:t>.</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 xml:space="preserve">The ground is totally meaningless </w:t>
      </w:r>
      <w:r w:rsidR="00E34FF8">
        <w:rPr>
          <w:rFonts w:ascii="Tahoma" w:hAnsi="Tahoma" w:cs="Tahoma"/>
          <w:sz w:val="25"/>
          <w:szCs w:val="25"/>
        </w:rPr>
        <w:t xml:space="preserve">and </w:t>
      </w:r>
      <w:r>
        <w:rPr>
          <w:rFonts w:ascii="Tahoma" w:hAnsi="Tahoma" w:cs="Tahoma"/>
          <w:sz w:val="25"/>
          <w:szCs w:val="25"/>
        </w:rPr>
        <w:t>is not concise and precise.  The lack of clarity and conciseness makes it difficult for the other party to respond</w:t>
      </w:r>
      <w:r w:rsidR="00E34FF8">
        <w:rPr>
          <w:rFonts w:ascii="Tahoma" w:hAnsi="Tahoma" w:cs="Tahoma"/>
          <w:sz w:val="25"/>
          <w:szCs w:val="25"/>
        </w:rPr>
        <w:t xml:space="preserve"> to</w:t>
      </w:r>
      <w:r>
        <w:rPr>
          <w:rFonts w:ascii="Tahoma" w:hAnsi="Tahoma" w:cs="Tahoma"/>
          <w:sz w:val="25"/>
          <w:szCs w:val="25"/>
        </w:rPr>
        <w:t xml:space="preserve"> it and for the court to understand exactly what it is Appellant is challenging. </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 xml:space="preserve">In that respect, the ground cannot be allowed to stand. </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As regards the 2</w:t>
      </w:r>
      <w:r w:rsidRPr="001769F7">
        <w:rPr>
          <w:rFonts w:ascii="Tahoma" w:hAnsi="Tahoma" w:cs="Tahoma"/>
          <w:sz w:val="25"/>
          <w:szCs w:val="25"/>
          <w:vertAlign w:val="superscript"/>
        </w:rPr>
        <w:t>nd</w:t>
      </w:r>
      <w:r>
        <w:rPr>
          <w:rFonts w:ascii="Tahoma" w:hAnsi="Tahoma" w:cs="Tahoma"/>
          <w:sz w:val="25"/>
          <w:szCs w:val="25"/>
        </w:rPr>
        <w:t xml:space="preserve"> ground, </w:t>
      </w:r>
      <w:r w:rsidR="00E34FF8">
        <w:rPr>
          <w:rFonts w:ascii="Tahoma" w:hAnsi="Tahoma" w:cs="Tahoma"/>
          <w:sz w:val="25"/>
          <w:szCs w:val="25"/>
        </w:rPr>
        <w:t>this ground</w:t>
      </w:r>
      <w:r>
        <w:rPr>
          <w:rFonts w:ascii="Tahoma" w:hAnsi="Tahoma" w:cs="Tahoma"/>
          <w:sz w:val="25"/>
          <w:szCs w:val="25"/>
        </w:rPr>
        <w:t xml:space="preserve"> suffers the same fate as the 1</w:t>
      </w:r>
      <w:r w:rsidRPr="001769F7">
        <w:rPr>
          <w:rFonts w:ascii="Tahoma" w:hAnsi="Tahoma" w:cs="Tahoma"/>
          <w:sz w:val="25"/>
          <w:szCs w:val="25"/>
          <w:vertAlign w:val="superscript"/>
        </w:rPr>
        <w:t>st</w:t>
      </w:r>
      <w:r>
        <w:rPr>
          <w:rFonts w:ascii="Tahoma" w:hAnsi="Tahoma" w:cs="Tahoma"/>
          <w:sz w:val="25"/>
          <w:szCs w:val="25"/>
        </w:rPr>
        <w:t xml:space="preserve"> ground.  It is not clear.  A reading of the ground, shows that it raises a procedural issue which should have been raised as a ground for review in an application for review.  It is trite that issues of review cannot be brought on appeal.  Rule 15(3) of this Court’s Rules</w:t>
      </w:r>
      <w:r w:rsidR="00E34FF8">
        <w:rPr>
          <w:rFonts w:ascii="Tahoma" w:hAnsi="Tahoma" w:cs="Tahoma"/>
          <w:sz w:val="25"/>
          <w:szCs w:val="25"/>
        </w:rPr>
        <w:t xml:space="preserve">, Statutory Instrument </w:t>
      </w:r>
      <w:r>
        <w:rPr>
          <w:rFonts w:ascii="Tahoma" w:hAnsi="Tahoma" w:cs="Tahoma"/>
          <w:sz w:val="25"/>
          <w:szCs w:val="25"/>
        </w:rPr>
        <w:t xml:space="preserve">59 of 2006 provides the procedure to be followed when one wants to seek review in a matter brought on appeal.  This Rule was not followed by Appellant. </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The ground also shows that Appellant is challenging the Disciplinary Committee’s proceedings instead of the Appeals Committee</w:t>
      </w:r>
      <w:r w:rsidR="00E34FF8">
        <w:rPr>
          <w:rFonts w:ascii="Tahoma" w:hAnsi="Tahoma" w:cs="Tahoma"/>
          <w:sz w:val="25"/>
          <w:szCs w:val="25"/>
        </w:rPr>
        <w:t>’s</w:t>
      </w:r>
      <w:r>
        <w:rPr>
          <w:rFonts w:ascii="Tahoma" w:hAnsi="Tahoma" w:cs="Tahoma"/>
          <w:sz w:val="25"/>
          <w:szCs w:val="25"/>
        </w:rPr>
        <w:t xml:space="preserve"> proceedings.  He does not state how the Appeals Committee erred in upholding the Disciplinary Committee’s process.  An appeal to this Court should be against the Appeals Committee’s decision. </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Grounds 3 and 6 raise issues for review.  Procedural irregularities are not to be raised in an appeal but in an application for review.  The hearing or non-hearing</w:t>
      </w:r>
      <w:r w:rsidR="00E34FF8">
        <w:rPr>
          <w:rFonts w:ascii="Tahoma" w:hAnsi="Tahoma" w:cs="Tahoma"/>
          <w:sz w:val="25"/>
          <w:szCs w:val="25"/>
        </w:rPr>
        <w:t xml:space="preserve"> of</w:t>
      </w:r>
      <w:r>
        <w:rPr>
          <w:rFonts w:ascii="Tahoma" w:hAnsi="Tahoma" w:cs="Tahoma"/>
          <w:sz w:val="25"/>
          <w:szCs w:val="25"/>
        </w:rPr>
        <w:t xml:space="preserve"> mitigation is a procedural issue. </w:t>
      </w:r>
    </w:p>
    <w:p w:rsidR="001769F7" w:rsidRDefault="001769F7" w:rsidP="0042530B">
      <w:pPr>
        <w:spacing w:after="0" w:line="360" w:lineRule="auto"/>
        <w:ind w:firstLine="720"/>
        <w:jc w:val="both"/>
        <w:rPr>
          <w:rFonts w:ascii="Tahoma" w:hAnsi="Tahoma" w:cs="Tahoma"/>
          <w:sz w:val="25"/>
          <w:szCs w:val="25"/>
        </w:rPr>
      </w:pPr>
    </w:p>
    <w:p w:rsidR="001769F7" w:rsidRDefault="001769F7" w:rsidP="0042530B">
      <w:pPr>
        <w:spacing w:after="0" w:line="360" w:lineRule="auto"/>
        <w:ind w:firstLine="720"/>
        <w:jc w:val="both"/>
        <w:rPr>
          <w:rFonts w:ascii="Tahoma" w:hAnsi="Tahoma" w:cs="Tahoma"/>
          <w:sz w:val="25"/>
          <w:szCs w:val="25"/>
        </w:rPr>
      </w:pPr>
      <w:r>
        <w:rPr>
          <w:rFonts w:ascii="Tahoma" w:hAnsi="Tahoma" w:cs="Tahoma"/>
          <w:sz w:val="25"/>
          <w:szCs w:val="25"/>
        </w:rPr>
        <w:t>Grounds 4 and 5 contest the decision of the Disciplinary Committee and not Appeals Committee.  Though in ground</w:t>
      </w:r>
      <w:r w:rsidR="00912A4F">
        <w:rPr>
          <w:rFonts w:ascii="Tahoma" w:hAnsi="Tahoma" w:cs="Tahoma"/>
          <w:sz w:val="25"/>
          <w:szCs w:val="25"/>
        </w:rPr>
        <w:t xml:space="preserve"> 4 mention is made of Appeals Committee Appellant challenges both the Disciplinary Committee and Appeals Committee.  As alluded to earlier, an appeal to this Court lies against the decision of the Appeals Committee and not Disciplinary Committee. </w:t>
      </w:r>
    </w:p>
    <w:p w:rsidR="00912A4F" w:rsidRDefault="00912A4F" w:rsidP="0042530B">
      <w:pPr>
        <w:spacing w:after="0" w:line="360" w:lineRule="auto"/>
        <w:ind w:firstLine="720"/>
        <w:jc w:val="both"/>
        <w:rPr>
          <w:rFonts w:ascii="Tahoma" w:hAnsi="Tahoma" w:cs="Tahoma"/>
          <w:sz w:val="25"/>
          <w:szCs w:val="25"/>
        </w:rPr>
      </w:pPr>
    </w:p>
    <w:p w:rsidR="00912A4F" w:rsidRDefault="00912A4F" w:rsidP="0042530B">
      <w:pPr>
        <w:spacing w:after="0" w:line="360" w:lineRule="auto"/>
        <w:ind w:firstLine="720"/>
        <w:jc w:val="both"/>
        <w:rPr>
          <w:rFonts w:ascii="Tahoma" w:hAnsi="Tahoma" w:cs="Tahoma"/>
          <w:sz w:val="25"/>
          <w:szCs w:val="25"/>
        </w:rPr>
      </w:pPr>
      <w:r>
        <w:rPr>
          <w:rFonts w:ascii="Tahoma" w:hAnsi="Tahoma" w:cs="Tahoma"/>
          <w:sz w:val="25"/>
          <w:szCs w:val="25"/>
        </w:rPr>
        <w:t xml:space="preserve">I am not persuaded by Appellant’s submission that it was a typographical error to state Disciplinary Committee </w:t>
      </w:r>
      <w:r w:rsidR="00E34FF8">
        <w:rPr>
          <w:rFonts w:ascii="Tahoma" w:hAnsi="Tahoma" w:cs="Tahoma"/>
          <w:sz w:val="25"/>
          <w:szCs w:val="25"/>
        </w:rPr>
        <w:t>as</w:t>
      </w:r>
      <w:r>
        <w:rPr>
          <w:rFonts w:ascii="Tahoma" w:hAnsi="Tahoma" w:cs="Tahoma"/>
          <w:sz w:val="25"/>
          <w:szCs w:val="25"/>
        </w:rPr>
        <w:t xml:space="preserve"> the catch phrase </w:t>
      </w:r>
    </w:p>
    <w:p w:rsidR="00912A4F" w:rsidRPr="00912A4F" w:rsidRDefault="00912A4F" w:rsidP="00912A4F">
      <w:pPr>
        <w:spacing w:after="0" w:line="360" w:lineRule="auto"/>
        <w:ind w:left="720"/>
        <w:jc w:val="both"/>
        <w:rPr>
          <w:rFonts w:ascii="Times New Roman" w:hAnsi="Times New Roman" w:cs="Times New Roman"/>
          <w:i/>
        </w:rPr>
      </w:pPr>
      <w:r w:rsidRPr="00912A4F">
        <w:rPr>
          <w:rFonts w:ascii="Times New Roman" w:hAnsi="Times New Roman" w:cs="Times New Roman"/>
          <w:i/>
        </w:rPr>
        <w:t>“It will be contended that the Appeals Committee erred in one or more of the following:”</w:t>
      </w:r>
    </w:p>
    <w:p w:rsidR="0042530B" w:rsidRDefault="00912A4F" w:rsidP="00912A4F">
      <w:pPr>
        <w:spacing w:after="0" w:line="360" w:lineRule="auto"/>
        <w:jc w:val="both"/>
        <w:rPr>
          <w:rFonts w:ascii="Tahoma" w:hAnsi="Tahoma" w:cs="Tahoma"/>
          <w:sz w:val="25"/>
          <w:szCs w:val="25"/>
        </w:rPr>
      </w:pPr>
      <w:r>
        <w:rPr>
          <w:rFonts w:ascii="Tahoma" w:hAnsi="Tahoma" w:cs="Tahoma"/>
          <w:sz w:val="25"/>
          <w:szCs w:val="25"/>
        </w:rPr>
        <w:t xml:space="preserve">shows that all that followed is a contest of the Appeals Committee’s decision. </w:t>
      </w:r>
    </w:p>
    <w:p w:rsidR="00912A4F" w:rsidRDefault="00912A4F" w:rsidP="00912A4F">
      <w:pPr>
        <w:spacing w:after="0" w:line="360" w:lineRule="auto"/>
        <w:jc w:val="both"/>
        <w:rPr>
          <w:rFonts w:ascii="Tahoma" w:hAnsi="Tahoma" w:cs="Tahoma"/>
          <w:sz w:val="25"/>
          <w:szCs w:val="25"/>
        </w:rPr>
      </w:pPr>
    </w:p>
    <w:p w:rsidR="00912A4F" w:rsidRDefault="00912A4F" w:rsidP="00912A4F">
      <w:pPr>
        <w:spacing w:after="0" w:line="360" w:lineRule="auto"/>
        <w:jc w:val="both"/>
        <w:rPr>
          <w:rFonts w:ascii="Tahoma" w:hAnsi="Tahoma" w:cs="Tahoma"/>
          <w:sz w:val="25"/>
          <w:szCs w:val="25"/>
        </w:rPr>
      </w:pPr>
      <w:r>
        <w:rPr>
          <w:rFonts w:ascii="Tahoma" w:hAnsi="Tahoma" w:cs="Tahoma"/>
          <w:sz w:val="25"/>
          <w:szCs w:val="25"/>
        </w:rPr>
        <w:t xml:space="preserve">Grounds of appeal should be precise and concise.  As stated earlier these grounds were drafted not by a lay person but a legal practitioner.  Why should the Court and the Respondent be made to guess as to what exactly is being challenged.  Why should the grounds be explained first instead of </w:t>
      </w:r>
      <w:r w:rsidR="00E34FF8">
        <w:rPr>
          <w:rFonts w:ascii="Tahoma" w:hAnsi="Tahoma" w:cs="Tahoma"/>
          <w:sz w:val="25"/>
          <w:szCs w:val="25"/>
        </w:rPr>
        <w:t>ju</w:t>
      </w:r>
      <w:r>
        <w:rPr>
          <w:rFonts w:ascii="Tahoma" w:hAnsi="Tahoma" w:cs="Tahoma"/>
          <w:sz w:val="25"/>
          <w:szCs w:val="25"/>
        </w:rPr>
        <w:t>st being substantiated through submissions?</w:t>
      </w:r>
    </w:p>
    <w:p w:rsidR="00912A4F" w:rsidRDefault="00912A4F" w:rsidP="00912A4F">
      <w:pPr>
        <w:spacing w:after="0" w:line="360" w:lineRule="auto"/>
        <w:jc w:val="both"/>
        <w:rPr>
          <w:rFonts w:ascii="Tahoma" w:hAnsi="Tahoma" w:cs="Tahoma"/>
          <w:sz w:val="25"/>
          <w:szCs w:val="25"/>
        </w:rPr>
      </w:pPr>
    </w:p>
    <w:p w:rsidR="00912A4F" w:rsidRDefault="00912A4F" w:rsidP="00912A4F">
      <w:pPr>
        <w:spacing w:after="0" w:line="360" w:lineRule="auto"/>
        <w:jc w:val="both"/>
        <w:rPr>
          <w:rFonts w:ascii="Tahoma" w:hAnsi="Tahoma" w:cs="Tahoma"/>
          <w:sz w:val="25"/>
          <w:szCs w:val="25"/>
        </w:rPr>
      </w:pPr>
      <w:r>
        <w:rPr>
          <w:rFonts w:ascii="Tahoma" w:hAnsi="Tahoma" w:cs="Tahoma"/>
          <w:sz w:val="25"/>
          <w:szCs w:val="25"/>
        </w:rPr>
        <w:tab/>
        <w:t xml:space="preserve">I find that the points in </w:t>
      </w:r>
      <w:r w:rsidRPr="0070386E">
        <w:rPr>
          <w:rFonts w:ascii="Tahoma" w:hAnsi="Tahoma" w:cs="Tahoma"/>
          <w:i/>
          <w:sz w:val="25"/>
          <w:szCs w:val="25"/>
        </w:rPr>
        <w:t>limine</w:t>
      </w:r>
      <w:r>
        <w:rPr>
          <w:rFonts w:ascii="Tahoma" w:hAnsi="Tahoma" w:cs="Tahoma"/>
          <w:sz w:val="25"/>
          <w:szCs w:val="25"/>
        </w:rPr>
        <w:t xml:space="preserve"> raised by Respondent have merit and uphold them. </w:t>
      </w:r>
    </w:p>
    <w:p w:rsidR="00912A4F" w:rsidRDefault="00912A4F" w:rsidP="00912A4F">
      <w:pPr>
        <w:spacing w:after="0" w:line="360" w:lineRule="auto"/>
        <w:jc w:val="both"/>
        <w:rPr>
          <w:rFonts w:ascii="Tahoma" w:hAnsi="Tahoma" w:cs="Tahoma"/>
          <w:sz w:val="25"/>
          <w:szCs w:val="25"/>
        </w:rPr>
      </w:pPr>
    </w:p>
    <w:p w:rsidR="0042530B" w:rsidRDefault="00912A4F" w:rsidP="00E34FF8">
      <w:pPr>
        <w:spacing w:after="0" w:line="360" w:lineRule="auto"/>
        <w:jc w:val="both"/>
        <w:rPr>
          <w:rFonts w:ascii="Tahoma" w:hAnsi="Tahoma" w:cs="Tahoma"/>
          <w:sz w:val="25"/>
          <w:szCs w:val="25"/>
        </w:rPr>
      </w:pPr>
      <w:r>
        <w:rPr>
          <w:rFonts w:ascii="Tahoma" w:hAnsi="Tahoma" w:cs="Tahoma"/>
          <w:sz w:val="25"/>
          <w:szCs w:val="25"/>
        </w:rPr>
        <w:t>Consequently</w:t>
      </w:r>
      <w:r w:rsidR="00E34FF8">
        <w:rPr>
          <w:rFonts w:ascii="Tahoma" w:hAnsi="Tahoma" w:cs="Tahoma"/>
          <w:sz w:val="25"/>
          <w:szCs w:val="25"/>
        </w:rPr>
        <w:t>,</w:t>
      </w:r>
      <w:r>
        <w:rPr>
          <w:rFonts w:ascii="Tahoma" w:hAnsi="Tahoma" w:cs="Tahoma"/>
          <w:sz w:val="25"/>
          <w:szCs w:val="25"/>
        </w:rPr>
        <w:t xml:space="preserve"> it is ordered that the appeal be and is hereby struck off as it is improperly before the Court. </w:t>
      </w:r>
      <w:bookmarkStart w:id="0" w:name="_GoBack"/>
      <w:bookmarkEnd w:id="0"/>
    </w:p>
    <w:p w:rsidR="0042530B" w:rsidRDefault="0042530B" w:rsidP="0042530B">
      <w:pPr>
        <w:spacing w:after="0" w:line="360" w:lineRule="auto"/>
        <w:ind w:firstLine="720"/>
        <w:jc w:val="both"/>
        <w:rPr>
          <w:rFonts w:ascii="Tahoma" w:hAnsi="Tahoma" w:cs="Tahoma"/>
          <w:sz w:val="25"/>
          <w:szCs w:val="25"/>
        </w:rPr>
      </w:pPr>
    </w:p>
    <w:p w:rsidR="0042530B" w:rsidRDefault="0042530B" w:rsidP="0042530B">
      <w:pPr>
        <w:spacing w:after="0" w:line="360" w:lineRule="auto"/>
        <w:ind w:firstLine="720"/>
        <w:jc w:val="both"/>
        <w:rPr>
          <w:rFonts w:ascii="Tahoma" w:hAnsi="Tahoma" w:cs="Tahoma"/>
          <w:sz w:val="25"/>
          <w:szCs w:val="25"/>
        </w:rPr>
      </w:pPr>
    </w:p>
    <w:p w:rsidR="0042530B" w:rsidRDefault="0042530B" w:rsidP="0042530B">
      <w:pPr>
        <w:spacing w:after="0" w:line="360" w:lineRule="auto"/>
        <w:ind w:firstLine="720"/>
        <w:jc w:val="both"/>
        <w:rPr>
          <w:rFonts w:ascii="Tahoma" w:hAnsi="Tahoma" w:cs="Tahoma"/>
          <w:sz w:val="25"/>
          <w:szCs w:val="25"/>
        </w:rPr>
      </w:pPr>
    </w:p>
    <w:p w:rsidR="00025B6C" w:rsidRDefault="00E34FF8" w:rsidP="0042530B">
      <w:pPr>
        <w:spacing w:after="0" w:line="360" w:lineRule="auto"/>
        <w:jc w:val="both"/>
        <w:rPr>
          <w:rFonts w:ascii="Tahoma" w:hAnsi="Tahoma" w:cs="Tahoma"/>
          <w:b/>
          <w:i/>
          <w:sz w:val="25"/>
          <w:szCs w:val="25"/>
        </w:rPr>
      </w:pPr>
      <w:r>
        <w:rPr>
          <w:rFonts w:ascii="Tahoma" w:hAnsi="Tahoma" w:cs="Tahoma"/>
          <w:b/>
          <w:i/>
          <w:sz w:val="25"/>
          <w:szCs w:val="25"/>
        </w:rPr>
        <w:t>NYANDORO &amp; MUKWEW</w:t>
      </w:r>
      <w:r w:rsidR="00093A54">
        <w:rPr>
          <w:rFonts w:ascii="Tahoma" w:hAnsi="Tahoma" w:cs="Tahoma"/>
          <w:b/>
          <w:i/>
          <w:sz w:val="25"/>
          <w:szCs w:val="25"/>
        </w:rPr>
        <w:t>A</w:t>
      </w:r>
      <w:r w:rsidR="003C673B">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093A54" w:rsidP="00280DF0">
      <w:pPr>
        <w:spacing w:after="0" w:line="360" w:lineRule="auto"/>
        <w:jc w:val="both"/>
        <w:rPr>
          <w:rFonts w:ascii="Tahoma" w:hAnsi="Tahoma" w:cs="Tahoma"/>
          <w:b/>
          <w:i/>
          <w:sz w:val="25"/>
          <w:szCs w:val="25"/>
        </w:rPr>
      </w:pPr>
      <w:r>
        <w:rPr>
          <w:rFonts w:ascii="Tahoma" w:hAnsi="Tahoma" w:cs="Tahoma"/>
          <w:b/>
          <w:i/>
          <w:sz w:val="25"/>
          <w:szCs w:val="25"/>
        </w:rPr>
        <w:t>DUBE MANIKAI &amp; HWACHA – Respondent’</w:t>
      </w:r>
      <w:r w:rsidR="00280DF0">
        <w:rPr>
          <w:rFonts w:ascii="Tahoma" w:hAnsi="Tahoma" w:cs="Tahoma"/>
          <w:b/>
          <w:i/>
          <w:sz w:val="25"/>
          <w:szCs w:val="25"/>
        </w:rPr>
        <w: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3C" w:rsidRDefault="00A4213C" w:rsidP="007C5CA3">
      <w:pPr>
        <w:spacing w:after="0" w:line="240" w:lineRule="auto"/>
      </w:pPr>
      <w:r>
        <w:separator/>
      </w:r>
    </w:p>
  </w:endnote>
  <w:endnote w:type="continuationSeparator" w:id="0">
    <w:p w:rsidR="00A4213C" w:rsidRDefault="00A4213C"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E34FF8">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3C" w:rsidRDefault="00A4213C" w:rsidP="007C5CA3">
      <w:pPr>
        <w:spacing w:after="0" w:line="240" w:lineRule="auto"/>
      </w:pPr>
      <w:r>
        <w:separator/>
      </w:r>
    </w:p>
  </w:footnote>
  <w:footnote w:type="continuationSeparator" w:id="0">
    <w:p w:rsidR="00A4213C" w:rsidRDefault="00A4213C"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912A4F">
      <w:rPr>
        <w:rFonts w:ascii="Tahoma" w:hAnsi="Tahoma" w:cs="Tahoma"/>
        <w:b/>
        <w:sz w:val="24"/>
        <w:szCs w:val="24"/>
      </w:rPr>
      <w:t>422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08"/>
    <w:multiLevelType w:val="hybridMultilevel"/>
    <w:tmpl w:val="8FCAAB62"/>
    <w:lvl w:ilvl="0" w:tplc="FF2E31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769F7"/>
    <w:rsid w:val="0018688E"/>
    <w:rsid w:val="00192EC2"/>
    <w:rsid w:val="001A037B"/>
    <w:rsid w:val="001B520A"/>
    <w:rsid w:val="001B7DFE"/>
    <w:rsid w:val="001E59E3"/>
    <w:rsid w:val="001F2A28"/>
    <w:rsid w:val="001F6C80"/>
    <w:rsid w:val="00257D13"/>
    <w:rsid w:val="00257EAA"/>
    <w:rsid w:val="002708FC"/>
    <w:rsid w:val="00276D4A"/>
    <w:rsid w:val="00280DF0"/>
    <w:rsid w:val="002813A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2530B"/>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B403F"/>
    <w:rsid w:val="005B6B07"/>
    <w:rsid w:val="005E4CBF"/>
    <w:rsid w:val="005F3C09"/>
    <w:rsid w:val="00637CA0"/>
    <w:rsid w:val="006462FD"/>
    <w:rsid w:val="00652B98"/>
    <w:rsid w:val="006676CB"/>
    <w:rsid w:val="006766B6"/>
    <w:rsid w:val="00680357"/>
    <w:rsid w:val="00694322"/>
    <w:rsid w:val="006A098A"/>
    <w:rsid w:val="006E73F7"/>
    <w:rsid w:val="00736501"/>
    <w:rsid w:val="00740E8A"/>
    <w:rsid w:val="00743501"/>
    <w:rsid w:val="007548C0"/>
    <w:rsid w:val="0076164C"/>
    <w:rsid w:val="00761EF7"/>
    <w:rsid w:val="007659C9"/>
    <w:rsid w:val="00772D5C"/>
    <w:rsid w:val="00777CDC"/>
    <w:rsid w:val="0078151B"/>
    <w:rsid w:val="007866AA"/>
    <w:rsid w:val="00792B78"/>
    <w:rsid w:val="007A10E9"/>
    <w:rsid w:val="007A3E60"/>
    <w:rsid w:val="007B1A27"/>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A4F"/>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13C"/>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819ED"/>
    <w:rsid w:val="00B841C4"/>
    <w:rsid w:val="00B8682C"/>
    <w:rsid w:val="00B8731A"/>
    <w:rsid w:val="00B91278"/>
    <w:rsid w:val="00BA5626"/>
    <w:rsid w:val="00BD43C4"/>
    <w:rsid w:val="00BE7503"/>
    <w:rsid w:val="00C279F3"/>
    <w:rsid w:val="00C41ABD"/>
    <w:rsid w:val="00C63A75"/>
    <w:rsid w:val="00CA5589"/>
    <w:rsid w:val="00CB0A9A"/>
    <w:rsid w:val="00CB2223"/>
    <w:rsid w:val="00CE61E0"/>
    <w:rsid w:val="00CF7FB6"/>
    <w:rsid w:val="00D13C45"/>
    <w:rsid w:val="00D34EA0"/>
    <w:rsid w:val="00D35D61"/>
    <w:rsid w:val="00D66B99"/>
    <w:rsid w:val="00D6717B"/>
    <w:rsid w:val="00D95B8F"/>
    <w:rsid w:val="00DA5F18"/>
    <w:rsid w:val="00DD7258"/>
    <w:rsid w:val="00E04088"/>
    <w:rsid w:val="00E304B8"/>
    <w:rsid w:val="00E34FF8"/>
    <w:rsid w:val="00E40848"/>
    <w:rsid w:val="00E5115D"/>
    <w:rsid w:val="00E86E3D"/>
    <w:rsid w:val="00EA5CF8"/>
    <w:rsid w:val="00EC3B90"/>
    <w:rsid w:val="00EC678A"/>
    <w:rsid w:val="00ED3B87"/>
    <w:rsid w:val="00ED5019"/>
    <w:rsid w:val="00ED5DF9"/>
    <w:rsid w:val="00EE2051"/>
    <w:rsid w:val="00EE43D8"/>
    <w:rsid w:val="00F00961"/>
    <w:rsid w:val="00F034A3"/>
    <w:rsid w:val="00F06F4E"/>
    <w:rsid w:val="00F10308"/>
    <w:rsid w:val="00F11DA5"/>
    <w:rsid w:val="00F22191"/>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2016-07-20T12:55:00Z</cp:lastPrinted>
  <dcterms:created xsi:type="dcterms:W3CDTF">2016-07-20T09:31:00Z</dcterms:created>
  <dcterms:modified xsi:type="dcterms:W3CDTF">2016-07-20T13:01:00Z</dcterms:modified>
</cp:coreProperties>
</file>