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77" w:rsidRDefault="009E1377" w:rsidP="00B37BD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CLEOGOZ INVESTMENTS (PRIVATE) LIMITED</w:t>
      </w:r>
    </w:p>
    <w:p w:rsidR="00DC6DF9" w:rsidRDefault="00DC6DF9" w:rsidP="00DC6D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E1377" w:rsidRDefault="009E1377" w:rsidP="001F7B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PATRICIA MARY ELIZABETH COX (HOUGAARD)</w:t>
      </w:r>
    </w:p>
    <w:p w:rsidR="009E1377" w:rsidRDefault="00D43A0B" w:rsidP="001F7B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E1377">
        <w:rPr>
          <w:rFonts w:ascii="Times New Roman" w:hAnsi="Times New Roman" w:cs="Times New Roman"/>
          <w:sz w:val="24"/>
          <w:szCs w:val="24"/>
        </w:rPr>
        <w:t>nd</w:t>
      </w:r>
    </w:p>
    <w:p w:rsidR="009E1377" w:rsidRDefault="009E1377" w:rsidP="001F7B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 N.O.</w:t>
      </w:r>
    </w:p>
    <w:p w:rsidR="00123FD7" w:rsidRDefault="009E1377" w:rsidP="001F7B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F7BE4" w:rsidRDefault="001F7BE4" w:rsidP="00D43A0B">
      <w:pPr>
        <w:spacing w:after="0" w:line="36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DC6DF9">
        <w:rPr>
          <w:rFonts w:ascii="Times New Roman" w:hAnsi="Times New Roman" w:cs="Times New Roman"/>
          <w:sz w:val="24"/>
          <w:szCs w:val="24"/>
        </w:rPr>
        <w:t>2</w:t>
      </w:r>
      <w:r w:rsidR="009E1377">
        <w:rPr>
          <w:rFonts w:ascii="Times New Roman" w:hAnsi="Times New Roman" w:cs="Times New Roman"/>
          <w:sz w:val="24"/>
          <w:szCs w:val="24"/>
        </w:rPr>
        <w:t>3</w:t>
      </w:r>
      <w:r w:rsidR="00DC6DF9">
        <w:rPr>
          <w:rFonts w:ascii="Times New Roman" w:hAnsi="Times New Roman" w:cs="Times New Roman"/>
          <w:sz w:val="24"/>
          <w:szCs w:val="24"/>
        </w:rPr>
        <w:t xml:space="preserve"> March</w:t>
      </w:r>
      <w:r w:rsidR="009E1377">
        <w:rPr>
          <w:rFonts w:ascii="Times New Roman" w:hAnsi="Times New Roman" w:cs="Times New Roman"/>
          <w:sz w:val="24"/>
          <w:szCs w:val="24"/>
        </w:rPr>
        <w:t xml:space="preserve"> &amp;</w:t>
      </w:r>
      <w:r w:rsidR="004604D1">
        <w:rPr>
          <w:rFonts w:ascii="Times New Roman" w:hAnsi="Times New Roman" w:cs="Times New Roman"/>
          <w:sz w:val="24"/>
          <w:szCs w:val="24"/>
        </w:rPr>
        <w:t xml:space="preserve"> 26</w:t>
      </w:r>
      <w:r w:rsidR="000B0663">
        <w:rPr>
          <w:rFonts w:ascii="Times New Roman" w:hAnsi="Times New Roman" w:cs="Times New Roman"/>
          <w:sz w:val="24"/>
          <w:szCs w:val="24"/>
        </w:rPr>
        <w:t xml:space="preserve"> April </w:t>
      </w:r>
      <w:r w:rsidR="006651EB">
        <w:rPr>
          <w:rFonts w:ascii="Times New Roman" w:hAnsi="Times New Roman" w:cs="Times New Roman"/>
          <w:sz w:val="24"/>
          <w:szCs w:val="24"/>
        </w:rPr>
        <w:t>201</w:t>
      </w:r>
      <w:r w:rsidR="00DC6DF9">
        <w:rPr>
          <w:rFonts w:ascii="Times New Roman" w:hAnsi="Times New Roman" w:cs="Times New Roman"/>
          <w:sz w:val="24"/>
          <w:szCs w:val="24"/>
        </w:rPr>
        <w:t>7</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9E1377" w:rsidRDefault="009E1377" w:rsidP="00DC6DF9">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DC6DF9">
        <w:rPr>
          <w:rFonts w:ascii="Times New Roman" w:hAnsi="Times New Roman" w:cs="Times New Roman"/>
          <w:b/>
          <w:sz w:val="24"/>
          <w:szCs w:val="24"/>
        </w:rPr>
        <w:t>–</w:t>
      </w:r>
      <w:r w:rsidR="00C210AF">
        <w:rPr>
          <w:rFonts w:ascii="Times New Roman" w:hAnsi="Times New Roman" w:cs="Times New Roman"/>
          <w:b/>
          <w:sz w:val="24"/>
          <w:szCs w:val="24"/>
        </w:rPr>
        <w:t xml:space="preserve"> </w:t>
      </w:r>
      <w:r>
        <w:rPr>
          <w:rFonts w:ascii="Times New Roman" w:hAnsi="Times New Roman" w:cs="Times New Roman"/>
          <w:b/>
          <w:sz w:val="24"/>
          <w:szCs w:val="24"/>
        </w:rPr>
        <w:t>to compel transfer</w:t>
      </w:r>
    </w:p>
    <w:p w:rsidR="001F7BE4" w:rsidRDefault="001F7BE4"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9E1377"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T Mpofu</w:t>
      </w:r>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AD30D7">
        <w:rPr>
          <w:rFonts w:ascii="Times New Roman" w:hAnsi="Times New Roman" w:cs="Times New Roman"/>
          <w:sz w:val="24"/>
          <w:szCs w:val="24"/>
        </w:rPr>
        <w:t>applicant</w:t>
      </w:r>
    </w:p>
    <w:p w:rsidR="00090BBF" w:rsidRDefault="009E1377" w:rsidP="00DC6DF9">
      <w:pPr>
        <w:spacing w:after="0" w:line="240" w:lineRule="auto"/>
        <w:rPr>
          <w:rFonts w:ascii="Times New Roman" w:hAnsi="Times New Roman" w:cs="Times New Roman"/>
          <w:sz w:val="24"/>
          <w:szCs w:val="24"/>
        </w:rPr>
      </w:pPr>
      <w:r>
        <w:rPr>
          <w:rFonts w:ascii="Times New Roman" w:hAnsi="Times New Roman" w:cs="Times New Roman"/>
          <w:i/>
          <w:sz w:val="24"/>
          <w:szCs w:val="24"/>
        </w:rPr>
        <w:t>D Ochieng</w:t>
      </w:r>
      <w:r w:rsidR="00DC6DF9">
        <w:rPr>
          <w:rFonts w:ascii="Times New Roman" w:hAnsi="Times New Roman" w:cs="Times New Roman"/>
          <w:i/>
          <w:sz w:val="24"/>
          <w:szCs w:val="24"/>
        </w:rPr>
        <w:t xml:space="preserve">, </w:t>
      </w:r>
      <w:r w:rsidR="00AD30D7">
        <w:rPr>
          <w:rFonts w:ascii="Times New Roman" w:hAnsi="Times New Roman" w:cs="Times New Roman"/>
          <w:sz w:val="24"/>
          <w:szCs w:val="24"/>
        </w:rPr>
        <w:t xml:space="preserve">for </w:t>
      </w:r>
      <w:r w:rsidR="00DC6DF9">
        <w:rPr>
          <w:rFonts w:ascii="Times New Roman" w:hAnsi="Times New Roman" w:cs="Times New Roman"/>
          <w:sz w:val="24"/>
          <w:szCs w:val="24"/>
        </w:rPr>
        <w:t>respondent</w:t>
      </w:r>
    </w:p>
    <w:p w:rsidR="00D43A0B" w:rsidRDefault="00D43A0B" w:rsidP="00DC6DF9">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714F34" w:rsidRDefault="00AB626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802A1">
        <w:rPr>
          <w:rFonts w:ascii="Times New Roman" w:hAnsi="Times New Roman" w:cs="Times New Roman"/>
          <w:sz w:val="24"/>
          <w:szCs w:val="24"/>
        </w:rPr>
        <w:t>Th</w:t>
      </w:r>
      <w:r w:rsidR="005F5D5C">
        <w:rPr>
          <w:rFonts w:ascii="Times New Roman" w:hAnsi="Times New Roman" w:cs="Times New Roman"/>
          <w:sz w:val="24"/>
          <w:szCs w:val="24"/>
        </w:rPr>
        <w:t>is is a</w:t>
      </w:r>
      <w:r w:rsidR="005023C5">
        <w:rPr>
          <w:rFonts w:ascii="Times New Roman" w:hAnsi="Times New Roman" w:cs="Times New Roman"/>
          <w:sz w:val="24"/>
          <w:szCs w:val="24"/>
        </w:rPr>
        <w:t xml:space="preserve">n </w:t>
      </w:r>
      <w:r w:rsidR="00DC6DF9">
        <w:rPr>
          <w:rFonts w:ascii="Times New Roman" w:hAnsi="Times New Roman" w:cs="Times New Roman"/>
          <w:sz w:val="24"/>
          <w:szCs w:val="24"/>
        </w:rPr>
        <w:t xml:space="preserve">application </w:t>
      </w:r>
      <w:r w:rsidR="009E1377">
        <w:rPr>
          <w:rFonts w:ascii="Times New Roman" w:hAnsi="Times New Roman" w:cs="Times New Roman"/>
          <w:sz w:val="24"/>
          <w:szCs w:val="24"/>
        </w:rPr>
        <w:t>to compel transfer consequent upon an agreement of sale of “proposed subdivision B of Lot 369 Highlands Estate of Welmoed measuring approximately 2033</w:t>
      </w:r>
      <w:r w:rsidR="0087469A">
        <w:rPr>
          <w:rFonts w:ascii="Times New Roman" w:hAnsi="Times New Roman" w:cs="Times New Roman"/>
          <w:sz w:val="24"/>
          <w:szCs w:val="24"/>
        </w:rPr>
        <w:t xml:space="preserve"> square </w:t>
      </w:r>
      <w:r w:rsidR="009E1377">
        <w:rPr>
          <w:rFonts w:ascii="Times New Roman" w:hAnsi="Times New Roman" w:cs="Times New Roman"/>
          <w:sz w:val="24"/>
          <w:szCs w:val="24"/>
        </w:rPr>
        <w:t>metre</w:t>
      </w:r>
      <w:r w:rsidR="0087469A">
        <w:rPr>
          <w:rFonts w:ascii="Times New Roman" w:hAnsi="Times New Roman" w:cs="Times New Roman"/>
          <w:sz w:val="24"/>
          <w:szCs w:val="24"/>
        </w:rPr>
        <w:t xml:space="preserve">s” entered into between the applicant and </w:t>
      </w:r>
      <w:r w:rsidR="00D43A0B">
        <w:rPr>
          <w:rFonts w:ascii="Times New Roman" w:hAnsi="Times New Roman" w:cs="Times New Roman"/>
          <w:sz w:val="24"/>
          <w:szCs w:val="24"/>
        </w:rPr>
        <w:t>the first</w:t>
      </w:r>
      <w:r w:rsidR="0087469A">
        <w:rPr>
          <w:rFonts w:ascii="Times New Roman" w:hAnsi="Times New Roman" w:cs="Times New Roman"/>
          <w:sz w:val="24"/>
          <w:szCs w:val="24"/>
        </w:rPr>
        <w:t xml:space="preserve"> respondent in January 2015. </w:t>
      </w:r>
    </w:p>
    <w:p w:rsidR="0087469A" w:rsidRDefault="0087469A" w:rsidP="004F55AD">
      <w:pPr>
        <w:spacing w:after="0" w:line="240" w:lineRule="auto"/>
        <w:ind w:firstLine="720"/>
        <w:jc w:val="both"/>
        <w:rPr>
          <w:rFonts w:ascii="Times New Roman" w:hAnsi="Times New Roman" w:cs="Times New Roman"/>
          <w:b/>
          <w:sz w:val="24"/>
          <w:szCs w:val="24"/>
        </w:rPr>
      </w:pPr>
    </w:p>
    <w:p w:rsidR="00714F34" w:rsidRDefault="002314FD" w:rsidP="001F7BE4">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The f</w:t>
      </w:r>
      <w:r w:rsidR="0087469A">
        <w:rPr>
          <w:rFonts w:ascii="Times New Roman" w:hAnsi="Times New Roman" w:cs="Times New Roman"/>
          <w:b/>
          <w:sz w:val="24"/>
          <w:szCs w:val="24"/>
        </w:rPr>
        <w:t xml:space="preserve">acts </w:t>
      </w:r>
    </w:p>
    <w:p w:rsidR="0087469A" w:rsidRDefault="0087469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the parties entered into the agreement of sale aforesaid</w:t>
      </w:r>
      <w:r w:rsidR="006C2CD2">
        <w:rPr>
          <w:rFonts w:ascii="Times New Roman" w:hAnsi="Times New Roman" w:cs="Times New Roman"/>
          <w:sz w:val="24"/>
          <w:szCs w:val="24"/>
        </w:rPr>
        <w:t xml:space="preserve"> or that the purchase price was $75 000</w:t>
      </w:r>
      <w:r>
        <w:rPr>
          <w:rFonts w:ascii="Times New Roman" w:hAnsi="Times New Roman" w:cs="Times New Roman"/>
          <w:sz w:val="24"/>
          <w:szCs w:val="24"/>
        </w:rPr>
        <w:t xml:space="preserve">. Nor is it disputed that at the time the agreement was entered into, </w:t>
      </w:r>
      <w:r w:rsidR="00DB0B30">
        <w:rPr>
          <w:rFonts w:ascii="Times New Roman" w:hAnsi="Times New Roman" w:cs="Times New Roman"/>
          <w:sz w:val="24"/>
          <w:szCs w:val="24"/>
        </w:rPr>
        <w:t xml:space="preserve">a </w:t>
      </w:r>
      <w:r>
        <w:rPr>
          <w:rFonts w:ascii="Times New Roman" w:hAnsi="Times New Roman" w:cs="Times New Roman"/>
          <w:sz w:val="24"/>
          <w:szCs w:val="24"/>
        </w:rPr>
        <w:t>subdivision permit had not yet been granted by the local authority</w:t>
      </w:r>
      <w:r w:rsidR="008D0040">
        <w:rPr>
          <w:rFonts w:ascii="Times New Roman" w:hAnsi="Times New Roman" w:cs="Times New Roman"/>
          <w:sz w:val="24"/>
          <w:szCs w:val="24"/>
        </w:rPr>
        <w:t>, or that the agreement was never cancelled</w:t>
      </w:r>
      <w:r>
        <w:rPr>
          <w:rFonts w:ascii="Times New Roman" w:hAnsi="Times New Roman" w:cs="Times New Roman"/>
          <w:sz w:val="24"/>
          <w:szCs w:val="24"/>
        </w:rPr>
        <w:t>.</w:t>
      </w:r>
    </w:p>
    <w:p w:rsidR="00DB0B30" w:rsidRDefault="00DB0B30" w:rsidP="00D43A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further not disputed that</w:t>
      </w:r>
      <w:r w:rsidR="00D43A0B">
        <w:rPr>
          <w:rFonts w:ascii="Times New Roman" w:hAnsi="Times New Roman" w:cs="Times New Roman"/>
          <w:sz w:val="24"/>
          <w:szCs w:val="24"/>
        </w:rPr>
        <w:t xml:space="preserve"> the </w:t>
      </w:r>
      <w:r>
        <w:rPr>
          <w:rFonts w:ascii="Times New Roman" w:hAnsi="Times New Roman" w:cs="Times New Roman"/>
          <w:sz w:val="24"/>
          <w:szCs w:val="24"/>
        </w:rPr>
        <w:t>plaintiff made payments towards the purchase price in full.</w:t>
      </w:r>
    </w:p>
    <w:p w:rsidR="002314FD" w:rsidRDefault="002314FD" w:rsidP="00D43A0B">
      <w:pPr>
        <w:spacing w:after="0" w:line="360" w:lineRule="auto"/>
        <w:ind w:firstLine="720"/>
        <w:jc w:val="both"/>
        <w:rPr>
          <w:rFonts w:ascii="Times New Roman" w:hAnsi="Times New Roman" w:cs="Times New Roman"/>
          <w:sz w:val="24"/>
          <w:szCs w:val="24"/>
        </w:rPr>
      </w:pPr>
    </w:p>
    <w:p w:rsidR="00DB0B30" w:rsidRPr="00DB0B30" w:rsidRDefault="002314FD" w:rsidP="001F7BE4">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The d</w:t>
      </w:r>
      <w:r w:rsidR="00DB0B30">
        <w:rPr>
          <w:rFonts w:ascii="Times New Roman" w:hAnsi="Times New Roman" w:cs="Times New Roman"/>
          <w:b/>
          <w:sz w:val="24"/>
          <w:szCs w:val="24"/>
        </w:rPr>
        <w:t>ispute between the parties</w:t>
      </w:r>
    </w:p>
    <w:p w:rsidR="00DB0B30" w:rsidRDefault="00DB0B30"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are not agreed </w:t>
      </w:r>
      <w:r w:rsidR="0087469A">
        <w:rPr>
          <w:rFonts w:ascii="Times New Roman" w:hAnsi="Times New Roman" w:cs="Times New Roman"/>
          <w:sz w:val="24"/>
          <w:szCs w:val="24"/>
        </w:rPr>
        <w:t xml:space="preserve">as to who appointed the Estate Agents in the matter. </w:t>
      </w:r>
      <w:r w:rsidR="00D43A0B">
        <w:rPr>
          <w:rFonts w:ascii="Times New Roman" w:hAnsi="Times New Roman" w:cs="Times New Roman"/>
          <w:sz w:val="24"/>
          <w:szCs w:val="24"/>
        </w:rPr>
        <w:t>The a</w:t>
      </w:r>
      <w:r w:rsidR="0087469A">
        <w:rPr>
          <w:rFonts w:ascii="Times New Roman" w:hAnsi="Times New Roman" w:cs="Times New Roman"/>
          <w:sz w:val="24"/>
          <w:szCs w:val="24"/>
        </w:rPr>
        <w:t xml:space="preserve">pplicant avers that Trevor Dollar Real Estate Company was the agent for the </w:t>
      </w:r>
      <w:r w:rsidR="00D43A0B">
        <w:rPr>
          <w:rFonts w:ascii="Times New Roman" w:hAnsi="Times New Roman" w:cs="Times New Roman"/>
          <w:sz w:val="24"/>
          <w:szCs w:val="24"/>
        </w:rPr>
        <w:t>first</w:t>
      </w:r>
      <w:r w:rsidR="00F64ED8">
        <w:rPr>
          <w:rFonts w:ascii="Times New Roman" w:hAnsi="Times New Roman" w:cs="Times New Roman"/>
          <w:sz w:val="24"/>
          <w:szCs w:val="24"/>
        </w:rPr>
        <w:t xml:space="preserve"> </w:t>
      </w:r>
      <w:r w:rsidR="0087469A">
        <w:rPr>
          <w:rFonts w:ascii="Times New Roman" w:hAnsi="Times New Roman" w:cs="Times New Roman"/>
          <w:sz w:val="24"/>
          <w:szCs w:val="24"/>
        </w:rPr>
        <w:t>respondent, while the</w:t>
      </w:r>
      <w:r w:rsidR="00F64ED8">
        <w:rPr>
          <w:rFonts w:ascii="Times New Roman" w:hAnsi="Times New Roman" w:cs="Times New Roman"/>
          <w:sz w:val="24"/>
          <w:szCs w:val="24"/>
        </w:rPr>
        <w:t xml:space="preserve"> </w:t>
      </w:r>
      <w:r w:rsidR="00D43A0B">
        <w:rPr>
          <w:rFonts w:ascii="Times New Roman" w:hAnsi="Times New Roman" w:cs="Times New Roman"/>
          <w:sz w:val="24"/>
          <w:szCs w:val="24"/>
        </w:rPr>
        <w:t>first</w:t>
      </w:r>
      <w:r w:rsidR="00F64ED8">
        <w:rPr>
          <w:rFonts w:ascii="Times New Roman" w:hAnsi="Times New Roman" w:cs="Times New Roman"/>
          <w:sz w:val="24"/>
          <w:szCs w:val="24"/>
        </w:rPr>
        <w:t xml:space="preserve"> </w:t>
      </w:r>
      <w:r w:rsidR="0087469A">
        <w:rPr>
          <w:rFonts w:ascii="Times New Roman" w:hAnsi="Times New Roman" w:cs="Times New Roman"/>
          <w:sz w:val="24"/>
          <w:szCs w:val="24"/>
        </w:rPr>
        <w:t>respondent avers the contrary.</w:t>
      </w:r>
      <w:r w:rsidR="006C2CD2">
        <w:rPr>
          <w:rFonts w:ascii="Times New Roman" w:hAnsi="Times New Roman" w:cs="Times New Roman"/>
          <w:sz w:val="24"/>
          <w:szCs w:val="24"/>
        </w:rPr>
        <w:t xml:space="preserve"> </w:t>
      </w:r>
    </w:p>
    <w:p w:rsidR="006C2CD2" w:rsidRDefault="00DB0B30"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there is a dispute as to whether the purchase price was paid</w:t>
      </w:r>
      <w:r w:rsidR="008612B7">
        <w:rPr>
          <w:rFonts w:ascii="Times New Roman" w:hAnsi="Times New Roman" w:cs="Times New Roman"/>
          <w:sz w:val="24"/>
          <w:szCs w:val="24"/>
        </w:rPr>
        <w:t xml:space="preserve"> to the </w:t>
      </w:r>
      <w:r w:rsidR="002314FD">
        <w:rPr>
          <w:rFonts w:ascii="Times New Roman" w:hAnsi="Times New Roman" w:cs="Times New Roman"/>
          <w:sz w:val="24"/>
          <w:szCs w:val="24"/>
        </w:rPr>
        <w:t xml:space="preserve">first </w:t>
      </w:r>
      <w:r w:rsidR="008612B7">
        <w:rPr>
          <w:rFonts w:ascii="Times New Roman" w:hAnsi="Times New Roman" w:cs="Times New Roman"/>
          <w:sz w:val="24"/>
          <w:szCs w:val="24"/>
        </w:rPr>
        <w:t>respondent</w:t>
      </w:r>
      <w:r>
        <w:rPr>
          <w:rFonts w:ascii="Times New Roman" w:hAnsi="Times New Roman" w:cs="Times New Roman"/>
          <w:sz w:val="24"/>
          <w:szCs w:val="24"/>
        </w:rPr>
        <w:t xml:space="preserve">. </w:t>
      </w:r>
      <w:r w:rsidR="00D43A0B">
        <w:rPr>
          <w:rFonts w:ascii="Times New Roman" w:hAnsi="Times New Roman" w:cs="Times New Roman"/>
          <w:sz w:val="24"/>
          <w:szCs w:val="24"/>
        </w:rPr>
        <w:t>The a</w:t>
      </w:r>
      <w:r w:rsidR="0087469A">
        <w:rPr>
          <w:rFonts w:ascii="Times New Roman" w:hAnsi="Times New Roman" w:cs="Times New Roman"/>
          <w:sz w:val="24"/>
          <w:szCs w:val="24"/>
        </w:rPr>
        <w:t xml:space="preserve">pplicant claims that it </w:t>
      </w:r>
      <w:r w:rsidR="006C2CD2">
        <w:rPr>
          <w:rFonts w:ascii="Times New Roman" w:hAnsi="Times New Roman" w:cs="Times New Roman"/>
          <w:sz w:val="24"/>
          <w:szCs w:val="24"/>
        </w:rPr>
        <w:t>p</w:t>
      </w:r>
      <w:r w:rsidR="0087469A">
        <w:rPr>
          <w:rFonts w:ascii="Times New Roman" w:hAnsi="Times New Roman" w:cs="Times New Roman"/>
          <w:sz w:val="24"/>
          <w:szCs w:val="24"/>
        </w:rPr>
        <w:t>aid the purchase pri</w:t>
      </w:r>
      <w:r w:rsidR="006C2CD2">
        <w:rPr>
          <w:rFonts w:ascii="Times New Roman" w:hAnsi="Times New Roman" w:cs="Times New Roman"/>
          <w:sz w:val="24"/>
          <w:szCs w:val="24"/>
        </w:rPr>
        <w:t>ce in full</w:t>
      </w:r>
      <w:r>
        <w:rPr>
          <w:rFonts w:ascii="Times New Roman" w:hAnsi="Times New Roman" w:cs="Times New Roman"/>
          <w:sz w:val="24"/>
          <w:szCs w:val="24"/>
        </w:rPr>
        <w:t xml:space="preserve"> to the </w:t>
      </w:r>
      <w:r w:rsidR="00D43A0B">
        <w:rPr>
          <w:rFonts w:ascii="Times New Roman" w:hAnsi="Times New Roman" w:cs="Times New Roman"/>
          <w:sz w:val="24"/>
          <w:szCs w:val="24"/>
        </w:rPr>
        <w:t>first</w:t>
      </w:r>
      <w:r w:rsidR="00F64ED8">
        <w:rPr>
          <w:rFonts w:ascii="Times New Roman" w:hAnsi="Times New Roman" w:cs="Times New Roman"/>
          <w:sz w:val="24"/>
          <w:szCs w:val="24"/>
        </w:rPr>
        <w:t xml:space="preserve"> </w:t>
      </w:r>
      <w:r>
        <w:rPr>
          <w:rFonts w:ascii="Times New Roman" w:hAnsi="Times New Roman" w:cs="Times New Roman"/>
          <w:sz w:val="24"/>
          <w:szCs w:val="24"/>
        </w:rPr>
        <w:lastRenderedPageBreak/>
        <w:t>respondent’s agents, Trevor Dollar Real Estate Company</w:t>
      </w:r>
      <w:r w:rsidR="006C2CD2">
        <w:rPr>
          <w:rFonts w:ascii="Times New Roman" w:hAnsi="Times New Roman" w:cs="Times New Roman"/>
          <w:sz w:val="24"/>
          <w:szCs w:val="24"/>
        </w:rPr>
        <w:t>. It attached receipts and RTGS transfer forms showing payment to Trevor Dollar trust account in the amount of $87 200.</w:t>
      </w:r>
    </w:p>
    <w:p w:rsidR="00F64ED8" w:rsidRDefault="00F64ED8"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argues that, the estate agents, being the </w:t>
      </w:r>
      <w:r w:rsidR="006A397A">
        <w:rPr>
          <w:rFonts w:ascii="Times New Roman" w:hAnsi="Times New Roman" w:cs="Times New Roman"/>
          <w:sz w:val="24"/>
          <w:szCs w:val="24"/>
        </w:rPr>
        <w:t>first</w:t>
      </w:r>
      <w:r>
        <w:rPr>
          <w:rFonts w:ascii="Times New Roman" w:hAnsi="Times New Roman" w:cs="Times New Roman"/>
          <w:sz w:val="24"/>
          <w:szCs w:val="24"/>
        </w:rPr>
        <w:t xml:space="preserve"> respondent’s agent for the sale of her property on commission, once the applicant paid the purchase price and transfer fees to them, it discharged its obligations and was entitled to transfer. </w:t>
      </w:r>
      <w:r w:rsidR="006A397A">
        <w:rPr>
          <w:rFonts w:ascii="Times New Roman" w:hAnsi="Times New Roman" w:cs="Times New Roman"/>
          <w:sz w:val="24"/>
          <w:szCs w:val="24"/>
        </w:rPr>
        <w:t>The a</w:t>
      </w:r>
      <w:r>
        <w:rPr>
          <w:rFonts w:ascii="Times New Roman" w:hAnsi="Times New Roman" w:cs="Times New Roman"/>
          <w:sz w:val="24"/>
          <w:szCs w:val="24"/>
        </w:rPr>
        <w:t xml:space="preserve">pplicant based this averment on the fact that </w:t>
      </w:r>
      <w:r w:rsidR="006A397A">
        <w:rPr>
          <w:rFonts w:ascii="Times New Roman" w:hAnsi="Times New Roman" w:cs="Times New Roman"/>
          <w:sz w:val="24"/>
          <w:szCs w:val="24"/>
        </w:rPr>
        <w:t xml:space="preserve">the first </w:t>
      </w:r>
      <w:r>
        <w:rPr>
          <w:rFonts w:ascii="Times New Roman" w:hAnsi="Times New Roman" w:cs="Times New Roman"/>
          <w:sz w:val="24"/>
          <w:szCs w:val="24"/>
        </w:rPr>
        <w:t xml:space="preserve">respondent was a personal friend of Mr Trevor Dollar, and Trevor Dollar Estate Agents advertised that </w:t>
      </w:r>
      <w:r w:rsidR="006A397A">
        <w:rPr>
          <w:rFonts w:ascii="Times New Roman" w:hAnsi="Times New Roman" w:cs="Times New Roman"/>
          <w:sz w:val="24"/>
          <w:szCs w:val="24"/>
        </w:rPr>
        <w:t>the first</w:t>
      </w:r>
      <w:r>
        <w:rPr>
          <w:rFonts w:ascii="Times New Roman" w:hAnsi="Times New Roman" w:cs="Times New Roman"/>
          <w:sz w:val="24"/>
          <w:szCs w:val="24"/>
        </w:rPr>
        <w:t xml:space="preserve"> respondent’s intended to sell subdivisions of her land. </w:t>
      </w:r>
      <w:r w:rsidR="002314FD">
        <w:rPr>
          <w:rFonts w:ascii="Times New Roman" w:hAnsi="Times New Roman" w:cs="Times New Roman"/>
          <w:sz w:val="24"/>
          <w:szCs w:val="24"/>
        </w:rPr>
        <w:t>In any event, if Trevor Dollar Real Estate Company was its agent, that would be tantamount to making payment to itself, which would be illogical.</w:t>
      </w:r>
    </w:p>
    <w:p w:rsidR="00F64ED8" w:rsidRDefault="00F64ED8" w:rsidP="00F64E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her part, </w:t>
      </w:r>
      <w:r w:rsidR="006A397A">
        <w:rPr>
          <w:rFonts w:ascii="Times New Roman" w:hAnsi="Times New Roman" w:cs="Times New Roman"/>
          <w:sz w:val="24"/>
          <w:szCs w:val="24"/>
        </w:rPr>
        <w:t>the first</w:t>
      </w:r>
      <w:r>
        <w:rPr>
          <w:rFonts w:ascii="Times New Roman" w:hAnsi="Times New Roman" w:cs="Times New Roman"/>
          <w:sz w:val="24"/>
          <w:szCs w:val="24"/>
        </w:rPr>
        <w:t xml:space="preserve"> r</w:t>
      </w:r>
      <w:r w:rsidR="006C2CD2">
        <w:rPr>
          <w:rFonts w:ascii="Times New Roman" w:hAnsi="Times New Roman" w:cs="Times New Roman"/>
          <w:sz w:val="24"/>
          <w:szCs w:val="24"/>
        </w:rPr>
        <w:t xml:space="preserve">espondent </w:t>
      </w:r>
      <w:r>
        <w:rPr>
          <w:rFonts w:ascii="Times New Roman" w:hAnsi="Times New Roman" w:cs="Times New Roman"/>
          <w:sz w:val="24"/>
          <w:szCs w:val="24"/>
        </w:rPr>
        <w:t>submits</w:t>
      </w:r>
      <w:r w:rsidR="006C2CD2">
        <w:rPr>
          <w:rFonts w:ascii="Times New Roman" w:hAnsi="Times New Roman" w:cs="Times New Roman"/>
          <w:sz w:val="24"/>
          <w:szCs w:val="24"/>
        </w:rPr>
        <w:t xml:space="preserve"> that she never</w:t>
      </w:r>
      <w:r>
        <w:rPr>
          <w:rFonts w:ascii="Times New Roman" w:hAnsi="Times New Roman" w:cs="Times New Roman"/>
          <w:sz w:val="24"/>
          <w:szCs w:val="24"/>
        </w:rPr>
        <w:t xml:space="preserve"> received any payment from the e</w:t>
      </w:r>
      <w:r w:rsidR="006C2CD2">
        <w:rPr>
          <w:rFonts w:ascii="Times New Roman" w:hAnsi="Times New Roman" w:cs="Times New Roman"/>
          <w:sz w:val="24"/>
          <w:szCs w:val="24"/>
        </w:rPr>
        <w:t>state agents</w:t>
      </w:r>
      <w:r w:rsidR="00DB0B30">
        <w:rPr>
          <w:rFonts w:ascii="Times New Roman" w:hAnsi="Times New Roman" w:cs="Times New Roman"/>
          <w:sz w:val="24"/>
          <w:szCs w:val="24"/>
        </w:rPr>
        <w:t xml:space="preserve">. </w:t>
      </w:r>
      <w:r w:rsidR="002314FD">
        <w:rPr>
          <w:rFonts w:ascii="Times New Roman" w:hAnsi="Times New Roman" w:cs="Times New Roman"/>
          <w:sz w:val="24"/>
          <w:szCs w:val="24"/>
        </w:rPr>
        <w:t>Besides</w:t>
      </w:r>
      <w:r>
        <w:rPr>
          <w:rFonts w:ascii="Times New Roman" w:hAnsi="Times New Roman" w:cs="Times New Roman"/>
          <w:sz w:val="24"/>
          <w:szCs w:val="24"/>
        </w:rPr>
        <w:t>, she was not the principal of Trevor Dollar Estate Agents and since she never received the purchase price from them, she is therefore not obliged to transfer the property.</w:t>
      </w:r>
    </w:p>
    <w:p w:rsidR="008D0040" w:rsidRPr="006A397A" w:rsidRDefault="00790FA2"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B0B30">
        <w:rPr>
          <w:rFonts w:ascii="Times New Roman" w:hAnsi="Times New Roman" w:cs="Times New Roman"/>
          <w:sz w:val="24"/>
          <w:szCs w:val="24"/>
        </w:rPr>
        <w:t xml:space="preserve">third area of dispute is whether there was a valid agreement of sale between the parties. The </w:t>
      </w:r>
      <w:r w:rsidR="00A23462">
        <w:rPr>
          <w:rFonts w:ascii="Times New Roman" w:hAnsi="Times New Roman" w:cs="Times New Roman"/>
          <w:sz w:val="24"/>
          <w:szCs w:val="24"/>
        </w:rPr>
        <w:t xml:space="preserve">applicant submits that the parties concluded a conditional sale, subject to the </w:t>
      </w:r>
      <w:r w:rsidR="002314FD">
        <w:rPr>
          <w:rFonts w:ascii="Times New Roman" w:hAnsi="Times New Roman" w:cs="Times New Roman"/>
          <w:sz w:val="24"/>
          <w:szCs w:val="24"/>
        </w:rPr>
        <w:t>first respondent</w:t>
      </w:r>
      <w:r w:rsidR="00A23462">
        <w:rPr>
          <w:rFonts w:ascii="Times New Roman" w:hAnsi="Times New Roman" w:cs="Times New Roman"/>
          <w:sz w:val="24"/>
          <w:szCs w:val="24"/>
        </w:rPr>
        <w:t xml:space="preserve"> obtaining a subdivision permit, which was a condition precedent. There was thus no contract between the parties until the permit was obtained. Once the permit </w:t>
      </w:r>
      <w:r w:rsidR="008D0040">
        <w:rPr>
          <w:rFonts w:ascii="Times New Roman" w:hAnsi="Times New Roman" w:cs="Times New Roman"/>
          <w:sz w:val="24"/>
          <w:szCs w:val="24"/>
        </w:rPr>
        <w:t xml:space="preserve">was issued, </w:t>
      </w:r>
      <w:r w:rsidR="00F64ED8">
        <w:rPr>
          <w:rFonts w:ascii="Times New Roman" w:hAnsi="Times New Roman" w:cs="Times New Roman"/>
          <w:sz w:val="24"/>
          <w:szCs w:val="24"/>
        </w:rPr>
        <w:t>it brought t</w:t>
      </w:r>
      <w:r w:rsidR="00A23462">
        <w:rPr>
          <w:rFonts w:ascii="Times New Roman" w:hAnsi="Times New Roman" w:cs="Times New Roman"/>
          <w:sz w:val="24"/>
          <w:szCs w:val="24"/>
        </w:rPr>
        <w:t>he contract into existence. Therefore at the time the contract came into existence it was not contrary to the provisions of the law as it did not contravene ss</w:t>
      </w:r>
      <w:r w:rsidR="006A397A">
        <w:rPr>
          <w:rFonts w:ascii="Times New Roman" w:hAnsi="Times New Roman" w:cs="Times New Roman"/>
          <w:sz w:val="24"/>
          <w:szCs w:val="24"/>
        </w:rPr>
        <w:t xml:space="preserve"> </w:t>
      </w:r>
      <w:r w:rsidR="00A23462">
        <w:rPr>
          <w:rFonts w:ascii="Times New Roman" w:hAnsi="Times New Roman" w:cs="Times New Roman"/>
          <w:sz w:val="24"/>
          <w:szCs w:val="24"/>
        </w:rPr>
        <w:t xml:space="preserve">39 and 40 of the Regional Town and Country Planning Act, </w:t>
      </w:r>
      <w:r w:rsidR="006A397A">
        <w:rPr>
          <w:rFonts w:ascii="Times New Roman" w:hAnsi="Times New Roman" w:cs="Times New Roman"/>
          <w:sz w:val="24"/>
          <w:szCs w:val="24"/>
        </w:rPr>
        <w:t>[</w:t>
      </w:r>
      <w:r w:rsidR="00A23462" w:rsidRPr="006A397A">
        <w:rPr>
          <w:rFonts w:ascii="Times New Roman" w:hAnsi="Times New Roman" w:cs="Times New Roman"/>
          <w:i/>
          <w:sz w:val="24"/>
          <w:szCs w:val="24"/>
        </w:rPr>
        <w:t>C</w:t>
      </w:r>
      <w:r w:rsidR="006A397A">
        <w:rPr>
          <w:rFonts w:ascii="Times New Roman" w:hAnsi="Times New Roman" w:cs="Times New Roman"/>
          <w:i/>
          <w:sz w:val="24"/>
          <w:szCs w:val="24"/>
        </w:rPr>
        <w:t>hapter</w:t>
      </w:r>
      <w:r w:rsidR="00A23462" w:rsidRPr="006A397A">
        <w:rPr>
          <w:rFonts w:ascii="Times New Roman" w:hAnsi="Times New Roman" w:cs="Times New Roman"/>
          <w:i/>
          <w:sz w:val="24"/>
          <w:szCs w:val="24"/>
        </w:rPr>
        <w:t xml:space="preserve"> 29:12</w:t>
      </w:r>
      <w:r w:rsidR="006A397A">
        <w:rPr>
          <w:rFonts w:ascii="Times New Roman" w:hAnsi="Times New Roman" w:cs="Times New Roman"/>
          <w:sz w:val="24"/>
          <w:szCs w:val="24"/>
        </w:rPr>
        <w:t>]</w:t>
      </w:r>
      <w:r w:rsidR="00A23462" w:rsidRPr="006A397A">
        <w:rPr>
          <w:rFonts w:ascii="Times New Roman" w:hAnsi="Times New Roman" w:cs="Times New Roman"/>
          <w:i/>
          <w:sz w:val="24"/>
          <w:szCs w:val="24"/>
        </w:rPr>
        <w:t>.</w:t>
      </w:r>
    </w:p>
    <w:p w:rsidR="002314FD" w:rsidRDefault="008D0040" w:rsidP="00B407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her part, </w:t>
      </w:r>
      <w:r w:rsidR="006A397A">
        <w:rPr>
          <w:rFonts w:ascii="Times New Roman" w:hAnsi="Times New Roman" w:cs="Times New Roman"/>
          <w:sz w:val="24"/>
          <w:szCs w:val="24"/>
        </w:rPr>
        <w:t>the first</w:t>
      </w:r>
      <w:r>
        <w:rPr>
          <w:rFonts w:ascii="Times New Roman" w:hAnsi="Times New Roman" w:cs="Times New Roman"/>
          <w:sz w:val="24"/>
          <w:szCs w:val="24"/>
        </w:rPr>
        <w:t xml:space="preserve"> respondent submits that th</w:t>
      </w:r>
      <w:r w:rsidR="00F64ED8">
        <w:rPr>
          <w:rFonts w:ascii="Times New Roman" w:hAnsi="Times New Roman" w:cs="Times New Roman"/>
          <w:sz w:val="24"/>
          <w:szCs w:val="24"/>
        </w:rPr>
        <w:t>er</w:t>
      </w:r>
      <w:r>
        <w:rPr>
          <w:rFonts w:ascii="Times New Roman" w:hAnsi="Times New Roman" w:cs="Times New Roman"/>
          <w:sz w:val="24"/>
          <w:szCs w:val="24"/>
        </w:rPr>
        <w:t>e</w:t>
      </w:r>
      <w:r w:rsidR="00F64ED8">
        <w:rPr>
          <w:rFonts w:ascii="Times New Roman" w:hAnsi="Times New Roman" w:cs="Times New Roman"/>
          <w:sz w:val="24"/>
          <w:szCs w:val="24"/>
        </w:rPr>
        <w:t xml:space="preserve"> was no condition precedent to the </w:t>
      </w:r>
      <w:r>
        <w:rPr>
          <w:rFonts w:ascii="Times New Roman" w:hAnsi="Times New Roman" w:cs="Times New Roman"/>
          <w:sz w:val="24"/>
          <w:szCs w:val="24"/>
        </w:rPr>
        <w:t xml:space="preserve">sale </w:t>
      </w:r>
      <w:r w:rsidR="00F64ED8">
        <w:rPr>
          <w:rFonts w:ascii="Times New Roman" w:hAnsi="Times New Roman" w:cs="Times New Roman"/>
          <w:sz w:val="24"/>
          <w:szCs w:val="24"/>
        </w:rPr>
        <w:t xml:space="preserve">and it </w:t>
      </w:r>
      <w:r>
        <w:rPr>
          <w:rFonts w:ascii="Times New Roman" w:hAnsi="Times New Roman" w:cs="Times New Roman"/>
          <w:sz w:val="24"/>
          <w:szCs w:val="24"/>
        </w:rPr>
        <w:t>was</w:t>
      </w:r>
      <w:r w:rsidR="00F64ED8">
        <w:rPr>
          <w:rFonts w:ascii="Times New Roman" w:hAnsi="Times New Roman" w:cs="Times New Roman"/>
          <w:sz w:val="24"/>
          <w:szCs w:val="24"/>
        </w:rPr>
        <w:t xml:space="preserve"> thus</w:t>
      </w:r>
      <w:r>
        <w:rPr>
          <w:rFonts w:ascii="Times New Roman" w:hAnsi="Times New Roman" w:cs="Times New Roman"/>
          <w:sz w:val="24"/>
          <w:szCs w:val="24"/>
        </w:rPr>
        <w:t xml:space="preserve"> illegal as it was contrary to the Regional Town and Country Planning Act aforesaid and is therefore unenforceable. </w:t>
      </w:r>
    </w:p>
    <w:p w:rsidR="00B40729" w:rsidRPr="006A397A" w:rsidRDefault="00B40729" w:rsidP="00B40729">
      <w:pPr>
        <w:spacing w:after="0" w:line="360" w:lineRule="auto"/>
        <w:ind w:firstLine="720"/>
        <w:jc w:val="both"/>
        <w:rPr>
          <w:rFonts w:ascii="Times New Roman" w:hAnsi="Times New Roman" w:cs="Times New Roman"/>
          <w:sz w:val="24"/>
          <w:szCs w:val="24"/>
        </w:rPr>
      </w:pPr>
    </w:p>
    <w:p w:rsidR="00384346" w:rsidRPr="00384346" w:rsidRDefault="008612B7" w:rsidP="009C29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Who was the principal of Trevor Dollar Real Estate Company?</w:t>
      </w:r>
    </w:p>
    <w:p w:rsidR="008612B7" w:rsidRDefault="00BF2D1A"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8612B7">
        <w:rPr>
          <w:rFonts w:ascii="Times New Roman" w:hAnsi="Times New Roman" w:cs="Times New Roman"/>
          <w:sz w:val="24"/>
          <w:szCs w:val="24"/>
        </w:rPr>
        <w:t>seems to me that once I make a finding on Trevor Dollar Real Estate Company’s agency, the second area of dispute will be resolved as well.</w:t>
      </w:r>
    </w:p>
    <w:p w:rsidR="008612B7" w:rsidRDefault="008612B7" w:rsidP="008612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documentary proof on its own is not very helpful. The receipts from the estate agents show the applicant as the “client”. </w:t>
      </w:r>
      <w:r w:rsidR="0075466E">
        <w:rPr>
          <w:rFonts w:ascii="Times New Roman" w:hAnsi="Times New Roman" w:cs="Times New Roman"/>
          <w:sz w:val="24"/>
          <w:szCs w:val="24"/>
        </w:rPr>
        <w:t>On the other hand</w:t>
      </w:r>
      <w:r>
        <w:rPr>
          <w:rFonts w:ascii="Times New Roman" w:hAnsi="Times New Roman" w:cs="Times New Roman"/>
          <w:sz w:val="24"/>
          <w:szCs w:val="24"/>
        </w:rPr>
        <w:t xml:space="preserve">, the estate agent charged commission against the </w:t>
      </w:r>
      <w:r w:rsidR="006A397A">
        <w:rPr>
          <w:rFonts w:ascii="Times New Roman" w:hAnsi="Times New Roman" w:cs="Times New Roman"/>
          <w:sz w:val="24"/>
          <w:szCs w:val="24"/>
        </w:rPr>
        <w:t>first</w:t>
      </w:r>
      <w:r>
        <w:rPr>
          <w:rFonts w:ascii="Times New Roman" w:hAnsi="Times New Roman" w:cs="Times New Roman"/>
          <w:sz w:val="24"/>
          <w:szCs w:val="24"/>
        </w:rPr>
        <w:t xml:space="preserve"> respondent, thus raising the presumption that she was indeed the client.</w:t>
      </w:r>
    </w:p>
    <w:p w:rsidR="00B80A80" w:rsidRDefault="00B80A80" w:rsidP="00B80A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there exists communication between </w:t>
      </w:r>
      <w:r w:rsidR="00D966A1">
        <w:rPr>
          <w:rFonts w:ascii="Times New Roman" w:hAnsi="Times New Roman" w:cs="Times New Roman"/>
          <w:sz w:val="24"/>
          <w:szCs w:val="24"/>
        </w:rPr>
        <w:t>the first respondent</w:t>
      </w:r>
      <w:r>
        <w:rPr>
          <w:rFonts w:ascii="Times New Roman" w:hAnsi="Times New Roman" w:cs="Times New Roman"/>
          <w:sz w:val="24"/>
          <w:szCs w:val="24"/>
        </w:rPr>
        <w:t xml:space="preserve"> and the estate agents showing that she received, at the very least, some advances which she did not dispute in those communications.</w:t>
      </w:r>
    </w:p>
    <w:p w:rsidR="00B80A80" w:rsidRDefault="00D966A1" w:rsidP="00B80A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EB0528">
        <w:rPr>
          <w:rFonts w:ascii="Times New Roman" w:hAnsi="Times New Roman" w:cs="Times New Roman"/>
          <w:sz w:val="24"/>
          <w:szCs w:val="24"/>
        </w:rPr>
        <w:t>t seems that th</w:t>
      </w:r>
      <w:r>
        <w:rPr>
          <w:rFonts w:ascii="Times New Roman" w:hAnsi="Times New Roman" w:cs="Times New Roman"/>
          <w:sz w:val="24"/>
          <w:szCs w:val="24"/>
        </w:rPr>
        <w:t>is</w:t>
      </w:r>
      <w:r w:rsidR="00EB0528">
        <w:rPr>
          <w:rFonts w:ascii="Times New Roman" w:hAnsi="Times New Roman" w:cs="Times New Roman"/>
          <w:sz w:val="24"/>
          <w:szCs w:val="24"/>
        </w:rPr>
        <w:t xml:space="preserve"> communication between </w:t>
      </w:r>
      <w:r w:rsidR="006A397A">
        <w:rPr>
          <w:rFonts w:ascii="Times New Roman" w:hAnsi="Times New Roman" w:cs="Times New Roman"/>
          <w:sz w:val="24"/>
          <w:szCs w:val="24"/>
        </w:rPr>
        <w:t>the first</w:t>
      </w:r>
      <w:r w:rsidR="00EB0528">
        <w:rPr>
          <w:rFonts w:ascii="Times New Roman" w:hAnsi="Times New Roman" w:cs="Times New Roman"/>
          <w:sz w:val="24"/>
          <w:szCs w:val="24"/>
        </w:rPr>
        <w:t xml:space="preserve"> respondent and </w:t>
      </w:r>
      <w:r>
        <w:rPr>
          <w:rFonts w:ascii="Times New Roman" w:hAnsi="Times New Roman" w:cs="Times New Roman"/>
          <w:sz w:val="24"/>
          <w:szCs w:val="24"/>
        </w:rPr>
        <w:t xml:space="preserve">Mr </w:t>
      </w:r>
      <w:r w:rsidR="00EB0528">
        <w:rPr>
          <w:rFonts w:ascii="Times New Roman" w:hAnsi="Times New Roman" w:cs="Times New Roman"/>
          <w:sz w:val="24"/>
          <w:szCs w:val="24"/>
        </w:rPr>
        <w:t>Trevor Dollar points to a relationship of familiarity</w:t>
      </w:r>
      <w:r w:rsidR="00A824D3">
        <w:rPr>
          <w:rFonts w:ascii="Times New Roman" w:hAnsi="Times New Roman" w:cs="Times New Roman"/>
          <w:sz w:val="24"/>
          <w:szCs w:val="24"/>
        </w:rPr>
        <w:t xml:space="preserve">. It is clear </w:t>
      </w:r>
      <w:r>
        <w:rPr>
          <w:rFonts w:ascii="Times New Roman" w:hAnsi="Times New Roman" w:cs="Times New Roman"/>
          <w:sz w:val="24"/>
          <w:szCs w:val="24"/>
        </w:rPr>
        <w:t xml:space="preserve">from the communication </w:t>
      </w:r>
      <w:r w:rsidR="00A824D3">
        <w:rPr>
          <w:rFonts w:ascii="Times New Roman" w:hAnsi="Times New Roman" w:cs="Times New Roman"/>
          <w:sz w:val="24"/>
          <w:szCs w:val="24"/>
        </w:rPr>
        <w:t xml:space="preserve">that she was the one who informed </w:t>
      </w:r>
      <w:r>
        <w:rPr>
          <w:rFonts w:ascii="Times New Roman" w:hAnsi="Times New Roman" w:cs="Times New Roman"/>
          <w:sz w:val="24"/>
          <w:szCs w:val="24"/>
        </w:rPr>
        <w:t xml:space="preserve">Mr </w:t>
      </w:r>
      <w:r w:rsidR="00A824D3">
        <w:rPr>
          <w:rFonts w:ascii="Times New Roman" w:hAnsi="Times New Roman" w:cs="Times New Roman"/>
          <w:sz w:val="24"/>
          <w:szCs w:val="24"/>
        </w:rPr>
        <w:t xml:space="preserve">Trevor Dollar of her financial problems and her decision to subdivide her property and sell the subdivisions to overcome those challenges. It was as a result of her discussions with </w:t>
      </w:r>
      <w:r>
        <w:rPr>
          <w:rFonts w:ascii="Times New Roman" w:hAnsi="Times New Roman" w:cs="Times New Roman"/>
          <w:sz w:val="24"/>
          <w:szCs w:val="24"/>
        </w:rPr>
        <w:t xml:space="preserve">Mr </w:t>
      </w:r>
      <w:r w:rsidR="00A824D3">
        <w:rPr>
          <w:rFonts w:ascii="Times New Roman" w:hAnsi="Times New Roman" w:cs="Times New Roman"/>
          <w:sz w:val="24"/>
          <w:szCs w:val="24"/>
        </w:rPr>
        <w:t>Trevor Dollar that an advertisement was flighted in the press.</w:t>
      </w:r>
      <w:r w:rsidR="00B80A80" w:rsidRPr="00B80A80">
        <w:rPr>
          <w:rFonts w:ascii="Times New Roman" w:hAnsi="Times New Roman" w:cs="Times New Roman"/>
          <w:sz w:val="24"/>
          <w:szCs w:val="24"/>
        </w:rPr>
        <w:t xml:space="preserve"> </w:t>
      </w:r>
      <w:r w:rsidR="00B80A80">
        <w:rPr>
          <w:rFonts w:ascii="Times New Roman" w:hAnsi="Times New Roman" w:cs="Times New Roman"/>
          <w:sz w:val="24"/>
          <w:szCs w:val="24"/>
        </w:rPr>
        <w:t>In addition, the existence of communication between her and the estate agents showing that she requested and received some advances, which she did not dispute in those communications, points to her being the principal of the estate agent.</w:t>
      </w:r>
    </w:p>
    <w:p w:rsidR="00A824D3" w:rsidRDefault="00A824D3" w:rsidP="008612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Going further, it is apparent that money was paid to Trevor Dollar Real Estate Company in payment of the subdivision to be held on her behalf. That is why she was able to request for advances which were given to her without </w:t>
      </w:r>
      <w:r w:rsidR="001D67BA">
        <w:rPr>
          <w:rFonts w:ascii="Times New Roman" w:hAnsi="Times New Roman" w:cs="Times New Roman"/>
          <w:sz w:val="24"/>
          <w:szCs w:val="24"/>
        </w:rPr>
        <w:t xml:space="preserve">the </w:t>
      </w:r>
      <w:r>
        <w:rPr>
          <w:rFonts w:ascii="Times New Roman" w:hAnsi="Times New Roman" w:cs="Times New Roman"/>
          <w:sz w:val="24"/>
          <w:szCs w:val="24"/>
        </w:rPr>
        <w:t>applicant being consulted at all.</w:t>
      </w:r>
      <w:r w:rsidR="00F05DEC">
        <w:rPr>
          <w:rFonts w:ascii="Times New Roman" w:hAnsi="Times New Roman" w:cs="Times New Roman"/>
          <w:sz w:val="24"/>
          <w:szCs w:val="24"/>
        </w:rPr>
        <w:t xml:space="preserve"> This coupled, with her admission to </w:t>
      </w:r>
      <w:r w:rsidR="00D966A1">
        <w:rPr>
          <w:rFonts w:ascii="Times New Roman" w:hAnsi="Times New Roman" w:cs="Times New Roman"/>
          <w:sz w:val="24"/>
          <w:szCs w:val="24"/>
        </w:rPr>
        <w:t xml:space="preserve">Mr </w:t>
      </w:r>
      <w:r w:rsidR="00F05DEC">
        <w:rPr>
          <w:rFonts w:ascii="Times New Roman" w:hAnsi="Times New Roman" w:cs="Times New Roman"/>
          <w:sz w:val="24"/>
          <w:szCs w:val="24"/>
        </w:rPr>
        <w:t xml:space="preserve">Trevor Dollar to pay his commission confirms that Trevor Dollar Real Estate Company was her agent. It seems to me that </w:t>
      </w:r>
      <w:r w:rsidR="001D67BA">
        <w:rPr>
          <w:rFonts w:ascii="Times New Roman" w:hAnsi="Times New Roman" w:cs="Times New Roman"/>
          <w:sz w:val="24"/>
          <w:szCs w:val="24"/>
        </w:rPr>
        <w:t>the first</w:t>
      </w:r>
      <w:r w:rsidR="00F05DEC">
        <w:rPr>
          <w:rFonts w:ascii="Times New Roman" w:hAnsi="Times New Roman" w:cs="Times New Roman"/>
          <w:sz w:val="24"/>
          <w:szCs w:val="24"/>
        </w:rPr>
        <w:t xml:space="preserve"> respondent seeks to trifle with the court by alleging otherwise.</w:t>
      </w:r>
    </w:p>
    <w:p w:rsidR="0075466E" w:rsidRDefault="00F05DEC" w:rsidP="008612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is clear, </w:t>
      </w:r>
      <w:r w:rsidR="001D67BA">
        <w:rPr>
          <w:rFonts w:ascii="Times New Roman" w:hAnsi="Times New Roman" w:cs="Times New Roman"/>
          <w:sz w:val="24"/>
          <w:szCs w:val="24"/>
        </w:rPr>
        <w:t xml:space="preserve">the </w:t>
      </w:r>
      <w:r>
        <w:rPr>
          <w:rFonts w:ascii="Times New Roman" w:hAnsi="Times New Roman" w:cs="Times New Roman"/>
          <w:sz w:val="24"/>
          <w:szCs w:val="24"/>
        </w:rPr>
        <w:t xml:space="preserve">applicant was obliged, in terms of the agreement of sale, to pay the money to Trevor Dollar Real Estate Company. The money was indeed paid for </w:t>
      </w:r>
      <w:r w:rsidR="00D966A1">
        <w:rPr>
          <w:rFonts w:ascii="Times New Roman" w:hAnsi="Times New Roman" w:cs="Times New Roman"/>
          <w:sz w:val="24"/>
          <w:szCs w:val="24"/>
        </w:rPr>
        <w:t>first respondent’s</w:t>
      </w:r>
      <w:r>
        <w:rPr>
          <w:rFonts w:ascii="Times New Roman" w:hAnsi="Times New Roman" w:cs="Times New Roman"/>
          <w:sz w:val="24"/>
          <w:szCs w:val="24"/>
        </w:rPr>
        <w:t xml:space="preserve"> benefit. By her own admission, she was liable for the commission. Ergo, Trevor Dollar Real Estate Company was her agent.</w:t>
      </w:r>
      <w:r w:rsidR="0075466E" w:rsidRPr="0075466E">
        <w:rPr>
          <w:rStyle w:val="FootnoteReference"/>
          <w:rFonts w:ascii="Times New Roman" w:hAnsi="Times New Roman"/>
          <w:sz w:val="24"/>
          <w:szCs w:val="24"/>
        </w:rPr>
        <w:t xml:space="preserve"> </w:t>
      </w:r>
      <w:r w:rsidR="0075466E">
        <w:rPr>
          <w:rStyle w:val="FootnoteReference"/>
          <w:rFonts w:ascii="Times New Roman" w:hAnsi="Times New Roman"/>
          <w:sz w:val="24"/>
          <w:szCs w:val="24"/>
        </w:rPr>
        <w:footnoteReference w:id="1"/>
      </w:r>
      <w:r>
        <w:rPr>
          <w:rFonts w:ascii="Times New Roman" w:hAnsi="Times New Roman" w:cs="Times New Roman"/>
          <w:sz w:val="24"/>
          <w:szCs w:val="24"/>
        </w:rPr>
        <w:t xml:space="preserve"> </w:t>
      </w:r>
    </w:p>
    <w:p w:rsidR="00F05DEC" w:rsidRDefault="0075466E" w:rsidP="008612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the same token, since the law provides that he who does an act through an agent does it himself, i</w:t>
      </w:r>
      <w:r w:rsidR="00F05DEC">
        <w:rPr>
          <w:rFonts w:ascii="Times New Roman" w:hAnsi="Times New Roman" w:cs="Times New Roman"/>
          <w:sz w:val="24"/>
          <w:szCs w:val="24"/>
        </w:rPr>
        <w:t xml:space="preserve">t </w:t>
      </w:r>
      <w:r>
        <w:rPr>
          <w:rFonts w:ascii="Times New Roman" w:hAnsi="Times New Roman" w:cs="Times New Roman"/>
          <w:sz w:val="24"/>
          <w:szCs w:val="24"/>
        </w:rPr>
        <w:t xml:space="preserve">made no sense for </w:t>
      </w:r>
      <w:r w:rsidR="001D67BA">
        <w:rPr>
          <w:rFonts w:ascii="Times New Roman" w:hAnsi="Times New Roman" w:cs="Times New Roman"/>
          <w:sz w:val="24"/>
          <w:szCs w:val="24"/>
        </w:rPr>
        <w:t xml:space="preserve">the </w:t>
      </w:r>
      <w:r>
        <w:rPr>
          <w:rFonts w:ascii="Times New Roman" w:hAnsi="Times New Roman" w:cs="Times New Roman"/>
          <w:sz w:val="24"/>
          <w:szCs w:val="24"/>
        </w:rPr>
        <w:t xml:space="preserve">applicant to pay the purchase price to itself, by paying it to its own agent. Further, flowing from the same principle of law, it </w:t>
      </w:r>
      <w:r w:rsidR="00F05DEC">
        <w:rPr>
          <w:rFonts w:ascii="Times New Roman" w:hAnsi="Times New Roman" w:cs="Times New Roman"/>
          <w:sz w:val="24"/>
          <w:szCs w:val="24"/>
        </w:rPr>
        <w:t xml:space="preserve">was totally unnecessary to join the </w:t>
      </w:r>
      <w:r>
        <w:rPr>
          <w:rFonts w:ascii="Times New Roman" w:hAnsi="Times New Roman" w:cs="Times New Roman"/>
          <w:sz w:val="24"/>
          <w:szCs w:val="24"/>
        </w:rPr>
        <w:t xml:space="preserve">estate agent </w:t>
      </w:r>
      <w:r w:rsidR="00F05DEC">
        <w:rPr>
          <w:rFonts w:ascii="Times New Roman" w:hAnsi="Times New Roman" w:cs="Times New Roman"/>
          <w:sz w:val="24"/>
          <w:szCs w:val="24"/>
        </w:rPr>
        <w:t>company to the suit.</w:t>
      </w:r>
    </w:p>
    <w:p w:rsidR="00F05DEC" w:rsidRDefault="00F05DEC" w:rsidP="008612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 the estate agent dealt with the money is not the applicant’s problem. </w:t>
      </w:r>
      <w:r w:rsidR="001D67BA">
        <w:rPr>
          <w:rFonts w:ascii="Times New Roman" w:hAnsi="Times New Roman" w:cs="Times New Roman"/>
          <w:sz w:val="24"/>
          <w:szCs w:val="24"/>
        </w:rPr>
        <w:t>The a</w:t>
      </w:r>
      <w:r>
        <w:rPr>
          <w:rFonts w:ascii="Times New Roman" w:hAnsi="Times New Roman" w:cs="Times New Roman"/>
          <w:sz w:val="24"/>
          <w:szCs w:val="24"/>
        </w:rPr>
        <w:t>pplicant discharged its legal obligation upon making payment to the estate agent.</w:t>
      </w:r>
      <w:r w:rsidR="00B80A80">
        <w:rPr>
          <w:rFonts w:ascii="Times New Roman" w:hAnsi="Times New Roman" w:cs="Times New Roman"/>
          <w:sz w:val="24"/>
          <w:szCs w:val="24"/>
        </w:rPr>
        <w:t xml:space="preserve"> At the very least therefore, since </w:t>
      </w:r>
      <w:r w:rsidR="001D67BA">
        <w:rPr>
          <w:rFonts w:ascii="Times New Roman" w:hAnsi="Times New Roman" w:cs="Times New Roman"/>
          <w:sz w:val="24"/>
          <w:szCs w:val="24"/>
        </w:rPr>
        <w:t>the first</w:t>
      </w:r>
      <w:r w:rsidR="00B80A80">
        <w:rPr>
          <w:rFonts w:ascii="Times New Roman" w:hAnsi="Times New Roman" w:cs="Times New Roman"/>
          <w:sz w:val="24"/>
          <w:szCs w:val="24"/>
        </w:rPr>
        <w:t xml:space="preserve"> respondent is the one seeking to withdraw from the contract, applicant is entitled to restitution from her. It is obvious that </w:t>
      </w:r>
      <w:r w:rsidR="001D67BA">
        <w:rPr>
          <w:rFonts w:ascii="Times New Roman" w:hAnsi="Times New Roman" w:cs="Times New Roman"/>
          <w:sz w:val="24"/>
          <w:szCs w:val="24"/>
        </w:rPr>
        <w:t>the first</w:t>
      </w:r>
      <w:r w:rsidR="00B80A80">
        <w:rPr>
          <w:rFonts w:ascii="Times New Roman" w:hAnsi="Times New Roman" w:cs="Times New Roman"/>
          <w:sz w:val="24"/>
          <w:szCs w:val="24"/>
        </w:rPr>
        <w:t xml:space="preserve"> respondent was quite aware of this, given the tenor of her communication with the estate agent. In fact, I note that </w:t>
      </w:r>
      <w:r w:rsidR="00B80A80">
        <w:rPr>
          <w:rFonts w:ascii="Times New Roman" w:hAnsi="Times New Roman" w:cs="Times New Roman"/>
          <w:sz w:val="24"/>
          <w:szCs w:val="24"/>
        </w:rPr>
        <w:lastRenderedPageBreak/>
        <w:t xml:space="preserve">she even at one point, instructed the agent to make restitution to </w:t>
      </w:r>
      <w:r w:rsidR="001D67BA">
        <w:rPr>
          <w:rFonts w:ascii="Times New Roman" w:hAnsi="Times New Roman" w:cs="Times New Roman"/>
          <w:sz w:val="24"/>
          <w:szCs w:val="24"/>
        </w:rPr>
        <w:t xml:space="preserve">the </w:t>
      </w:r>
      <w:r w:rsidR="00B80A80">
        <w:rPr>
          <w:rFonts w:ascii="Times New Roman" w:hAnsi="Times New Roman" w:cs="Times New Roman"/>
          <w:sz w:val="24"/>
          <w:szCs w:val="24"/>
        </w:rPr>
        <w:t>applicant.</w:t>
      </w:r>
      <w:r w:rsidR="003E1332">
        <w:rPr>
          <w:rFonts w:ascii="Times New Roman" w:hAnsi="Times New Roman" w:cs="Times New Roman"/>
          <w:sz w:val="24"/>
          <w:szCs w:val="24"/>
        </w:rPr>
        <w:t xml:space="preserve"> Failure by the agent to do so reposes the obligation to restitute squarely on her.</w:t>
      </w:r>
    </w:p>
    <w:p w:rsidR="00FC7FA5" w:rsidRPr="00392374" w:rsidRDefault="00FC7FA5" w:rsidP="00FC7FA5">
      <w:pPr>
        <w:spacing w:after="0" w:line="360" w:lineRule="auto"/>
        <w:ind w:firstLine="720"/>
        <w:jc w:val="both"/>
        <w:rPr>
          <w:rFonts w:ascii="Times New Roman" w:hAnsi="Times New Roman" w:cs="Times New Roman"/>
          <w:sz w:val="24"/>
          <w:szCs w:val="24"/>
        </w:rPr>
      </w:pPr>
      <w:r w:rsidRPr="00392374">
        <w:rPr>
          <w:rFonts w:ascii="Times New Roman" w:hAnsi="Times New Roman" w:cs="Times New Roman"/>
          <w:sz w:val="24"/>
          <w:szCs w:val="24"/>
        </w:rPr>
        <w:t xml:space="preserve">In the premises, it seems clear to me that </w:t>
      </w:r>
      <w:r w:rsidR="00FB02C2">
        <w:rPr>
          <w:rFonts w:ascii="Times New Roman" w:hAnsi="Times New Roman" w:cs="Times New Roman"/>
          <w:sz w:val="24"/>
          <w:szCs w:val="24"/>
        </w:rPr>
        <w:t>the first</w:t>
      </w:r>
      <w:r w:rsidRPr="00392374">
        <w:rPr>
          <w:rFonts w:ascii="Times New Roman" w:hAnsi="Times New Roman" w:cs="Times New Roman"/>
          <w:sz w:val="24"/>
          <w:szCs w:val="24"/>
        </w:rPr>
        <w:t xml:space="preserve"> respondent instructed her friend, </w:t>
      </w:r>
      <w:r w:rsidR="00D966A1">
        <w:rPr>
          <w:rFonts w:ascii="Times New Roman" w:hAnsi="Times New Roman" w:cs="Times New Roman"/>
          <w:sz w:val="24"/>
          <w:szCs w:val="24"/>
        </w:rPr>
        <w:t xml:space="preserve">Mr </w:t>
      </w:r>
      <w:r w:rsidRPr="00392374">
        <w:rPr>
          <w:rFonts w:ascii="Times New Roman" w:hAnsi="Times New Roman" w:cs="Times New Roman"/>
          <w:sz w:val="24"/>
          <w:szCs w:val="24"/>
        </w:rPr>
        <w:t xml:space="preserve">Trevor Dollar to sell her property on her behalf on commission. He was therefore her agent. </w:t>
      </w:r>
      <w:r w:rsidR="00D966A1">
        <w:rPr>
          <w:rFonts w:ascii="Times New Roman" w:hAnsi="Times New Roman" w:cs="Times New Roman"/>
          <w:sz w:val="24"/>
          <w:szCs w:val="24"/>
        </w:rPr>
        <w:t xml:space="preserve">Mr </w:t>
      </w:r>
      <w:r w:rsidRPr="00392374">
        <w:rPr>
          <w:rFonts w:ascii="Times New Roman" w:hAnsi="Times New Roman" w:cs="Times New Roman"/>
          <w:sz w:val="24"/>
          <w:szCs w:val="24"/>
        </w:rPr>
        <w:t>Trevor Dollar</w:t>
      </w:r>
      <w:r w:rsidR="00D966A1">
        <w:rPr>
          <w:rFonts w:ascii="Times New Roman" w:hAnsi="Times New Roman" w:cs="Times New Roman"/>
          <w:sz w:val="24"/>
          <w:szCs w:val="24"/>
        </w:rPr>
        <w:t>, through his company,</w:t>
      </w:r>
      <w:r w:rsidRPr="00392374">
        <w:rPr>
          <w:rFonts w:ascii="Times New Roman" w:hAnsi="Times New Roman" w:cs="Times New Roman"/>
          <w:sz w:val="24"/>
          <w:szCs w:val="24"/>
        </w:rPr>
        <w:t xml:space="preserve"> sourced for prospective purchasers, drafted the necessary agreements and received payment of the purchase price on </w:t>
      </w:r>
      <w:r w:rsidR="00D966A1">
        <w:rPr>
          <w:rFonts w:ascii="Times New Roman" w:hAnsi="Times New Roman" w:cs="Times New Roman"/>
          <w:sz w:val="24"/>
          <w:szCs w:val="24"/>
        </w:rPr>
        <w:t xml:space="preserve">first respondent’s </w:t>
      </w:r>
      <w:r w:rsidRPr="00392374">
        <w:rPr>
          <w:rFonts w:ascii="Times New Roman" w:hAnsi="Times New Roman" w:cs="Times New Roman"/>
          <w:sz w:val="24"/>
          <w:szCs w:val="24"/>
        </w:rPr>
        <w:t xml:space="preserve"> behalf. He even made some advance payments to </w:t>
      </w:r>
      <w:r w:rsidR="00FB02C2">
        <w:rPr>
          <w:rFonts w:ascii="Times New Roman" w:hAnsi="Times New Roman" w:cs="Times New Roman"/>
          <w:sz w:val="24"/>
          <w:szCs w:val="24"/>
        </w:rPr>
        <w:t>the first</w:t>
      </w:r>
      <w:r w:rsidRPr="00392374">
        <w:rPr>
          <w:rFonts w:ascii="Times New Roman" w:hAnsi="Times New Roman" w:cs="Times New Roman"/>
          <w:sz w:val="24"/>
          <w:szCs w:val="24"/>
        </w:rPr>
        <w:t xml:space="preserve"> respondent from the purchase price received.</w:t>
      </w:r>
    </w:p>
    <w:p w:rsidR="00FC7FA5" w:rsidRPr="00392374" w:rsidRDefault="00FC7FA5" w:rsidP="00FC7FA5">
      <w:pPr>
        <w:spacing w:after="0" w:line="360" w:lineRule="auto"/>
        <w:ind w:firstLine="720"/>
        <w:jc w:val="both"/>
        <w:rPr>
          <w:rFonts w:ascii="Times New Roman" w:hAnsi="Times New Roman" w:cs="Times New Roman"/>
          <w:sz w:val="24"/>
          <w:szCs w:val="24"/>
        </w:rPr>
      </w:pPr>
      <w:r w:rsidRPr="00392374">
        <w:rPr>
          <w:rFonts w:ascii="Times New Roman" w:hAnsi="Times New Roman" w:cs="Times New Roman"/>
          <w:sz w:val="24"/>
          <w:szCs w:val="24"/>
        </w:rPr>
        <w:t xml:space="preserve">Whether or not </w:t>
      </w:r>
      <w:r w:rsidR="00FB02C2">
        <w:rPr>
          <w:rFonts w:ascii="Times New Roman" w:hAnsi="Times New Roman" w:cs="Times New Roman"/>
          <w:sz w:val="24"/>
          <w:szCs w:val="24"/>
        </w:rPr>
        <w:t>the first</w:t>
      </w:r>
      <w:r w:rsidRPr="00392374">
        <w:rPr>
          <w:rFonts w:ascii="Times New Roman" w:hAnsi="Times New Roman" w:cs="Times New Roman"/>
          <w:sz w:val="24"/>
          <w:szCs w:val="24"/>
        </w:rPr>
        <w:t xml:space="preserve"> respondent received all or any portion of the purchase price, is entirely between her and her agent. Once </w:t>
      </w:r>
      <w:r w:rsidR="00FB02C2">
        <w:rPr>
          <w:rFonts w:ascii="Times New Roman" w:hAnsi="Times New Roman" w:cs="Times New Roman"/>
          <w:sz w:val="24"/>
          <w:szCs w:val="24"/>
        </w:rPr>
        <w:t xml:space="preserve">the </w:t>
      </w:r>
      <w:r w:rsidRPr="00392374">
        <w:rPr>
          <w:rFonts w:ascii="Times New Roman" w:hAnsi="Times New Roman" w:cs="Times New Roman"/>
          <w:sz w:val="24"/>
          <w:szCs w:val="24"/>
        </w:rPr>
        <w:t xml:space="preserve">applicant made payment to Trevor Dollar Estate Agents Trust account, it discharged all its obligations to </w:t>
      </w:r>
      <w:r w:rsidR="00FB02C2">
        <w:rPr>
          <w:rFonts w:ascii="Times New Roman" w:hAnsi="Times New Roman" w:cs="Times New Roman"/>
          <w:sz w:val="24"/>
          <w:szCs w:val="24"/>
        </w:rPr>
        <w:t xml:space="preserve">the first </w:t>
      </w:r>
      <w:r w:rsidRPr="00392374">
        <w:rPr>
          <w:rFonts w:ascii="Times New Roman" w:hAnsi="Times New Roman" w:cs="Times New Roman"/>
          <w:sz w:val="24"/>
          <w:szCs w:val="24"/>
        </w:rPr>
        <w:t xml:space="preserve">respondent and is entitled to transfer, subject, of course, to the contract being legal. But even if it was not a legal contract, </w:t>
      </w:r>
      <w:r w:rsidR="00FB02C2">
        <w:rPr>
          <w:rFonts w:ascii="Times New Roman" w:hAnsi="Times New Roman" w:cs="Times New Roman"/>
          <w:sz w:val="24"/>
          <w:szCs w:val="24"/>
        </w:rPr>
        <w:t>the first</w:t>
      </w:r>
      <w:r w:rsidRPr="00392374">
        <w:rPr>
          <w:rFonts w:ascii="Times New Roman" w:hAnsi="Times New Roman" w:cs="Times New Roman"/>
          <w:sz w:val="24"/>
          <w:szCs w:val="24"/>
        </w:rPr>
        <w:t xml:space="preserve"> respondent has not pleaded</w:t>
      </w:r>
      <w:r w:rsidR="002152D2" w:rsidRPr="00392374">
        <w:rPr>
          <w:rFonts w:ascii="Times New Roman" w:hAnsi="Times New Roman" w:cs="Times New Roman"/>
          <w:sz w:val="24"/>
          <w:szCs w:val="24"/>
        </w:rPr>
        <w:t xml:space="preserve"> the in </w:t>
      </w:r>
      <w:r w:rsidR="002152D2" w:rsidRPr="00392374">
        <w:rPr>
          <w:rFonts w:ascii="Times New Roman" w:hAnsi="Times New Roman" w:cs="Times New Roman"/>
          <w:i/>
          <w:sz w:val="24"/>
          <w:szCs w:val="24"/>
        </w:rPr>
        <w:t>pari delicto</w:t>
      </w:r>
      <w:r w:rsidR="002152D2" w:rsidRPr="00392374">
        <w:rPr>
          <w:rFonts w:ascii="Times New Roman" w:hAnsi="Times New Roman" w:cs="Times New Roman"/>
          <w:sz w:val="24"/>
          <w:szCs w:val="24"/>
        </w:rPr>
        <w:t xml:space="preserve"> principle, a</w:t>
      </w:r>
      <w:r w:rsidRPr="00392374">
        <w:rPr>
          <w:rFonts w:ascii="Times New Roman" w:hAnsi="Times New Roman" w:cs="Times New Roman"/>
          <w:sz w:val="24"/>
          <w:szCs w:val="24"/>
        </w:rPr>
        <w:t>nd cannot claim that the loss should fall where it lies</w:t>
      </w:r>
      <w:r w:rsidR="00392374">
        <w:rPr>
          <w:rFonts w:ascii="Times New Roman" w:hAnsi="Times New Roman" w:cs="Times New Roman"/>
          <w:sz w:val="24"/>
          <w:szCs w:val="24"/>
        </w:rPr>
        <w:t>. She</w:t>
      </w:r>
      <w:r w:rsidR="002152D2" w:rsidRPr="00392374">
        <w:rPr>
          <w:rFonts w:ascii="Times New Roman" w:hAnsi="Times New Roman" w:cs="Times New Roman"/>
          <w:sz w:val="24"/>
          <w:szCs w:val="24"/>
        </w:rPr>
        <w:t xml:space="preserve"> must therefore</w:t>
      </w:r>
      <w:r w:rsidR="00392374">
        <w:rPr>
          <w:rFonts w:ascii="Times New Roman" w:hAnsi="Times New Roman" w:cs="Times New Roman"/>
          <w:sz w:val="24"/>
          <w:szCs w:val="24"/>
        </w:rPr>
        <w:t xml:space="preserve"> make </w:t>
      </w:r>
      <w:r w:rsidR="002152D2" w:rsidRPr="00392374">
        <w:rPr>
          <w:rFonts w:ascii="Times New Roman" w:hAnsi="Times New Roman" w:cs="Times New Roman"/>
          <w:sz w:val="24"/>
          <w:szCs w:val="24"/>
        </w:rPr>
        <w:t>restitut</w:t>
      </w:r>
      <w:r w:rsidR="00392374">
        <w:rPr>
          <w:rFonts w:ascii="Times New Roman" w:hAnsi="Times New Roman" w:cs="Times New Roman"/>
          <w:sz w:val="24"/>
          <w:szCs w:val="24"/>
        </w:rPr>
        <w:t>ion</w:t>
      </w:r>
      <w:r w:rsidRPr="00392374">
        <w:rPr>
          <w:rFonts w:ascii="Times New Roman" w:hAnsi="Times New Roman" w:cs="Times New Roman"/>
          <w:sz w:val="24"/>
          <w:szCs w:val="24"/>
        </w:rPr>
        <w:t xml:space="preserve">. </w:t>
      </w:r>
    </w:p>
    <w:p w:rsidR="005A269C" w:rsidRDefault="005A269C" w:rsidP="008612B7">
      <w:pPr>
        <w:spacing w:after="0" w:line="360" w:lineRule="auto"/>
        <w:ind w:firstLine="720"/>
        <w:jc w:val="both"/>
        <w:rPr>
          <w:rFonts w:ascii="Times New Roman" w:hAnsi="Times New Roman" w:cs="Times New Roman"/>
          <w:sz w:val="24"/>
          <w:szCs w:val="24"/>
        </w:rPr>
      </w:pPr>
    </w:p>
    <w:p w:rsidR="005A269C" w:rsidRPr="005A269C" w:rsidRDefault="005A269C" w:rsidP="008612B7">
      <w:pPr>
        <w:spacing w:after="0" w:line="360" w:lineRule="auto"/>
        <w:ind w:firstLine="720"/>
        <w:jc w:val="both"/>
        <w:rPr>
          <w:rFonts w:ascii="Times New Roman" w:hAnsi="Times New Roman" w:cs="Times New Roman"/>
          <w:b/>
          <w:sz w:val="24"/>
          <w:szCs w:val="24"/>
        </w:rPr>
      </w:pPr>
      <w:r w:rsidRPr="005A269C">
        <w:rPr>
          <w:rFonts w:ascii="Times New Roman" w:hAnsi="Times New Roman" w:cs="Times New Roman"/>
          <w:b/>
          <w:sz w:val="24"/>
          <w:szCs w:val="24"/>
        </w:rPr>
        <w:t>Contract proscribed by law</w:t>
      </w:r>
    </w:p>
    <w:p w:rsidR="00392374" w:rsidRDefault="00FB02C2" w:rsidP="003923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w:t>
      </w:r>
      <w:r w:rsidR="005A269C" w:rsidRPr="005A269C">
        <w:rPr>
          <w:rFonts w:ascii="Times New Roman" w:hAnsi="Times New Roman" w:cs="Times New Roman"/>
          <w:sz w:val="24"/>
          <w:szCs w:val="24"/>
        </w:rPr>
        <w:t xml:space="preserve"> respondent is on firmer ground to avoid liability to transfer the</w:t>
      </w:r>
      <w:r w:rsidR="00392374">
        <w:rPr>
          <w:rFonts w:ascii="Times New Roman" w:hAnsi="Times New Roman" w:cs="Times New Roman"/>
          <w:sz w:val="24"/>
          <w:szCs w:val="24"/>
        </w:rPr>
        <w:t xml:space="preserve"> property sold to the applicant</w:t>
      </w:r>
      <w:r w:rsidR="005A269C" w:rsidRPr="005A269C">
        <w:rPr>
          <w:rFonts w:ascii="Times New Roman" w:hAnsi="Times New Roman" w:cs="Times New Roman"/>
          <w:sz w:val="24"/>
          <w:szCs w:val="24"/>
        </w:rPr>
        <w:t>, if she can show that the contract was contrary to s</w:t>
      </w:r>
      <w:r>
        <w:rPr>
          <w:rFonts w:ascii="Times New Roman" w:hAnsi="Times New Roman" w:cs="Times New Roman"/>
          <w:sz w:val="24"/>
          <w:szCs w:val="24"/>
        </w:rPr>
        <w:t xml:space="preserve"> </w:t>
      </w:r>
      <w:r w:rsidR="005A269C" w:rsidRPr="005A269C">
        <w:rPr>
          <w:rFonts w:ascii="Times New Roman" w:hAnsi="Times New Roman" w:cs="Times New Roman"/>
          <w:sz w:val="24"/>
          <w:szCs w:val="24"/>
        </w:rPr>
        <w:t xml:space="preserve">39 of the Regional Town and Country Planning Act, </w:t>
      </w:r>
      <w:r>
        <w:rPr>
          <w:rFonts w:ascii="Times New Roman" w:hAnsi="Times New Roman" w:cs="Times New Roman"/>
          <w:sz w:val="24"/>
          <w:szCs w:val="24"/>
        </w:rPr>
        <w:t>[</w:t>
      </w:r>
      <w:r w:rsidR="005A269C" w:rsidRPr="00FB02C2">
        <w:rPr>
          <w:rFonts w:ascii="Times New Roman" w:hAnsi="Times New Roman" w:cs="Times New Roman"/>
          <w:i/>
          <w:sz w:val="24"/>
          <w:szCs w:val="24"/>
        </w:rPr>
        <w:t>C</w:t>
      </w:r>
      <w:r>
        <w:rPr>
          <w:rFonts w:ascii="Times New Roman" w:hAnsi="Times New Roman" w:cs="Times New Roman"/>
          <w:i/>
          <w:sz w:val="24"/>
          <w:szCs w:val="24"/>
        </w:rPr>
        <w:t>hapter</w:t>
      </w:r>
      <w:r w:rsidR="005A269C" w:rsidRPr="00FB02C2">
        <w:rPr>
          <w:rFonts w:ascii="Times New Roman" w:hAnsi="Times New Roman" w:cs="Times New Roman"/>
          <w:i/>
          <w:sz w:val="24"/>
          <w:szCs w:val="24"/>
        </w:rPr>
        <w:t xml:space="preserve"> 29:12</w:t>
      </w:r>
      <w:r>
        <w:rPr>
          <w:rFonts w:ascii="Times New Roman" w:hAnsi="Times New Roman" w:cs="Times New Roman"/>
          <w:sz w:val="24"/>
          <w:szCs w:val="24"/>
        </w:rPr>
        <w:t>]</w:t>
      </w:r>
      <w:r w:rsidR="005A269C" w:rsidRPr="005A269C">
        <w:rPr>
          <w:rFonts w:ascii="Times New Roman" w:hAnsi="Times New Roman" w:cs="Times New Roman"/>
          <w:sz w:val="24"/>
          <w:szCs w:val="24"/>
        </w:rPr>
        <w:t xml:space="preserve"> and therefore void for illegality.</w:t>
      </w:r>
    </w:p>
    <w:p w:rsidR="007A158B" w:rsidRDefault="007A158B" w:rsidP="00392374">
      <w:pPr>
        <w:spacing w:after="0" w:line="360" w:lineRule="auto"/>
        <w:ind w:firstLine="720"/>
        <w:jc w:val="both"/>
        <w:rPr>
          <w:rFonts w:ascii="Times New Roman" w:hAnsi="Times New Roman" w:cs="Times New Roman"/>
          <w:sz w:val="24"/>
          <w:szCs w:val="24"/>
        </w:rPr>
      </w:pPr>
      <w:r w:rsidRPr="00392374">
        <w:rPr>
          <w:rFonts w:ascii="Times New Roman" w:hAnsi="Times New Roman" w:cs="Times New Roman"/>
          <w:sz w:val="24"/>
          <w:szCs w:val="24"/>
        </w:rPr>
        <w:t>Section 39 of the Regional, Town and Country Planning Act reads:</w:t>
      </w:r>
    </w:p>
    <w:p w:rsidR="00392374" w:rsidRPr="00392374" w:rsidRDefault="00392374" w:rsidP="00FB02C2">
      <w:pPr>
        <w:spacing w:after="0" w:line="360" w:lineRule="auto"/>
        <w:ind w:firstLine="720"/>
        <w:jc w:val="both"/>
        <w:rPr>
          <w:rFonts w:ascii="Times New Roman" w:hAnsi="Times New Roman" w:cs="Times New Roman"/>
          <w:sz w:val="24"/>
          <w:szCs w:val="24"/>
        </w:rPr>
      </w:pPr>
    </w:p>
    <w:p w:rsidR="007A158B" w:rsidRPr="00392374" w:rsidRDefault="007A158B" w:rsidP="00FB02C2">
      <w:pPr>
        <w:pStyle w:val="NormalWeb"/>
        <w:spacing w:before="0" w:beforeAutospacing="0" w:after="0" w:afterAutospacing="0" w:line="276" w:lineRule="auto"/>
        <w:ind w:left="1080"/>
        <w:jc w:val="both"/>
        <w:rPr>
          <w:rStyle w:val="Strong"/>
          <w:sz w:val="22"/>
          <w:szCs w:val="22"/>
        </w:rPr>
      </w:pPr>
      <w:r w:rsidRPr="00392374">
        <w:rPr>
          <w:rStyle w:val="Strong"/>
          <w:sz w:val="22"/>
          <w:szCs w:val="22"/>
        </w:rPr>
        <w:t>“39 No subdivision or consolidation without permit</w:t>
      </w:r>
    </w:p>
    <w:p w:rsidR="007A158B" w:rsidRPr="00392374" w:rsidRDefault="007A158B" w:rsidP="00FB02C2">
      <w:pPr>
        <w:pStyle w:val="NormalWeb"/>
        <w:spacing w:before="0" w:beforeAutospacing="0" w:after="0" w:afterAutospacing="0" w:line="276" w:lineRule="auto"/>
        <w:ind w:left="1080"/>
        <w:jc w:val="both"/>
        <w:rPr>
          <w:sz w:val="22"/>
          <w:szCs w:val="22"/>
        </w:rPr>
      </w:pPr>
      <w:r w:rsidRPr="00392374">
        <w:rPr>
          <w:sz w:val="22"/>
          <w:szCs w:val="22"/>
        </w:rPr>
        <w:t>(1) Subject to subsection (2), no person shall—</w:t>
      </w:r>
    </w:p>
    <w:p w:rsidR="007A158B" w:rsidRPr="00392374" w:rsidRDefault="007A158B" w:rsidP="00FB02C2">
      <w:pPr>
        <w:pStyle w:val="NormalWeb"/>
        <w:spacing w:before="0" w:beforeAutospacing="0" w:after="0" w:afterAutospacing="0" w:line="276" w:lineRule="auto"/>
        <w:ind w:left="1080"/>
        <w:jc w:val="both"/>
        <w:rPr>
          <w:sz w:val="22"/>
          <w:szCs w:val="22"/>
        </w:rPr>
      </w:pPr>
      <w:r w:rsidRPr="00392374">
        <w:rPr>
          <w:sz w:val="22"/>
          <w:szCs w:val="22"/>
        </w:rPr>
        <w:t>(</w:t>
      </w:r>
      <w:r w:rsidRPr="00392374">
        <w:rPr>
          <w:rStyle w:val="Emphasis"/>
          <w:sz w:val="22"/>
          <w:szCs w:val="22"/>
        </w:rPr>
        <w:t>a</w:t>
      </w:r>
      <w:r w:rsidRPr="00392374">
        <w:rPr>
          <w:sz w:val="22"/>
          <w:szCs w:val="22"/>
        </w:rPr>
        <w:t>) subdivide any property; or</w:t>
      </w:r>
    </w:p>
    <w:p w:rsidR="007A158B" w:rsidRPr="00392374" w:rsidRDefault="007A158B" w:rsidP="00FB02C2">
      <w:pPr>
        <w:pStyle w:val="NormalWeb"/>
        <w:spacing w:before="0" w:beforeAutospacing="0" w:after="0" w:afterAutospacing="0" w:line="276" w:lineRule="auto"/>
        <w:ind w:left="1080"/>
        <w:jc w:val="both"/>
        <w:rPr>
          <w:sz w:val="22"/>
          <w:szCs w:val="22"/>
        </w:rPr>
      </w:pPr>
      <w:r w:rsidRPr="00392374">
        <w:rPr>
          <w:sz w:val="22"/>
          <w:szCs w:val="22"/>
        </w:rPr>
        <w:t>(</w:t>
      </w:r>
      <w:r w:rsidRPr="00392374">
        <w:rPr>
          <w:rStyle w:val="Emphasis"/>
          <w:sz w:val="22"/>
          <w:szCs w:val="22"/>
        </w:rPr>
        <w:t>b</w:t>
      </w:r>
      <w:r w:rsidRPr="00392374">
        <w:rPr>
          <w:sz w:val="22"/>
          <w:szCs w:val="22"/>
        </w:rPr>
        <w:t>) enter into any agreement—</w:t>
      </w:r>
    </w:p>
    <w:p w:rsidR="007A158B" w:rsidRPr="00392374" w:rsidRDefault="007A158B" w:rsidP="00FB02C2">
      <w:pPr>
        <w:pStyle w:val="NormalWeb"/>
        <w:spacing w:before="0" w:beforeAutospacing="0" w:after="0" w:afterAutospacing="0" w:line="276" w:lineRule="auto"/>
        <w:ind w:left="1080"/>
        <w:jc w:val="both"/>
        <w:rPr>
          <w:sz w:val="22"/>
          <w:szCs w:val="22"/>
        </w:rPr>
      </w:pPr>
      <w:r w:rsidRPr="00392374">
        <w:rPr>
          <w:sz w:val="22"/>
          <w:szCs w:val="22"/>
        </w:rPr>
        <w:t>(i) for the change of ownership of any portion of a property; or except in accordance with a permit granted in terms of section forty.”</w:t>
      </w:r>
    </w:p>
    <w:p w:rsidR="007A158B" w:rsidRDefault="007A158B" w:rsidP="00FB02C2">
      <w:pPr>
        <w:spacing w:after="0" w:line="360" w:lineRule="auto"/>
        <w:ind w:firstLine="720"/>
        <w:jc w:val="both"/>
        <w:rPr>
          <w:rFonts w:ascii="Times New Roman" w:hAnsi="Times New Roman" w:cs="Times New Roman"/>
          <w:sz w:val="24"/>
          <w:szCs w:val="24"/>
        </w:rPr>
      </w:pPr>
    </w:p>
    <w:p w:rsidR="005A269C" w:rsidRDefault="005A269C" w:rsidP="00FB02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law with regard to contracts prohibited by statute may be summarised as follows:</w:t>
      </w:r>
    </w:p>
    <w:p w:rsidR="005A269C" w:rsidRPr="00392374" w:rsidRDefault="005A269C" w:rsidP="00FB02C2">
      <w:pPr>
        <w:pStyle w:val="NormalWeb"/>
        <w:ind w:left="1080"/>
        <w:jc w:val="both"/>
        <w:rPr>
          <w:sz w:val="22"/>
          <w:szCs w:val="22"/>
        </w:rPr>
      </w:pPr>
      <w:r w:rsidRPr="00392374">
        <w:rPr>
          <w:sz w:val="22"/>
          <w:szCs w:val="22"/>
        </w:rPr>
        <w:t>“As a general rule a contract or agreement which is expressly prohibited by statute is illegal and null and void even when, as here, no declaration of nullity has been added by the statute."</w:t>
      </w:r>
      <w:r w:rsidRPr="00392374">
        <w:rPr>
          <w:rStyle w:val="FootnoteReference"/>
          <w:sz w:val="22"/>
          <w:szCs w:val="22"/>
        </w:rPr>
        <w:footnoteReference w:id="2"/>
      </w:r>
    </w:p>
    <w:p w:rsidR="002C0714" w:rsidRDefault="00B830FB" w:rsidP="004F55AD">
      <w:pPr>
        <w:pStyle w:val="NormalWeb"/>
        <w:spacing w:before="0" w:beforeAutospacing="0" w:after="0" w:afterAutospacing="0" w:line="360" w:lineRule="auto"/>
        <w:jc w:val="both"/>
      </w:pPr>
      <w:r>
        <w:lastRenderedPageBreak/>
        <w:tab/>
        <w:t xml:space="preserve">Therefore, once a court finds that an agreement or a contract it is being enjoined to endorse as valid was entered into by the parties contrary to statutory </w:t>
      </w:r>
      <w:r w:rsidR="005B1643">
        <w:t>provisions that</w:t>
      </w:r>
      <w:r>
        <w:t xml:space="preserve"> disposes of the matter. The requirement for courts to uphold </w:t>
      </w:r>
      <w:r w:rsidR="002C0714">
        <w:t>statutes is</w:t>
      </w:r>
      <w:r>
        <w:t xml:space="preserve"> such that even where the parties have not brought the issue up, the court is entitled, </w:t>
      </w:r>
      <w:r w:rsidRPr="00B830FB">
        <w:rPr>
          <w:i/>
        </w:rPr>
        <w:t>mero motu,</w:t>
      </w:r>
      <w:r w:rsidR="002C0714">
        <w:rPr>
          <w:i/>
        </w:rPr>
        <w:t xml:space="preserve"> </w:t>
      </w:r>
      <w:r>
        <w:t>to raise the issue of illegality.</w:t>
      </w:r>
      <w:r>
        <w:rPr>
          <w:rStyle w:val="FootnoteReference"/>
        </w:rPr>
        <w:footnoteReference w:id="3"/>
      </w:r>
    </w:p>
    <w:p w:rsidR="005B1643" w:rsidRDefault="005B1643" w:rsidP="005B1643">
      <w:pPr>
        <w:pStyle w:val="NormalWeb"/>
        <w:spacing w:before="0" w:beforeAutospacing="0" w:after="0" w:afterAutospacing="0" w:line="360" w:lineRule="auto"/>
        <w:ind w:firstLine="720"/>
        <w:jc w:val="both"/>
      </w:pPr>
      <w:r>
        <w:t>Hence, the question that the court has to address is whether, s 39 of the Regional, Town and Country Planning Act [</w:t>
      </w:r>
      <w:r>
        <w:rPr>
          <w:rStyle w:val="Emphasis"/>
        </w:rPr>
        <w:t>Chapter 29:12</w:t>
      </w:r>
      <w:r>
        <w:t>] prohibits persons from entering into an agreement for the change of ownership of any portion of a property, even where the agreement is made, expressly or impliedly, conditional upon the obtaining of a permit.</w:t>
      </w:r>
    </w:p>
    <w:p w:rsidR="005B1643" w:rsidRDefault="005B1643" w:rsidP="005B1643">
      <w:pPr>
        <w:pStyle w:val="NormalWeb"/>
        <w:spacing w:before="0" w:beforeAutospacing="0" w:after="0" w:afterAutospacing="0" w:line="360" w:lineRule="auto"/>
        <w:ind w:firstLine="720"/>
        <w:jc w:val="both"/>
      </w:pPr>
      <w:r>
        <w:t>This question, has, in my view, already been answered by the Supreme Court in the affirmative when it was held that:</w:t>
      </w:r>
      <w:r>
        <w:rPr>
          <w:rStyle w:val="FootnoteReference"/>
        </w:rPr>
        <w:footnoteReference w:id="4"/>
      </w:r>
      <w:r>
        <w:t> </w:t>
      </w:r>
    </w:p>
    <w:p w:rsidR="005B1643" w:rsidRDefault="005B1643" w:rsidP="005B1643">
      <w:pPr>
        <w:pStyle w:val="NormalWeb"/>
        <w:spacing w:before="0" w:beforeAutospacing="0" w:after="0" w:afterAutospacing="0" w:line="360" w:lineRule="auto"/>
        <w:ind w:firstLine="720"/>
        <w:jc w:val="both"/>
      </w:pPr>
    </w:p>
    <w:p w:rsidR="005B1643" w:rsidRDefault="005B1643" w:rsidP="00B40729">
      <w:pPr>
        <w:pStyle w:val="NoSpacing"/>
        <w:spacing w:after="240"/>
        <w:ind w:left="720"/>
        <w:jc w:val="both"/>
      </w:pPr>
      <w:r w:rsidRPr="00392374">
        <w:rPr>
          <w:sz w:val="22"/>
          <w:szCs w:val="22"/>
        </w:rPr>
        <w:t xml:space="preserve">“… s 39 forbids an agreement for the change of ownership of any portion of a property except in accordance with a permit granted under s 40 allowing for a subdivision. The agreement under consideration was clearly an agreement for the change of ownership of the </w:t>
      </w:r>
      <w:r>
        <w:rPr>
          <w:sz w:val="22"/>
          <w:szCs w:val="22"/>
        </w:rPr>
        <w:t>subdi</w:t>
      </w:r>
      <w:r w:rsidRPr="00392374">
        <w:rPr>
          <w:sz w:val="22"/>
          <w:szCs w:val="22"/>
        </w:rPr>
        <w:t xml:space="preserve">vided portion of a stand. </w:t>
      </w:r>
      <w:r w:rsidRPr="00392374">
        <w:rPr>
          <w:sz w:val="22"/>
          <w:szCs w:val="22"/>
          <w:u w:val="single"/>
        </w:rPr>
        <w:t>It was irrelevant whether the change of ownership was to take place on signing, or on an agreed date, or when a suspensive condition was fulfilled. The agreement itself was prohibited</w:t>
      </w:r>
      <w:r w:rsidRPr="00392374">
        <w:rPr>
          <w:sz w:val="22"/>
          <w:szCs w:val="22"/>
        </w:rPr>
        <w:t>.”</w:t>
      </w:r>
      <w:r w:rsidRPr="009201BF">
        <w:rPr>
          <w:i/>
        </w:rPr>
        <w:t>(my emphasis)</w:t>
      </w:r>
    </w:p>
    <w:p w:rsidR="004A3F73" w:rsidRDefault="00D966A1" w:rsidP="004F55AD">
      <w:pPr>
        <w:pStyle w:val="NormalWeb"/>
        <w:spacing w:before="0" w:beforeAutospacing="0" w:after="0" w:afterAutospacing="0" w:line="360" w:lineRule="auto"/>
        <w:ind w:firstLine="720"/>
        <w:jc w:val="both"/>
      </w:pPr>
      <w:r>
        <w:t xml:space="preserve">Mr </w:t>
      </w:r>
      <w:r w:rsidRPr="00B40729">
        <w:rPr>
          <w:i/>
        </w:rPr>
        <w:t>Mpofu</w:t>
      </w:r>
      <w:r>
        <w:t xml:space="preserve"> is quite correct to raise the point that i</w:t>
      </w:r>
      <w:r w:rsidR="004A3F73">
        <w:t>t is an established common law principle governing the law of contracts that an agreement of sale that is subject to the fulfilment of a condition is not a valid sale</w:t>
      </w:r>
      <w:r w:rsidR="00E4701E">
        <w:t xml:space="preserve"> until that condition has been fulfilled</w:t>
      </w:r>
      <w:r w:rsidR="004A3F73">
        <w:t>.</w:t>
      </w:r>
      <w:r w:rsidR="004A3F73">
        <w:rPr>
          <w:rStyle w:val="FootnoteReference"/>
        </w:rPr>
        <w:footnoteReference w:id="5"/>
      </w:r>
    </w:p>
    <w:p w:rsidR="002C0714" w:rsidRDefault="004A3F73" w:rsidP="004F55AD">
      <w:pPr>
        <w:pStyle w:val="NormalWeb"/>
        <w:spacing w:before="0" w:beforeAutospacing="0" w:after="0" w:afterAutospacing="0" w:line="360" w:lineRule="auto"/>
        <w:ind w:firstLine="720"/>
        <w:jc w:val="both"/>
      </w:pPr>
      <w:r>
        <w:t>T</w:t>
      </w:r>
      <w:r w:rsidR="002C0714">
        <w:t>he import of this is that, where a suspensive condition operates in an agreement, the contract itself does not exist until the suspensive condition is fulfilled. A non-existent contract cannot therefore be deemed to be illegal: it is not there. Therefore, until the contract comes into existence, with the fulfilment of the suspensive condition, there is nothing to declare illegal.</w:t>
      </w:r>
    </w:p>
    <w:p w:rsidR="008465A1" w:rsidRDefault="004A3F73" w:rsidP="004F55AD">
      <w:pPr>
        <w:pStyle w:val="NormalWeb"/>
        <w:spacing w:before="0" w:beforeAutospacing="0" w:after="0" w:afterAutospacing="0" w:line="360" w:lineRule="auto"/>
        <w:ind w:firstLine="720"/>
        <w:jc w:val="both"/>
      </w:pPr>
      <w:r>
        <w:t xml:space="preserve">Building on from this common law position, Mr </w:t>
      </w:r>
      <w:r w:rsidRPr="004F55AD">
        <w:rPr>
          <w:i/>
        </w:rPr>
        <w:t>Mpofu</w:t>
      </w:r>
      <w:r>
        <w:t xml:space="preserve"> makes the ingenious argument that</w:t>
      </w:r>
      <w:r w:rsidR="00E4701E">
        <w:t>,</w:t>
      </w:r>
      <w:r w:rsidR="00E4701E" w:rsidRPr="00E4701E">
        <w:rPr>
          <w:i/>
        </w:rPr>
        <w:t xml:space="preserve"> </w:t>
      </w:r>
      <w:r w:rsidR="00E4701E" w:rsidRPr="004A3F73">
        <w:rPr>
          <w:i/>
        </w:rPr>
        <w:t>in casu</w:t>
      </w:r>
      <w:r w:rsidR="00E4701E">
        <w:rPr>
          <w:i/>
        </w:rPr>
        <w:t>,</w:t>
      </w:r>
      <w:r>
        <w:t xml:space="preserve"> </w:t>
      </w:r>
      <w:r w:rsidR="00E4701E">
        <w:t>because there was a condition to obtain a development permit before transfer could be effected,</w:t>
      </w:r>
      <w:r>
        <w:t xml:space="preserve"> there was thus no valid agreement in existence between the parties until that condition was met. The contract only came into existence on the date the condition was fulfilled</w:t>
      </w:r>
      <w:r w:rsidR="00B8320D">
        <w:t xml:space="preserve">, and as at that date there was </w:t>
      </w:r>
      <w:r>
        <w:t xml:space="preserve">therefore </w:t>
      </w:r>
      <w:r w:rsidR="00B8320D">
        <w:t>no illegality.</w:t>
      </w:r>
      <w:r w:rsidR="008465A1">
        <w:t> </w:t>
      </w:r>
    </w:p>
    <w:p w:rsidR="00B8320D" w:rsidRDefault="00B8320D" w:rsidP="004F55AD">
      <w:pPr>
        <w:pStyle w:val="NormalWeb"/>
        <w:spacing w:before="0" w:beforeAutospacing="0" w:after="0" w:afterAutospacing="0" w:line="360" w:lineRule="auto"/>
        <w:ind w:firstLine="720"/>
        <w:jc w:val="both"/>
      </w:pPr>
      <w:r>
        <w:lastRenderedPageBreak/>
        <w:t>I am however not persuaded by this argument. It is my view that</w:t>
      </w:r>
      <w:r w:rsidR="00E4701E">
        <w:t xml:space="preserve"> he goes astray when he implies</w:t>
      </w:r>
      <w:r w:rsidR="001079FB">
        <w:t xml:space="preserve"> that the</w:t>
      </w:r>
      <w:r w:rsidR="00E4701E">
        <w:t xml:space="preserve"> agreement</w:t>
      </w:r>
      <w:r w:rsidR="001079FB">
        <w:t xml:space="preserve"> is then only effectively entered into as at the date the suspensive condition is fulfilled. This belies the fact that, in reality, the agreement between the parties </w:t>
      </w:r>
      <w:r w:rsidR="007A158B">
        <w:t>was</w:t>
      </w:r>
      <w:r w:rsidR="001079FB">
        <w:t xml:space="preserve"> reached as at the date of signature. </w:t>
      </w:r>
      <w:r>
        <w:t xml:space="preserve">And in terms of that agreement, from the date of its signature the parties had certain obligations to fulfil within time limits prescribed therein: the </w:t>
      </w:r>
      <w:r w:rsidR="00FB02C2">
        <w:t>first</w:t>
      </w:r>
      <w:r>
        <w:t xml:space="preserve"> respondent had to obtain subdivision permit and thereafter effect transfer, while the applicant had to make payment as agreed. </w:t>
      </w:r>
    </w:p>
    <w:p w:rsidR="005B1643" w:rsidRDefault="001079FB" w:rsidP="004F55AD">
      <w:pPr>
        <w:pStyle w:val="NormalWeb"/>
        <w:spacing w:before="0" w:beforeAutospacing="0" w:after="0" w:afterAutospacing="0" w:line="360" w:lineRule="auto"/>
        <w:ind w:firstLine="720"/>
        <w:jc w:val="both"/>
      </w:pPr>
      <w:r>
        <w:t>It is</w:t>
      </w:r>
      <w:r w:rsidR="00B8320D">
        <w:t xml:space="preserve"> therefore</w:t>
      </w:r>
      <w:r>
        <w:t xml:space="preserve"> at th</w:t>
      </w:r>
      <w:r w:rsidR="00B8320D">
        <w:t>e</w:t>
      </w:r>
      <w:r>
        <w:t xml:space="preserve"> date</w:t>
      </w:r>
      <w:r w:rsidR="00B8320D">
        <w:t xml:space="preserve"> of signature of that agreement t</w:t>
      </w:r>
      <w:r>
        <w:t xml:space="preserve">hat the mischief sought to be avoided by the legislative provisions arises: parties are </w:t>
      </w:r>
      <w:r w:rsidR="005B1643">
        <w:t xml:space="preserve">prohibited from </w:t>
      </w:r>
      <w:r>
        <w:t>enter</w:t>
      </w:r>
      <w:r w:rsidR="005B1643">
        <w:t>ing</w:t>
      </w:r>
      <w:r>
        <w:t xml:space="preserve"> into any agreement at all until the legislati</w:t>
      </w:r>
      <w:r w:rsidR="00E4701E">
        <w:t>ve requirements are met</w:t>
      </w:r>
      <w:r w:rsidR="005B1643">
        <w:t>. In this case, the parties ought not to have reached any agreement at all</w:t>
      </w:r>
      <w:r>
        <w:t xml:space="preserve"> until a subdivision permit ha</w:t>
      </w:r>
      <w:r w:rsidR="005B1643">
        <w:t>d</w:t>
      </w:r>
      <w:r>
        <w:t xml:space="preserve"> been issued.</w:t>
      </w:r>
      <w:r w:rsidR="00B8320D">
        <w:t xml:space="preserve"> </w:t>
      </w:r>
    </w:p>
    <w:p w:rsidR="005B1643" w:rsidRDefault="005B1643" w:rsidP="005B1643">
      <w:pPr>
        <w:pStyle w:val="NormalWeb"/>
        <w:spacing w:before="0" w:beforeAutospacing="0" w:after="0" w:afterAutospacing="0" w:line="360" w:lineRule="auto"/>
        <w:ind w:firstLine="720"/>
        <w:jc w:val="both"/>
      </w:pPr>
      <w:r>
        <w:t>In my view therefore, w</w:t>
      </w:r>
      <w:r w:rsidR="00B8320D">
        <w:t xml:space="preserve">hat did not exist was an agreement to effect transfer </w:t>
      </w:r>
      <w:r w:rsidR="00B8320D" w:rsidRPr="00B8320D">
        <w:rPr>
          <w:u w:val="single"/>
        </w:rPr>
        <w:t>before</w:t>
      </w:r>
      <w:r w:rsidR="00B8320D">
        <w:rPr>
          <w:u w:val="single"/>
        </w:rPr>
        <w:t xml:space="preserve"> </w:t>
      </w:r>
      <w:r w:rsidR="00B8320D" w:rsidRPr="00B8320D">
        <w:t>the subdivision permit was issued.</w:t>
      </w:r>
      <w:r w:rsidR="00B8320D">
        <w:t xml:space="preserve"> Otherwise there was an agreement between the parties to effect transfer once the </w:t>
      </w:r>
      <w:r w:rsidR="00FB02C2">
        <w:t>subdivision</w:t>
      </w:r>
      <w:r w:rsidR="00B8320D">
        <w:t xml:space="preserve"> permit was issued, and it is that agreement which is proscribed by law. </w:t>
      </w:r>
    </w:p>
    <w:p w:rsidR="003F53C6" w:rsidRDefault="00CD3C8D" w:rsidP="005B1643">
      <w:pPr>
        <w:pStyle w:val="NormalWeb"/>
        <w:spacing w:before="0" w:beforeAutospacing="0" w:after="0" w:afterAutospacing="0" w:line="360" w:lineRule="auto"/>
        <w:ind w:firstLine="720"/>
        <w:jc w:val="both"/>
      </w:pPr>
      <w:r>
        <w:t xml:space="preserve">The agreement between the parties was clearly intended that, once the subdivision permit was granted, then change of ownership would be effected. </w:t>
      </w:r>
      <w:r w:rsidR="00E4701E">
        <w:t xml:space="preserve">According to the </w:t>
      </w:r>
      <w:r w:rsidR="009201BF" w:rsidRPr="009201BF">
        <w:rPr>
          <w:i/>
        </w:rPr>
        <w:t>X-Trend-A-Home</w:t>
      </w:r>
      <w:r w:rsidR="009201BF">
        <w:t xml:space="preserve"> case</w:t>
      </w:r>
      <w:r w:rsidR="004F55AD">
        <w:t xml:space="preserve"> </w:t>
      </w:r>
      <w:r w:rsidR="009201BF">
        <w:t>(</w:t>
      </w:r>
      <w:r w:rsidR="009201BF" w:rsidRPr="004F55AD">
        <w:rPr>
          <w:i/>
        </w:rPr>
        <w:t>supra</w:t>
      </w:r>
      <w:r w:rsidR="009201BF">
        <w:t>), it was that agreement that was prohibited. The question of the conditio</w:t>
      </w:r>
      <w:r>
        <w:t>n</w:t>
      </w:r>
      <w:r w:rsidR="009201BF">
        <w:t xml:space="preserve"> that a</w:t>
      </w:r>
      <w:r>
        <w:t xml:space="preserve"> permit</w:t>
      </w:r>
      <w:r w:rsidR="009201BF">
        <w:t xml:space="preserve"> should be obtained </w:t>
      </w:r>
      <w:r>
        <w:t xml:space="preserve">is </w:t>
      </w:r>
      <w:r w:rsidR="009201BF">
        <w:t xml:space="preserve">therefore </w:t>
      </w:r>
      <w:r>
        <w:t xml:space="preserve">irrelevant. </w:t>
      </w:r>
    </w:p>
    <w:p w:rsidR="003F53C6" w:rsidRDefault="00CD3C8D" w:rsidP="004F55AD">
      <w:pPr>
        <w:pStyle w:val="NormalWeb"/>
        <w:spacing w:before="0" w:beforeAutospacing="0" w:line="360" w:lineRule="auto"/>
        <w:ind w:firstLine="720"/>
        <w:jc w:val="both"/>
      </w:pPr>
      <w:r>
        <w:t>In fact special condition number 1 reads as follows:</w:t>
      </w:r>
    </w:p>
    <w:p w:rsidR="003F53C6" w:rsidRDefault="003F53C6" w:rsidP="004F55AD">
      <w:pPr>
        <w:pStyle w:val="NormalWeb"/>
        <w:spacing w:line="276" w:lineRule="auto"/>
        <w:ind w:left="720"/>
        <w:jc w:val="both"/>
      </w:pPr>
      <w:r w:rsidRPr="00392374">
        <w:rPr>
          <w:sz w:val="22"/>
          <w:szCs w:val="22"/>
        </w:rPr>
        <w:t xml:space="preserve">“The Purchaser acknowledges that </w:t>
      </w:r>
      <w:r w:rsidRPr="00392374">
        <w:rPr>
          <w:sz w:val="22"/>
          <w:szCs w:val="22"/>
          <w:u w:val="single"/>
        </w:rPr>
        <w:t>the process of subdivision and survey is on-going simultaneously with transfers. The Seller shall take all necessary steps to enable the Development Permit to be granted within a reasonable period from the date on which this agreement is contracted</w:t>
      </w:r>
      <w:r w:rsidRPr="00392374">
        <w:rPr>
          <w:sz w:val="22"/>
          <w:szCs w:val="22"/>
        </w:rPr>
        <w:t>.</w:t>
      </w:r>
      <w:r>
        <w:t xml:space="preserve"> </w:t>
      </w:r>
      <w:r w:rsidRPr="009201BF">
        <w:rPr>
          <w:i/>
        </w:rPr>
        <w:t>(my emphasis)</w:t>
      </w:r>
      <w:r>
        <w:t>.</w:t>
      </w:r>
    </w:p>
    <w:p w:rsidR="00050CD9" w:rsidRPr="00050CD9" w:rsidRDefault="003F53C6" w:rsidP="004F55AD">
      <w:pPr>
        <w:spacing w:line="360" w:lineRule="auto"/>
        <w:ind w:left="-426" w:right="-264" w:firstLine="1146"/>
        <w:jc w:val="both"/>
        <w:rPr>
          <w:rFonts w:ascii="Times New Roman" w:hAnsi="Times New Roman" w:cs="Times New Roman"/>
          <w:sz w:val="24"/>
          <w:szCs w:val="24"/>
        </w:rPr>
      </w:pPr>
      <w:r w:rsidRPr="00050CD9">
        <w:rPr>
          <w:rFonts w:ascii="Times New Roman" w:hAnsi="Times New Roman" w:cs="Times New Roman"/>
          <w:sz w:val="24"/>
          <w:szCs w:val="24"/>
        </w:rPr>
        <w:t xml:space="preserve">There is </w:t>
      </w:r>
      <w:r w:rsidR="00050CD9">
        <w:rPr>
          <w:rFonts w:ascii="Times New Roman" w:hAnsi="Times New Roman" w:cs="Times New Roman"/>
          <w:sz w:val="24"/>
          <w:szCs w:val="24"/>
        </w:rPr>
        <w:t xml:space="preserve">thence, </w:t>
      </w:r>
      <w:r w:rsidRPr="00050CD9">
        <w:rPr>
          <w:rFonts w:ascii="Times New Roman" w:hAnsi="Times New Roman" w:cs="Times New Roman"/>
          <w:sz w:val="24"/>
          <w:szCs w:val="24"/>
        </w:rPr>
        <w:t xml:space="preserve">a clear acknowledgment </w:t>
      </w:r>
      <w:r w:rsidR="00050CD9">
        <w:rPr>
          <w:rFonts w:ascii="Times New Roman" w:hAnsi="Times New Roman" w:cs="Times New Roman"/>
          <w:sz w:val="24"/>
          <w:szCs w:val="24"/>
        </w:rPr>
        <w:t xml:space="preserve">between the parties </w:t>
      </w:r>
      <w:r w:rsidRPr="00050CD9">
        <w:rPr>
          <w:rFonts w:ascii="Times New Roman" w:hAnsi="Times New Roman" w:cs="Times New Roman"/>
          <w:sz w:val="24"/>
          <w:szCs w:val="24"/>
        </w:rPr>
        <w:t>that, firstly, the agreement has been entered in</w:t>
      </w:r>
      <w:r w:rsidR="00050CD9">
        <w:rPr>
          <w:rFonts w:ascii="Times New Roman" w:hAnsi="Times New Roman" w:cs="Times New Roman"/>
          <w:sz w:val="24"/>
          <w:szCs w:val="24"/>
        </w:rPr>
        <w:t>to in</w:t>
      </w:r>
      <w:r w:rsidRPr="00050CD9">
        <w:rPr>
          <w:rFonts w:ascii="Times New Roman" w:hAnsi="Times New Roman" w:cs="Times New Roman"/>
          <w:sz w:val="24"/>
          <w:szCs w:val="24"/>
        </w:rPr>
        <w:t xml:space="preserve"> the absence of a subdivision permit, and secondly, such permit will only be obtained subsequent to the date of the agreement. </w:t>
      </w:r>
      <w:r w:rsidR="00050CD9">
        <w:rPr>
          <w:rFonts w:ascii="Times New Roman" w:hAnsi="Times New Roman" w:cs="Times New Roman"/>
          <w:sz w:val="24"/>
          <w:szCs w:val="24"/>
        </w:rPr>
        <w:t xml:space="preserve">This brings the agreement squarely within the ambit of </w:t>
      </w:r>
      <w:r w:rsidR="00050CD9" w:rsidRPr="00050CD9">
        <w:rPr>
          <w:rFonts w:ascii="Times New Roman" w:hAnsi="Times New Roman" w:cs="Times New Roman"/>
          <w:sz w:val="24"/>
          <w:szCs w:val="24"/>
        </w:rPr>
        <w:t xml:space="preserve">the comment of </w:t>
      </w:r>
      <w:r w:rsidR="00050CD9" w:rsidRPr="004F55AD">
        <w:rPr>
          <w:rFonts w:ascii="Times New Roman" w:hAnsi="Times New Roman" w:cs="Times New Roman"/>
          <w:smallCaps/>
          <w:sz w:val="24"/>
          <w:szCs w:val="24"/>
        </w:rPr>
        <w:t>Mavangira</w:t>
      </w:r>
      <w:r w:rsidR="00050CD9" w:rsidRPr="00050CD9">
        <w:rPr>
          <w:rFonts w:ascii="Times New Roman" w:hAnsi="Times New Roman" w:cs="Times New Roman"/>
          <w:sz w:val="24"/>
          <w:szCs w:val="24"/>
        </w:rPr>
        <w:t xml:space="preserve"> J, as then was, when she stated:</w:t>
      </w:r>
    </w:p>
    <w:p w:rsidR="00050CD9" w:rsidRPr="00050CD9" w:rsidRDefault="00050CD9" w:rsidP="004F55AD">
      <w:pPr>
        <w:spacing w:line="276" w:lineRule="auto"/>
        <w:ind w:left="720" w:right="-264"/>
        <w:jc w:val="both"/>
        <w:rPr>
          <w:rFonts w:ascii="Times New Roman" w:hAnsi="Times New Roman" w:cs="Times New Roman"/>
        </w:rPr>
      </w:pPr>
      <w:r>
        <w:rPr>
          <w:rFonts w:ascii="Times New Roman" w:hAnsi="Times New Roman" w:cs="Times New Roman"/>
          <w:sz w:val="24"/>
          <w:szCs w:val="24"/>
        </w:rPr>
        <w:t>“</w:t>
      </w:r>
      <w:r w:rsidRPr="00050CD9">
        <w:rPr>
          <w:rFonts w:ascii="Times New Roman" w:hAnsi="Times New Roman" w:cs="Times New Roman"/>
        </w:rPr>
        <w:t xml:space="preserve">The issuance of the permit after the agreement had already been entered into cannot have any legal effect on the validity of the agreement insofar as compliance with the Act in question is concerned. It is the state of affairs prevailing </w:t>
      </w:r>
      <w:r w:rsidRPr="009201BF">
        <w:rPr>
          <w:rFonts w:ascii="Times New Roman" w:hAnsi="Times New Roman" w:cs="Times New Roman"/>
          <w:u w:val="single"/>
        </w:rPr>
        <w:t xml:space="preserve">at the time that the parties entered into the </w:t>
      </w:r>
      <w:r w:rsidRPr="009201BF">
        <w:rPr>
          <w:rFonts w:ascii="Times New Roman" w:hAnsi="Times New Roman" w:cs="Times New Roman"/>
          <w:u w:val="single"/>
        </w:rPr>
        <w:lastRenderedPageBreak/>
        <w:t>agreement,</w:t>
      </w:r>
      <w:r w:rsidRPr="00050CD9">
        <w:rPr>
          <w:rFonts w:ascii="Times New Roman" w:hAnsi="Times New Roman" w:cs="Times New Roman"/>
        </w:rPr>
        <w:t xml:space="preserve"> </w:t>
      </w:r>
      <w:r w:rsidR="009201BF" w:rsidRPr="009201BF">
        <w:rPr>
          <w:rFonts w:ascii="Times New Roman" w:hAnsi="Times New Roman" w:cs="Times New Roman"/>
          <w:i/>
        </w:rPr>
        <w:t>(my emphasis)</w:t>
      </w:r>
      <w:r w:rsidR="009201BF">
        <w:rPr>
          <w:rFonts w:ascii="Times New Roman" w:hAnsi="Times New Roman" w:cs="Times New Roman"/>
        </w:rPr>
        <w:t xml:space="preserve"> </w:t>
      </w:r>
      <w:r w:rsidRPr="00050CD9">
        <w:rPr>
          <w:rFonts w:ascii="Times New Roman" w:hAnsi="Times New Roman" w:cs="Times New Roman"/>
        </w:rPr>
        <w:t>in relation to the existence or otherwise of a subdivision permit, that is relevant.</w:t>
      </w:r>
      <w:r>
        <w:rPr>
          <w:rFonts w:ascii="Times New Roman" w:hAnsi="Times New Roman" w:cs="Times New Roman"/>
        </w:rPr>
        <w:t>”</w:t>
      </w:r>
      <w:r>
        <w:rPr>
          <w:rStyle w:val="FootnoteReference"/>
          <w:rFonts w:ascii="Times New Roman" w:hAnsi="Times New Roman"/>
        </w:rPr>
        <w:footnoteReference w:id="6"/>
      </w:r>
    </w:p>
    <w:p w:rsidR="007B4B9D" w:rsidRDefault="003F53C6" w:rsidP="004F55AD">
      <w:pPr>
        <w:pStyle w:val="NormalWeb"/>
        <w:spacing w:before="0" w:beforeAutospacing="0" w:after="0" w:afterAutospacing="0" w:line="360" w:lineRule="auto"/>
        <w:ind w:firstLine="720"/>
        <w:jc w:val="both"/>
      </w:pPr>
      <w:r>
        <w:t xml:space="preserve">The </w:t>
      </w:r>
      <w:r w:rsidR="00EF71AA">
        <w:t>agreement</w:t>
      </w:r>
      <w:r w:rsidR="00CD3C8D">
        <w:t xml:space="preserve"> therefore runs afoul of the law</w:t>
      </w:r>
      <w:r>
        <w:t xml:space="preserve"> and is therefore illegal.</w:t>
      </w:r>
      <w:r w:rsidR="00B830FB">
        <w:t xml:space="preserve">  </w:t>
      </w:r>
      <w:r>
        <w:t>It is trite that t</w:t>
      </w:r>
      <w:r w:rsidR="00B830FB">
        <w:t>he courts do not give effect to illegal agreements.  </w:t>
      </w:r>
      <w:r w:rsidR="00B349AE">
        <w:t xml:space="preserve"> </w:t>
      </w:r>
    </w:p>
    <w:p w:rsidR="00EF71AA" w:rsidRDefault="00EF71AA" w:rsidP="004F55AD">
      <w:pPr>
        <w:spacing w:after="0" w:line="360" w:lineRule="auto"/>
        <w:ind w:left="-426" w:right="-264" w:firstLine="1146"/>
        <w:jc w:val="both"/>
        <w:rPr>
          <w:rFonts w:ascii="Times New Roman" w:hAnsi="Times New Roman" w:cs="Times New Roman"/>
          <w:sz w:val="24"/>
          <w:szCs w:val="24"/>
        </w:rPr>
      </w:pPr>
      <w:r>
        <w:rPr>
          <w:rFonts w:ascii="Times New Roman" w:hAnsi="Times New Roman" w:cs="Times New Roman"/>
          <w:sz w:val="24"/>
          <w:szCs w:val="24"/>
        </w:rPr>
        <w:t xml:space="preserve">Consequently, </w:t>
      </w:r>
      <w:r w:rsidR="007A158B" w:rsidRPr="00050CD9">
        <w:rPr>
          <w:rFonts w:ascii="Times New Roman" w:hAnsi="Times New Roman" w:cs="Times New Roman"/>
          <w:sz w:val="24"/>
          <w:szCs w:val="24"/>
        </w:rPr>
        <w:t xml:space="preserve">I do not agree that this case is distinguishable from the </w:t>
      </w:r>
      <w:r w:rsidR="007A158B" w:rsidRPr="00050CD9">
        <w:rPr>
          <w:rFonts w:ascii="Times New Roman" w:hAnsi="Times New Roman" w:cs="Times New Roman"/>
          <w:i/>
          <w:sz w:val="24"/>
          <w:szCs w:val="24"/>
        </w:rPr>
        <w:t>X-Trend-A-Home</w:t>
      </w:r>
      <w:r w:rsidR="007A158B" w:rsidRPr="00050CD9">
        <w:rPr>
          <w:rFonts w:ascii="Times New Roman" w:hAnsi="Times New Roman" w:cs="Times New Roman"/>
          <w:sz w:val="24"/>
          <w:szCs w:val="24"/>
        </w:rPr>
        <w:t xml:space="preserve"> (</w:t>
      </w:r>
      <w:r w:rsidR="007A158B" w:rsidRPr="004F55AD">
        <w:rPr>
          <w:rFonts w:ascii="Times New Roman" w:hAnsi="Times New Roman" w:cs="Times New Roman"/>
          <w:i/>
          <w:sz w:val="24"/>
          <w:szCs w:val="24"/>
        </w:rPr>
        <w:t>supra</w:t>
      </w:r>
      <w:r w:rsidR="007A158B" w:rsidRPr="00050CD9">
        <w:rPr>
          <w:rFonts w:ascii="Times New Roman" w:hAnsi="Times New Roman" w:cs="Times New Roman"/>
          <w:sz w:val="24"/>
          <w:szCs w:val="24"/>
        </w:rPr>
        <w:t xml:space="preserve">) case. </w:t>
      </w:r>
      <w:r>
        <w:rPr>
          <w:rFonts w:ascii="Times New Roman" w:hAnsi="Times New Roman" w:cs="Times New Roman"/>
          <w:sz w:val="24"/>
          <w:szCs w:val="24"/>
        </w:rPr>
        <w:t xml:space="preserve">In fact, in that case, the Supreme Court clearly intended to clarify the position of agreements entered into contrary to the law, whether or not, they were subject to conditions precedent or suspensive conditions, and hence </w:t>
      </w:r>
      <w:r w:rsidRPr="004F55AD">
        <w:rPr>
          <w:rFonts w:ascii="Times New Roman" w:hAnsi="Times New Roman" w:cs="Times New Roman"/>
          <w:smallCaps/>
          <w:sz w:val="24"/>
          <w:szCs w:val="24"/>
        </w:rPr>
        <w:t>McNally</w:t>
      </w:r>
      <w:r>
        <w:rPr>
          <w:rFonts w:ascii="Times New Roman" w:hAnsi="Times New Roman" w:cs="Times New Roman"/>
          <w:sz w:val="24"/>
          <w:szCs w:val="24"/>
        </w:rPr>
        <w:t xml:space="preserve"> JA’s finding that it is the agreement itself which is prohibited.</w:t>
      </w:r>
    </w:p>
    <w:p w:rsidR="009201BF" w:rsidRDefault="00EF71AA" w:rsidP="004F55AD">
      <w:pPr>
        <w:spacing w:after="0" w:line="360" w:lineRule="auto"/>
        <w:ind w:left="-426" w:right="-264" w:firstLine="1146"/>
        <w:jc w:val="both"/>
        <w:rPr>
          <w:rFonts w:ascii="Times New Roman" w:hAnsi="Times New Roman" w:cs="Times New Roman"/>
          <w:sz w:val="24"/>
          <w:szCs w:val="24"/>
        </w:rPr>
      </w:pPr>
      <w:r>
        <w:rPr>
          <w:rFonts w:ascii="Times New Roman" w:hAnsi="Times New Roman" w:cs="Times New Roman"/>
          <w:sz w:val="24"/>
          <w:szCs w:val="24"/>
        </w:rPr>
        <w:t>Therefore</w:t>
      </w:r>
      <w:r w:rsidR="007A158B" w:rsidRPr="00050CD9">
        <w:rPr>
          <w:rFonts w:ascii="Times New Roman" w:hAnsi="Times New Roman" w:cs="Times New Roman"/>
          <w:sz w:val="24"/>
          <w:szCs w:val="24"/>
        </w:rPr>
        <w:t xml:space="preserve">, by asking this court to find that a contract of sale </w:t>
      </w:r>
      <w:r w:rsidR="004B3DDB" w:rsidRPr="00050CD9">
        <w:rPr>
          <w:rFonts w:ascii="Times New Roman" w:hAnsi="Times New Roman" w:cs="Times New Roman"/>
          <w:sz w:val="24"/>
          <w:szCs w:val="24"/>
        </w:rPr>
        <w:t xml:space="preserve">to change ownership after a suspensive condition had been fulfilled was not </w:t>
      </w:r>
      <w:r w:rsidR="007A158B" w:rsidRPr="00050CD9">
        <w:rPr>
          <w:rFonts w:ascii="Times New Roman" w:hAnsi="Times New Roman" w:cs="Times New Roman"/>
          <w:sz w:val="24"/>
          <w:szCs w:val="24"/>
        </w:rPr>
        <w:t>contrary to s</w:t>
      </w:r>
      <w:r w:rsidR="004F55AD">
        <w:rPr>
          <w:rFonts w:ascii="Times New Roman" w:hAnsi="Times New Roman" w:cs="Times New Roman"/>
          <w:sz w:val="24"/>
          <w:szCs w:val="24"/>
        </w:rPr>
        <w:t xml:space="preserve"> </w:t>
      </w:r>
      <w:r w:rsidR="007A158B" w:rsidRPr="00050CD9">
        <w:rPr>
          <w:rFonts w:ascii="Times New Roman" w:hAnsi="Times New Roman" w:cs="Times New Roman"/>
          <w:sz w:val="24"/>
          <w:szCs w:val="24"/>
        </w:rPr>
        <w:t xml:space="preserve">39 it seems to me that Mr </w:t>
      </w:r>
      <w:r w:rsidR="007A158B" w:rsidRPr="004F55AD">
        <w:rPr>
          <w:rFonts w:ascii="Times New Roman" w:hAnsi="Times New Roman" w:cs="Times New Roman"/>
          <w:i/>
          <w:sz w:val="24"/>
          <w:szCs w:val="24"/>
        </w:rPr>
        <w:t>Mpofu</w:t>
      </w:r>
      <w:r w:rsidR="007A158B" w:rsidRPr="00050CD9">
        <w:rPr>
          <w:rFonts w:ascii="Times New Roman" w:hAnsi="Times New Roman" w:cs="Times New Roman"/>
          <w:sz w:val="24"/>
          <w:szCs w:val="24"/>
        </w:rPr>
        <w:t xml:space="preserve"> is </w:t>
      </w:r>
      <w:r w:rsidR="004B3DDB" w:rsidRPr="00050CD9">
        <w:rPr>
          <w:rFonts w:ascii="Times New Roman" w:hAnsi="Times New Roman" w:cs="Times New Roman"/>
          <w:sz w:val="24"/>
          <w:szCs w:val="24"/>
        </w:rPr>
        <w:t>inviting</w:t>
      </w:r>
      <w:r w:rsidR="007A158B" w:rsidRPr="00050CD9">
        <w:rPr>
          <w:rFonts w:ascii="Times New Roman" w:hAnsi="Times New Roman" w:cs="Times New Roman"/>
          <w:sz w:val="24"/>
          <w:szCs w:val="24"/>
        </w:rPr>
        <w:t xml:space="preserve"> this court to overrule the Supreme Court decision, by the back door</w:t>
      </w:r>
      <w:r w:rsidR="004B3DDB" w:rsidRPr="00050CD9">
        <w:rPr>
          <w:rFonts w:ascii="Times New Roman" w:hAnsi="Times New Roman" w:cs="Times New Roman"/>
          <w:sz w:val="24"/>
          <w:szCs w:val="24"/>
        </w:rPr>
        <w:t>. I refuse to accept such invitation.</w:t>
      </w:r>
      <w:r w:rsidR="00050CD9" w:rsidRPr="00050CD9">
        <w:rPr>
          <w:rFonts w:ascii="Times New Roman" w:hAnsi="Times New Roman" w:cs="Times New Roman"/>
          <w:sz w:val="24"/>
          <w:szCs w:val="24"/>
        </w:rPr>
        <w:t xml:space="preserve"> </w:t>
      </w:r>
    </w:p>
    <w:p w:rsidR="00192891" w:rsidRPr="009201BF" w:rsidRDefault="00401CC7" w:rsidP="004F55AD">
      <w:pPr>
        <w:spacing w:after="0" w:line="360" w:lineRule="auto"/>
        <w:ind w:left="-426" w:right="-264" w:firstLine="1146"/>
        <w:jc w:val="both"/>
        <w:rPr>
          <w:rFonts w:ascii="Times New Roman" w:hAnsi="Times New Roman" w:cs="Times New Roman"/>
          <w:sz w:val="24"/>
          <w:szCs w:val="24"/>
        </w:rPr>
      </w:pPr>
      <w:r w:rsidRPr="009201BF">
        <w:rPr>
          <w:rFonts w:ascii="Times New Roman" w:hAnsi="Times New Roman" w:cs="Times New Roman"/>
          <w:sz w:val="24"/>
          <w:szCs w:val="24"/>
        </w:rPr>
        <w:t>In the prem</w:t>
      </w:r>
      <w:r w:rsidR="009E527F" w:rsidRPr="009201BF">
        <w:rPr>
          <w:rFonts w:ascii="Times New Roman" w:hAnsi="Times New Roman" w:cs="Times New Roman"/>
          <w:sz w:val="24"/>
          <w:szCs w:val="24"/>
        </w:rPr>
        <w:t xml:space="preserve">ises, </w:t>
      </w:r>
      <w:r w:rsidR="004B3DDB" w:rsidRPr="009201BF">
        <w:rPr>
          <w:rFonts w:ascii="Times New Roman" w:hAnsi="Times New Roman" w:cs="Times New Roman"/>
          <w:sz w:val="24"/>
          <w:szCs w:val="24"/>
        </w:rPr>
        <w:t xml:space="preserve">I cannot find favour with </w:t>
      </w:r>
      <w:r w:rsidR="009E527F" w:rsidRPr="009201BF">
        <w:rPr>
          <w:rFonts w:ascii="Times New Roman" w:hAnsi="Times New Roman" w:cs="Times New Roman"/>
          <w:sz w:val="24"/>
          <w:szCs w:val="24"/>
        </w:rPr>
        <w:t>t</w:t>
      </w:r>
      <w:r w:rsidR="004B3DDB" w:rsidRPr="009201BF">
        <w:rPr>
          <w:rFonts w:ascii="Times New Roman" w:hAnsi="Times New Roman" w:cs="Times New Roman"/>
          <w:sz w:val="24"/>
          <w:szCs w:val="24"/>
        </w:rPr>
        <w:t xml:space="preserve">he application to compel transfer. </w:t>
      </w:r>
      <w:r w:rsidR="000B0663" w:rsidRPr="009201BF">
        <w:rPr>
          <w:rFonts w:ascii="Times New Roman" w:hAnsi="Times New Roman" w:cs="Times New Roman"/>
          <w:sz w:val="24"/>
          <w:szCs w:val="24"/>
        </w:rPr>
        <w:t xml:space="preserve"> </w:t>
      </w:r>
    </w:p>
    <w:p w:rsidR="004B3DDB" w:rsidRDefault="004B3DDB" w:rsidP="004F55AD">
      <w:pPr>
        <w:pStyle w:val="NormalWeb"/>
        <w:spacing w:before="0" w:beforeAutospacing="0" w:after="0" w:afterAutospacing="0" w:line="360" w:lineRule="auto"/>
        <w:ind w:firstLine="720"/>
        <w:jc w:val="both"/>
      </w:pPr>
      <w:r>
        <w:t xml:space="preserve">However having found that the applicant succeeded in proving that the purchase price was paid to the </w:t>
      </w:r>
      <w:r w:rsidR="004F55AD">
        <w:t>first</w:t>
      </w:r>
      <w:r>
        <w:t xml:space="preserve"> respondent pursuant to the invalid agreement, and that she should therefore restitute, otherwise she would unjustly benefit, I make the following order:</w:t>
      </w:r>
    </w:p>
    <w:p w:rsidR="004B3DDB" w:rsidRDefault="004B3DDB" w:rsidP="004F55AD">
      <w:pPr>
        <w:pStyle w:val="NormalWeb"/>
        <w:numPr>
          <w:ilvl w:val="0"/>
          <w:numId w:val="22"/>
        </w:numPr>
        <w:spacing w:line="360" w:lineRule="auto"/>
        <w:jc w:val="both"/>
      </w:pPr>
      <w:r>
        <w:t>The application to compel transfer is dismissed.</w:t>
      </w:r>
    </w:p>
    <w:p w:rsidR="004B3DDB" w:rsidRDefault="004B3DDB" w:rsidP="004F55AD">
      <w:pPr>
        <w:pStyle w:val="NormalWeb"/>
        <w:numPr>
          <w:ilvl w:val="0"/>
          <w:numId w:val="22"/>
        </w:numPr>
        <w:spacing w:line="360" w:lineRule="auto"/>
        <w:jc w:val="both"/>
      </w:pPr>
      <w:r>
        <w:t>In the alternative, the 1</w:t>
      </w:r>
      <w:r w:rsidRPr="009201BF">
        <w:rPr>
          <w:vertAlign w:val="superscript"/>
        </w:rPr>
        <w:t>st</w:t>
      </w:r>
      <w:r>
        <w:t xml:space="preserve"> respondent shall pay to the applicant the sum of </w:t>
      </w:r>
      <w:r w:rsidR="002152D2">
        <w:t>Seventy Five Thousand</w:t>
      </w:r>
      <w:r>
        <w:t xml:space="preserve"> United States Doll</w:t>
      </w:r>
      <w:r w:rsidR="002152D2">
        <w:t>ars (USD75</w:t>
      </w:r>
      <w:r>
        <w:t xml:space="preserve"> 0000) with interest at the prescribed rate from the date of pa</w:t>
      </w:r>
      <w:r w:rsidR="002152D2">
        <w:t>yment of the last instalment to the date of full and final payment, as a restitution for the purchase price paid by the applicant.</w:t>
      </w:r>
    </w:p>
    <w:p w:rsidR="002152D2" w:rsidRPr="005E1FC3" w:rsidRDefault="002152D2" w:rsidP="004F55AD">
      <w:pPr>
        <w:pStyle w:val="NormalWeb"/>
        <w:numPr>
          <w:ilvl w:val="0"/>
          <w:numId w:val="22"/>
        </w:numPr>
        <w:spacing w:line="360" w:lineRule="auto"/>
        <w:jc w:val="both"/>
      </w:pPr>
      <w:r>
        <w:t>That the 1</w:t>
      </w:r>
      <w:r w:rsidRPr="002152D2">
        <w:rPr>
          <w:vertAlign w:val="superscript"/>
        </w:rPr>
        <w:t>st</w:t>
      </w:r>
      <w:r>
        <w:t xml:space="preserve"> respondent shall pay costs of suit on a legal practitioner and client scale.</w:t>
      </w:r>
    </w:p>
    <w:p w:rsidR="00192891" w:rsidRDefault="00192891" w:rsidP="00192891">
      <w:pPr>
        <w:spacing w:after="0" w:line="360" w:lineRule="auto"/>
        <w:jc w:val="both"/>
        <w:rPr>
          <w:rFonts w:ascii="Times New Roman" w:hAnsi="Times New Roman" w:cs="Times New Roman"/>
          <w:sz w:val="24"/>
          <w:szCs w:val="24"/>
        </w:rPr>
      </w:pPr>
    </w:p>
    <w:p w:rsidR="00192891" w:rsidRDefault="00192891" w:rsidP="00192891">
      <w:pPr>
        <w:spacing w:after="0" w:line="360" w:lineRule="auto"/>
        <w:jc w:val="both"/>
        <w:rPr>
          <w:rFonts w:ascii="Times New Roman" w:hAnsi="Times New Roman" w:cs="Times New Roman"/>
          <w:sz w:val="24"/>
          <w:szCs w:val="24"/>
        </w:rPr>
      </w:pPr>
    </w:p>
    <w:p w:rsidR="00D611EB" w:rsidRPr="00D611EB" w:rsidRDefault="001D3F4C"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9E1377">
        <w:rPr>
          <w:rFonts w:ascii="Times New Roman" w:hAnsi="Times New Roman" w:cs="Times New Roman"/>
          <w:i/>
          <w:sz w:val="24"/>
          <w:szCs w:val="24"/>
        </w:rPr>
        <w:t>hishi Legal Practice</w:t>
      </w:r>
      <w:r w:rsidR="00D611EB" w:rsidRPr="00D611EB">
        <w:rPr>
          <w:rFonts w:ascii="Times New Roman" w:hAnsi="Times New Roman" w:cs="Times New Roman"/>
          <w:sz w:val="24"/>
          <w:szCs w:val="24"/>
        </w:rPr>
        <w:t xml:space="preserve">, </w:t>
      </w:r>
      <w:r w:rsidR="002322DC">
        <w:rPr>
          <w:rFonts w:ascii="Times New Roman" w:hAnsi="Times New Roman" w:cs="Times New Roman"/>
          <w:sz w:val="24"/>
          <w:szCs w:val="24"/>
        </w:rPr>
        <w:t>applicant</w:t>
      </w:r>
      <w:r w:rsidR="009E1377">
        <w:rPr>
          <w:rFonts w:ascii="Times New Roman" w:hAnsi="Times New Roman" w:cs="Times New Roman"/>
          <w:sz w:val="24"/>
          <w:szCs w:val="24"/>
        </w:rPr>
        <w:t>’</w:t>
      </w:r>
      <w:r w:rsidR="002322DC" w:rsidRPr="00D611EB">
        <w:rPr>
          <w:rFonts w:ascii="Times New Roman" w:hAnsi="Times New Roman" w:cs="Times New Roman"/>
          <w:sz w:val="24"/>
          <w:szCs w:val="24"/>
        </w:rPr>
        <w:t>s</w:t>
      </w:r>
      <w:r w:rsidR="00D611EB" w:rsidRPr="00D611EB">
        <w:rPr>
          <w:rFonts w:ascii="Times New Roman" w:hAnsi="Times New Roman" w:cs="Times New Roman"/>
          <w:sz w:val="24"/>
          <w:szCs w:val="24"/>
        </w:rPr>
        <w:t xml:space="preserve"> legal practitioners</w:t>
      </w:r>
    </w:p>
    <w:p w:rsidR="001916DB" w:rsidRPr="001916DB" w:rsidRDefault="009E1377"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Coghlan Welsh &amp; Guest</w:t>
      </w:r>
      <w:r w:rsidR="001D3F4C">
        <w:rPr>
          <w:rFonts w:ascii="Times New Roman" w:hAnsi="Times New Roman" w:cs="Times New Roman"/>
          <w:i/>
          <w:sz w:val="24"/>
          <w:szCs w:val="24"/>
        </w:rPr>
        <w:t>s</w:t>
      </w:r>
      <w:r w:rsidR="001916DB">
        <w:rPr>
          <w:rFonts w:ascii="Times New Roman" w:hAnsi="Times New Roman" w:cs="Times New Roman"/>
          <w:i/>
          <w:sz w:val="24"/>
          <w:szCs w:val="24"/>
        </w:rPr>
        <w:t xml:space="preserve">, </w:t>
      </w:r>
      <w:r>
        <w:rPr>
          <w:rFonts w:ascii="Times New Roman" w:hAnsi="Times New Roman" w:cs="Times New Roman"/>
          <w:sz w:val="24"/>
          <w:szCs w:val="24"/>
        </w:rPr>
        <w:t>1</w:t>
      </w:r>
      <w:r w:rsidRPr="009E1377">
        <w:rPr>
          <w:rFonts w:ascii="Times New Roman" w:hAnsi="Times New Roman" w:cs="Times New Roman"/>
          <w:sz w:val="24"/>
          <w:szCs w:val="24"/>
          <w:vertAlign w:val="superscript"/>
        </w:rPr>
        <w:t>st</w:t>
      </w:r>
      <w:r>
        <w:rPr>
          <w:rFonts w:ascii="Times New Roman" w:hAnsi="Times New Roman" w:cs="Times New Roman"/>
          <w:sz w:val="24"/>
          <w:szCs w:val="24"/>
        </w:rPr>
        <w:t xml:space="preserve"> r</w:t>
      </w:r>
      <w:r w:rsidR="00DC6DF9">
        <w:rPr>
          <w:rFonts w:ascii="Times New Roman" w:hAnsi="Times New Roman" w:cs="Times New Roman"/>
          <w:sz w:val="24"/>
          <w:szCs w:val="24"/>
        </w:rPr>
        <w:t>espondent’s</w:t>
      </w:r>
      <w:r w:rsidR="001916DB">
        <w:rPr>
          <w:rFonts w:ascii="Times New Roman" w:hAnsi="Times New Roman" w:cs="Times New Roman"/>
          <w:sz w:val="24"/>
          <w:szCs w:val="24"/>
        </w:rPr>
        <w:t xml:space="preserve"> legal practitioners</w:t>
      </w:r>
    </w:p>
    <w:sectPr w:rsidR="001916DB" w:rsidRPr="001916DB">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84E" w:rsidRDefault="00EA284E" w:rsidP="00A5344D">
      <w:pPr>
        <w:spacing w:after="0" w:line="240" w:lineRule="auto"/>
      </w:pPr>
      <w:r>
        <w:separator/>
      </w:r>
    </w:p>
  </w:endnote>
  <w:endnote w:type="continuationSeparator" w:id="0">
    <w:p w:rsidR="00EA284E" w:rsidRDefault="00EA284E"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84E" w:rsidRDefault="00EA284E" w:rsidP="00A5344D">
      <w:pPr>
        <w:spacing w:after="0" w:line="240" w:lineRule="auto"/>
      </w:pPr>
      <w:r>
        <w:separator/>
      </w:r>
    </w:p>
  </w:footnote>
  <w:footnote w:type="continuationSeparator" w:id="0">
    <w:p w:rsidR="00EA284E" w:rsidRDefault="00EA284E" w:rsidP="00A5344D">
      <w:pPr>
        <w:spacing w:after="0" w:line="240" w:lineRule="auto"/>
      </w:pPr>
      <w:r>
        <w:continuationSeparator/>
      </w:r>
    </w:p>
  </w:footnote>
  <w:footnote w:id="1">
    <w:p w:rsidR="0075466E" w:rsidRPr="00F05DEC" w:rsidRDefault="0075466E" w:rsidP="0075466E">
      <w:pPr>
        <w:pStyle w:val="FootnoteText"/>
      </w:pPr>
      <w:r>
        <w:rPr>
          <w:rStyle w:val="FootnoteReference"/>
        </w:rPr>
        <w:footnoteRef/>
      </w:r>
      <w:r>
        <w:t xml:space="preserve"> See </w:t>
      </w:r>
      <w:r w:rsidRPr="0075466E">
        <w:rPr>
          <w:i/>
        </w:rPr>
        <w:t>Lens Agencies (Pvt) Ltd v Knight Frank Beverly &amp; Anor</w:t>
      </w:r>
      <w:r>
        <w:t xml:space="preserve"> 1997 (2) ZLR 167 (SC), See also Ami Zimbabwe (Pvt) Ltd v Casalee Holdings (Pvt) Ltd 1997 (2) ZLR 77 (SC)</w:t>
      </w:r>
    </w:p>
  </w:footnote>
  <w:footnote w:id="2">
    <w:p w:rsidR="005A269C" w:rsidRPr="005A269C" w:rsidRDefault="005A269C">
      <w:pPr>
        <w:pStyle w:val="FootnoteText"/>
      </w:pPr>
      <w:r>
        <w:rPr>
          <w:rStyle w:val="FootnoteReference"/>
        </w:rPr>
        <w:footnoteRef/>
      </w:r>
      <w:r>
        <w:t xml:space="preserve"> </w:t>
      </w:r>
      <w:r>
        <w:rPr>
          <w:rStyle w:val="Emphasis"/>
        </w:rPr>
        <w:t xml:space="preserve">York Estates Ltd v Wareham </w:t>
      </w:r>
      <w:r>
        <w:t>1949 SR 197, per Lewis ACJ</w:t>
      </w:r>
    </w:p>
  </w:footnote>
  <w:footnote w:id="3">
    <w:p w:rsidR="00B830FB" w:rsidRPr="00B830FB" w:rsidRDefault="00B830FB">
      <w:pPr>
        <w:pStyle w:val="FootnoteText"/>
      </w:pPr>
      <w:r>
        <w:rPr>
          <w:rStyle w:val="FootnoteReference"/>
        </w:rPr>
        <w:footnoteRef/>
      </w:r>
      <w:r>
        <w:t xml:space="preserve"> Hativagone &amp; Anor v CAG Farms (Pvt) Ltd &amp; Ors </w:t>
      </w:r>
      <w:r w:rsidR="002C0714">
        <w:t>[</w:t>
      </w:r>
      <w:r>
        <w:t>SC 152/14</w:t>
      </w:r>
      <w:r w:rsidR="002C0714">
        <w:t>]</w:t>
      </w:r>
      <w:r>
        <w:t xml:space="preserve"> (2015)</w:t>
      </w:r>
      <w:r w:rsidR="002C0714">
        <w:t xml:space="preserve"> ZWSC 42</w:t>
      </w:r>
    </w:p>
  </w:footnote>
  <w:footnote w:id="4">
    <w:p w:rsidR="005B1643" w:rsidRPr="003E668D" w:rsidRDefault="005B1643" w:rsidP="005B1643">
      <w:pPr>
        <w:pStyle w:val="FootnoteText"/>
      </w:pPr>
      <w:r>
        <w:rPr>
          <w:rStyle w:val="FootnoteReference"/>
        </w:rPr>
        <w:footnoteRef/>
      </w:r>
      <w:r>
        <w:t xml:space="preserve"> </w:t>
      </w:r>
      <w:r w:rsidRPr="00706E3A">
        <w:rPr>
          <w:i/>
        </w:rPr>
        <w:t>X-Trend-A-Home (Pvt) Ltd</w:t>
      </w:r>
      <w:r w:rsidRPr="00706E3A">
        <w:t xml:space="preserve"> v </w:t>
      </w:r>
      <w:r w:rsidRPr="00706E3A">
        <w:rPr>
          <w:i/>
        </w:rPr>
        <w:t>Hoselaw (Pvt) Ltd</w:t>
      </w:r>
      <w:r>
        <w:t xml:space="preserve"> 2000 (2) ZLR 348 (S)</w:t>
      </w:r>
    </w:p>
  </w:footnote>
  <w:footnote w:id="5">
    <w:p w:rsidR="004A3F73" w:rsidRPr="008465A1" w:rsidRDefault="004A3F73" w:rsidP="004A3F73">
      <w:pPr>
        <w:pStyle w:val="FootnoteText"/>
      </w:pPr>
      <w:r>
        <w:rPr>
          <w:rStyle w:val="FootnoteReference"/>
        </w:rPr>
        <w:footnoteRef/>
      </w:r>
      <w:r>
        <w:t xml:space="preserve"> </w:t>
      </w:r>
      <w:r>
        <w:rPr>
          <w:rStyle w:val="Emphasis"/>
        </w:rPr>
        <w:t>See Leo v Loots</w:t>
      </w:r>
      <w:r>
        <w:t xml:space="preserve"> 1909 TS 366 at 370-1</w:t>
      </w:r>
    </w:p>
  </w:footnote>
  <w:footnote w:id="6">
    <w:p w:rsidR="00050CD9" w:rsidRPr="00050CD9" w:rsidRDefault="00050CD9">
      <w:pPr>
        <w:pStyle w:val="FootnoteText"/>
        <w:rPr>
          <w:lang w:val="en-ZW"/>
        </w:rPr>
      </w:pPr>
      <w:r>
        <w:rPr>
          <w:rStyle w:val="FootnoteReference"/>
        </w:rPr>
        <w:footnoteRef/>
      </w:r>
      <w:r>
        <w:t xml:space="preserve"> </w:t>
      </w:r>
      <w:r w:rsidR="00EF71AA" w:rsidRPr="00EF71AA">
        <w:rPr>
          <w:i/>
        </w:rPr>
        <w:t>Phillip Tsamwa v Ndoda Hondo and 2 Oth</w:t>
      </w:r>
      <w:r w:rsidR="00EF71AA">
        <w:rPr>
          <w:i/>
        </w:rPr>
        <w:t>e</w:t>
      </w:r>
      <w:r w:rsidR="00EF71AA" w:rsidRPr="00EF71AA">
        <w:rPr>
          <w:i/>
        </w:rPr>
        <w:t>rs</w:t>
      </w:r>
      <w:r w:rsidR="00EF71AA">
        <w:t xml:space="preserve"> HH 53-2008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960785"/>
      <w:docPartObj>
        <w:docPartGallery w:val="Page Numbers (Top of Page)"/>
        <w:docPartUnique/>
      </w:docPartObj>
    </w:sdtPr>
    <w:sdtEndPr>
      <w:rPr>
        <w:noProof/>
      </w:rPr>
    </w:sdtEndPr>
    <w:sdtContent>
      <w:p w:rsidR="00AD30D7" w:rsidRDefault="00AD30D7">
        <w:pPr>
          <w:pStyle w:val="Header"/>
          <w:jc w:val="right"/>
          <w:rPr>
            <w:noProof/>
          </w:rPr>
        </w:pPr>
        <w:r>
          <w:fldChar w:fldCharType="begin"/>
        </w:r>
        <w:r>
          <w:instrText xml:space="preserve"> PAGE   \* MERGEFORMAT </w:instrText>
        </w:r>
        <w:r>
          <w:fldChar w:fldCharType="separate"/>
        </w:r>
        <w:r w:rsidR="00460C44">
          <w:rPr>
            <w:noProof/>
          </w:rPr>
          <w:t>1</w:t>
        </w:r>
        <w:r>
          <w:rPr>
            <w:noProof/>
          </w:rPr>
          <w:fldChar w:fldCharType="end"/>
        </w:r>
      </w:p>
      <w:p w:rsidR="001A7735" w:rsidRDefault="001A7735">
        <w:pPr>
          <w:pStyle w:val="Header"/>
          <w:jc w:val="right"/>
          <w:rPr>
            <w:noProof/>
          </w:rPr>
        </w:pPr>
        <w:r>
          <w:rPr>
            <w:noProof/>
          </w:rPr>
          <w:t>HH</w:t>
        </w:r>
        <w:r w:rsidR="002442E9">
          <w:rPr>
            <w:noProof/>
          </w:rPr>
          <w:t xml:space="preserve"> 250-17</w:t>
        </w:r>
      </w:p>
      <w:p w:rsidR="00AD30D7" w:rsidRDefault="00AD30D7">
        <w:pPr>
          <w:pStyle w:val="Header"/>
          <w:jc w:val="right"/>
          <w:rPr>
            <w:noProof/>
          </w:rPr>
        </w:pPr>
        <w:r>
          <w:rPr>
            <w:noProof/>
          </w:rPr>
          <w:t>HC</w:t>
        </w:r>
        <w:r w:rsidR="002442E9">
          <w:rPr>
            <w:noProof/>
          </w:rPr>
          <w:t xml:space="preserve"> </w:t>
        </w:r>
        <w:r w:rsidR="009E1377">
          <w:rPr>
            <w:noProof/>
          </w:rPr>
          <w:t>7721</w:t>
        </w:r>
        <w:r w:rsidR="00DC6DF9">
          <w:rPr>
            <w:noProof/>
          </w:rPr>
          <w:t>/16</w:t>
        </w:r>
      </w:p>
      <w:p w:rsidR="00AD30D7" w:rsidRDefault="00EA284E">
        <w:pPr>
          <w:pStyle w:val="Header"/>
          <w:jc w:val="right"/>
        </w:pPr>
      </w:p>
    </w:sdtContent>
  </w:sdt>
  <w:p w:rsidR="00AD30D7" w:rsidRDefault="00AD30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D6E3E1C"/>
    <w:multiLevelType w:val="hybridMultilevel"/>
    <w:tmpl w:val="E86053D8"/>
    <w:lvl w:ilvl="0" w:tplc="0A92F58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7242513"/>
    <w:multiLevelType w:val="hybridMultilevel"/>
    <w:tmpl w:val="EE6421EE"/>
    <w:lvl w:ilvl="0" w:tplc="5D641F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7069487E"/>
    <w:multiLevelType w:val="hybridMultilevel"/>
    <w:tmpl w:val="0BEA9296"/>
    <w:lvl w:ilvl="0" w:tplc="8312D8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73AB43AC"/>
    <w:multiLevelType w:val="hybridMultilevel"/>
    <w:tmpl w:val="F82C5EA2"/>
    <w:lvl w:ilvl="0" w:tplc="F3245A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1"/>
  </w:num>
  <w:num w:numId="2">
    <w:abstractNumId w:val="3"/>
  </w:num>
  <w:num w:numId="3">
    <w:abstractNumId w:val="1"/>
  </w:num>
  <w:num w:numId="4">
    <w:abstractNumId w:val="17"/>
  </w:num>
  <w:num w:numId="5">
    <w:abstractNumId w:val="19"/>
  </w:num>
  <w:num w:numId="6">
    <w:abstractNumId w:val="21"/>
  </w:num>
  <w:num w:numId="7">
    <w:abstractNumId w:val="6"/>
  </w:num>
  <w:num w:numId="8">
    <w:abstractNumId w:val="10"/>
  </w:num>
  <w:num w:numId="9">
    <w:abstractNumId w:val="16"/>
  </w:num>
  <w:num w:numId="10">
    <w:abstractNumId w:val="4"/>
  </w:num>
  <w:num w:numId="11">
    <w:abstractNumId w:val="12"/>
  </w:num>
  <w:num w:numId="12">
    <w:abstractNumId w:val="5"/>
  </w:num>
  <w:num w:numId="13">
    <w:abstractNumId w:val="9"/>
  </w:num>
  <w:num w:numId="14">
    <w:abstractNumId w:val="14"/>
  </w:num>
  <w:num w:numId="15">
    <w:abstractNumId w:val="20"/>
  </w:num>
  <w:num w:numId="16">
    <w:abstractNumId w:val="7"/>
  </w:num>
  <w:num w:numId="17">
    <w:abstractNumId w:val="2"/>
  </w:num>
  <w:num w:numId="18">
    <w:abstractNumId w:val="0"/>
  </w:num>
  <w:num w:numId="19">
    <w:abstractNumId w:val="18"/>
  </w:num>
  <w:num w:numId="20">
    <w:abstractNumId w:val="13"/>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BF"/>
    <w:rsid w:val="00002FFA"/>
    <w:rsid w:val="0001033C"/>
    <w:rsid w:val="000147B5"/>
    <w:rsid w:val="00020429"/>
    <w:rsid w:val="00036056"/>
    <w:rsid w:val="00050CD9"/>
    <w:rsid w:val="00051357"/>
    <w:rsid w:val="00057F91"/>
    <w:rsid w:val="00061C6C"/>
    <w:rsid w:val="00065992"/>
    <w:rsid w:val="00072CCD"/>
    <w:rsid w:val="000769D5"/>
    <w:rsid w:val="000807CC"/>
    <w:rsid w:val="00080C6C"/>
    <w:rsid w:val="0008185F"/>
    <w:rsid w:val="000829C5"/>
    <w:rsid w:val="00083CFF"/>
    <w:rsid w:val="00086CC8"/>
    <w:rsid w:val="00090BBF"/>
    <w:rsid w:val="000A26EB"/>
    <w:rsid w:val="000B0663"/>
    <w:rsid w:val="000B46C2"/>
    <w:rsid w:val="000C1585"/>
    <w:rsid w:val="000C65B2"/>
    <w:rsid w:val="000D56AD"/>
    <w:rsid w:val="000E4F4E"/>
    <w:rsid w:val="000F6C31"/>
    <w:rsid w:val="001015A9"/>
    <w:rsid w:val="001079FB"/>
    <w:rsid w:val="00122EC5"/>
    <w:rsid w:val="00123797"/>
    <w:rsid w:val="00123FD7"/>
    <w:rsid w:val="00131D9B"/>
    <w:rsid w:val="0013647D"/>
    <w:rsid w:val="00143C04"/>
    <w:rsid w:val="00165726"/>
    <w:rsid w:val="00183D71"/>
    <w:rsid w:val="00190755"/>
    <w:rsid w:val="00191489"/>
    <w:rsid w:val="001916DB"/>
    <w:rsid w:val="00192891"/>
    <w:rsid w:val="001A7735"/>
    <w:rsid w:val="001C5AA9"/>
    <w:rsid w:val="001D0D75"/>
    <w:rsid w:val="001D3F4C"/>
    <w:rsid w:val="001D67BA"/>
    <w:rsid w:val="001E0BDC"/>
    <w:rsid w:val="001E1705"/>
    <w:rsid w:val="001E416C"/>
    <w:rsid w:val="001F0CCD"/>
    <w:rsid w:val="001F7BE4"/>
    <w:rsid w:val="00202A27"/>
    <w:rsid w:val="002152D2"/>
    <w:rsid w:val="00216B3D"/>
    <w:rsid w:val="00226660"/>
    <w:rsid w:val="002314FD"/>
    <w:rsid w:val="002319D6"/>
    <w:rsid w:val="002322DC"/>
    <w:rsid w:val="00236951"/>
    <w:rsid w:val="00240168"/>
    <w:rsid w:val="002405FA"/>
    <w:rsid w:val="00242E6F"/>
    <w:rsid w:val="002442E9"/>
    <w:rsid w:val="0025507C"/>
    <w:rsid w:val="002564A8"/>
    <w:rsid w:val="00263B64"/>
    <w:rsid w:val="00264214"/>
    <w:rsid w:val="00270C54"/>
    <w:rsid w:val="00273F92"/>
    <w:rsid w:val="00293728"/>
    <w:rsid w:val="002A6D8A"/>
    <w:rsid w:val="002C0714"/>
    <w:rsid w:val="002D52A9"/>
    <w:rsid w:val="002D62E1"/>
    <w:rsid w:val="002E5B08"/>
    <w:rsid w:val="002F3DB8"/>
    <w:rsid w:val="00320282"/>
    <w:rsid w:val="0034675B"/>
    <w:rsid w:val="00355C36"/>
    <w:rsid w:val="00360103"/>
    <w:rsid w:val="0036754A"/>
    <w:rsid w:val="00384346"/>
    <w:rsid w:val="00390E7B"/>
    <w:rsid w:val="00392374"/>
    <w:rsid w:val="003B20BF"/>
    <w:rsid w:val="003C2681"/>
    <w:rsid w:val="003C5EE9"/>
    <w:rsid w:val="003D3E83"/>
    <w:rsid w:val="003D6512"/>
    <w:rsid w:val="003D670B"/>
    <w:rsid w:val="003E1332"/>
    <w:rsid w:val="003E668D"/>
    <w:rsid w:val="003F2824"/>
    <w:rsid w:val="003F3A45"/>
    <w:rsid w:val="003F53C6"/>
    <w:rsid w:val="0040093B"/>
    <w:rsid w:val="00401CC7"/>
    <w:rsid w:val="004203A1"/>
    <w:rsid w:val="00422895"/>
    <w:rsid w:val="004445DA"/>
    <w:rsid w:val="004475E6"/>
    <w:rsid w:val="004500CB"/>
    <w:rsid w:val="00451135"/>
    <w:rsid w:val="004604D1"/>
    <w:rsid w:val="00460C44"/>
    <w:rsid w:val="00460F6B"/>
    <w:rsid w:val="004639FA"/>
    <w:rsid w:val="004735E9"/>
    <w:rsid w:val="00482DE2"/>
    <w:rsid w:val="00485DC3"/>
    <w:rsid w:val="004A06CC"/>
    <w:rsid w:val="004A3F73"/>
    <w:rsid w:val="004B3DDB"/>
    <w:rsid w:val="004C78B7"/>
    <w:rsid w:val="004C7B4C"/>
    <w:rsid w:val="004D4139"/>
    <w:rsid w:val="004E48A7"/>
    <w:rsid w:val="004E4BA6"/>
    <w:rsid w:val="004F2909"/>
    <w:rsid w:val="004F55AD"/>
    <w:rsid w:val="005023C5"/>
    <w:rsid w:val="00503A3D"/>
    <w:rsid w:val="005066B5"/>
    <w:rsid w:val="005213E9"/>
    <w:rsid w:val="00521501"/>
    <w:rsid w:val="0053181F"/>
    <w:rsid w:val="00532124"/>
    <w:rsid w:val="00542B0B"/>
    <w:rsid w:val="005432BC"/>
    <w:rsid w:val="00553215"/>
    <w:rsid w:val="00553418"/>
    <w:rsid w:val="00557E46"/>
    <w:rsid w:val="0057413E"/>
    <w:rsid w:val="00586B89"/>
    <w:rsid w:val="00592B58"/>
    <w:rsid w:val="00595F6A"/>
    <w:rsid w:val="005A269C"/>
    <w:rsid w:val="005A5586"/>
    <w:rsid w:val="005A6410"/>
    <w:rsid w:val="005B1643"/>
    <w:rsid w:val="005D2DFA"/>
    <w:rsid w:val="005D41DC"/>
    <w:rsid w:val="005E1FC3"/>
    <w:rsid w:val="005F1B35"/>
    <w:rsid w:val="005F5D5C"/>
    <w:rsid w:val="005F63AD"/>
    <w:rsid w:val="00610D6E"/>
    <w:rsid w:val="0062597B"/>
    <w:rsid w:val="006302DD"/>
    <w:rsid w:val="006343F5"/>
    <w:rsid w:val="0064067B"/>
    <w:rsid w:val="00643F10"/>
    <w:rsid w:val="00651153"/>
    <w:rsid w:val="0065609B"/>
    <w:rsid w:val="00657E9C"/>
    <w:rsid w:val="006651EB"/>
    <w:rsid w:val="00676928"/>
    <w:rsid w:val="006775AC"/>
    <w:rsid w:val="00677BE3"/>
    <w:rsid w:val="006802A1"/>
    <w:rsid w:val="006864B3"/>
    <w:rsid w:val="006A02F3"/>
    <w:rsid w:val="006A05B9"/>
    <w:rsid w:val="006A2509"/>
    <w:rsid w:val="006A397A"/>
    <w:rsid w:val="006A65B3"/>
    <w:rsid w:val="006B2AB4"/>
    <w:rsid w:val="006B3F67"/>
    <w:rsid w:val="006B7F5C"/>
    <w:rsid w:val="006C2CD2"/>
    <w:rsid w:val="006D7AEF"/>
    <w:rsid w:val="00700560"/>
    <w:rsid w:val="00704F1D"/>
    <w:rsid w:val="00705117"/>
    <w:rsid w:val="00714F34"/>
    <w:rsid w:val="0072318E"/>
    <w:rsid w:val="0072321F"/>
    <w:rsid w:val="0072559B"/>
    <w:rsid w:val="007275F2"/>
    <w:rsid w:val="007455BE"/>
    <w:rsid w:val="00752BBE"/>
    <w:rsid w:val="0075466E"/>
    <w:rsid w:val="0076341D"/>
    <w:rsid w:val="00766DB1"/>
    <w:rsid w:val="00774C0E"/>
    <w:rsid w:val="00775EC9"/>
    <w:rsid w:val="00783C63"/>
    <w:rsid w:val="00790FA2"/>
    <w:rsid w:val="007A13DA"/>
    <w:rsid w:val="007A158B"/>
    <w:rsid w:val="007A2882"/>
    <w:rsid w:val="007B4B9D"/>
    <w:rsid w:val="007B6BCE"/>
    <w:rsid w:val="007B7D1C"/>
    <w:rsid w:val="007C2219"/>
    <w:rsid w:val="007D7A7A"/>
    <w:rsid w:val="007D7E4B"/>
    <w:rsid w:val="00800D9E"/>
    <w:rsid w:val="00804275"/>
    <w:rsid w:val="008061A2"/>
    <w:rsid w:val="00831025"/>
    <w:rsid w:val="008360A6"/>
    <w:rsid w:val="0084006B"/>
    <w:rsid w:val="00843C2C"/>
    <w:rsid w:val="008465A1"/>
    <w:rsid w:val="0085384E"/>
    <w:rsid w:val="008612B7"/>
    <w:rsid w:val="00862C84"/>
    <w:rsid w:val="0086329F"/>
    <w:rsid w:val="00864E52"/>
    <w:rsid w:val="0086651B"/>
    <w:rsid w:val="0087469A"/>
    <w:rsid w:val="008A7603"/>
    <w:rsid w:val="008B04F7"/>
    <w:rsid w:val="008B0512"/>
    <w:rsid w:val="008D0040"/>
    <w:rsid w:val="008D33BF"/>
    <w:rsid w:val="008D5B14"/>
    <w:rsid w:val="009049A6"/>
    <w:rsid w:val="009160A2"/>
    <w:rsid w:val="009201BF"/>
    <w:rsid w:val="00921972"/>
    <w:rsid w:val="00924F5C"/>
    <w:rsid w:val="00926996"/>
    <w:rsid w:val="00936404"/>
    <w:rsid w:val="00940045"/>
    <w:rsid w:val="00944AE6"/>
    <w:rsid w:val="00964A1D"/>
    <w:rsid w:val="00964DEF"/>
    <w:rsid w:val="00991ACA"/>
    <w:rsid w:val="00996296"/>
    <w:rsid w:val="009970F2"/>
    <w:rsid w:val="009A1665"/>
    <w:rsid w:val="009A4314"/>
    <w:rsid w:val="009B6C41"/>
    <w:rsid w:val="009C29FF"/>
    <w:rsid w:val="009C341A"/>
    <w:rsid w:val="009E1377"/>
    <w:rsid w:val="009E3F68"/>
    <w:rsid w:val="009E527F"/>
    <w:rsid w:val="009F1758"/>
    <w:rsid w:val="009F2941"/>
    <w:rsid w:val="00A06556"/>
    <w:rsid w:val="00A224BE"/>
    <w:rsid w:val="00A23462"/>
    <w:rsid w:val="00A2642B"/>
    <w:rsid w:val="00A32902"/>
    <w:rsid w:val="00A33497"/>
    <w:rsid w:val="00A465F8"/>
    <w:rsid w:val="00A5344D"/>
    <w:rsid w:val="00A63DCC"/>
    <w:rsid w:val="00A66595"/>
    <w:rsid w:val="00A70274"/>
    <w:rsid w:val="00A71BC1"/>
    <w:rsid w:val="00A74CDA"/>
    <w:rsid w:val="00A820E4"/>
    <w:rsid w:val="00A824D3"/>
    <w:rsid w:val="00A91397"/>
    <w:rsid w:val="00AA75D1"/>
    <w:rsid w:val="00AB6264"/>
    <w:rsid w:val="00AC368F"/>
    <w:rsid w:val="00AC5598"/>
    <w:rsid w:val="00AD30D7"/>
    <w:rsid w:val="00AE193E"/>
    <w:rsid w:val="00B00361"/>
    <w:rsid w:val="00B019E8"/>
    <w:rsid w:val="00B12C95"/>
    <w:rsid w:val="00B13657"/>
    <w:rsid w:val="00B2441C"/>
    <w:rsid w:val="00B3468F"/>
    <w:rsid w:val="00B349AE"/>
    <w:rsid w:val="00B37BD6"/>
    <w:rsid w:val="00B40729"/>
    <w:rsid w:val="00B44378"/>
    <w:rsid w:val="00B6195C"/>
    <w:rsid w:val="00B61EB9"/>
    <w:rsid w:val="00B62AA5"/>
    <w:rsid w:val="00B80A80"/>
    <w:rsid w:val="00B830FB"/>
    <w:rsid w:val="00B8320D"/>
    <w:rsid w:val="00B92437"/>
    <w:rsid w:val="00B92C66"/>
    <w:rsid w:val="00BA6634"/>
    <w:rsid w:val="00BA715A"/>
    <w:rsid w:val="00BB1D1B"/>
    <w:rsid w:val="00BB24DC"/>
    <w:rsid w:val="00BC5EBB"/>
    <w:rsid w:val="00BE25F4"/>
    <w:rsid w:val="00BE754F"/>
    <w:rsid w:val="00BF2D1A"/>
    <w:rsid w:val="00BF3061"/>
    <w:rsid w:val="00BF6A37"/>
    <w:rsid w:val="00C104A1"/>
    <w:rsid w:val="00C210AF"/>
    <w:rsid w:val="00C36767"/>
    <w:rsid w:val="00C63838"/>
    <w:rsid w:val="00C65A52"/>
    <w:rsid w:val="00C773D1"/>
    <w:rsid w:val="00C8451F"/>
    <w:rsid w:val="00C84DF1"/>
    <w:rsid w:val="00CD1665"/>
    <w:rsid w:val="00CD3C8D"/>
    <w:rsid w:val="00CF106B"/>
    <w:rsid w:val="00CF6279"/>
    <w:rsid w:val="00D02FD2"/>
    <w:rsid w:val="00D12F8B"/>
    <w:rsid w:val="00D3143A"/>
    <w:rsid w:val="00D31B67"/>
    <w:rsid w:val="00D37968"/>
    <w:rsid w:val="00D40A47"/>
    <w:rsid w:val="00D43339"/>
    <w:rsid w:val="00D43A0B"/>
    <w:rsid w:val="00D51414"/>
    <w:rsid w:val="00D55DD3"/>
    <w:rsid w:val="00D611EB"/>
    <w:rsid w:val="00D71A82"/>
    <w:rsid w:val="00D828DE"/>
    <w:rsid w:val="00D857A3"/>
    <w:rsid w:val="00D87187"/>
    <w:rsid w:val="00D87D41"/>
    <w:rsid w:val="00D94D0C"/>
    <w:rsid w:val="00D966A1"/>
    <w:rsid w:val="00D96EF2"/>
    <w:rsid w:val="00DB0B30"/>
    <w:rsid w:val="00DB5BB1"/>
    <w:rsid w:val="00DC6DF9"/>
    <w:rsid w:val="00DC77DA"/>
    <w:rsid w:val="00DC7E24"/>
    <w:rsid w:val="00DD1735"/>
    <w:rsid w:val="00DE793E"/>
    <w:rsid w:val="00DF7AE0"/>
    <w:rsid w:val="00E07CBF"/>
    <w:rsid w:val="00E15273"/>
    <w:rsid w:val="00E35E50"/>
    <w:rsid w:val="00E41D8B"/>
    <w:rsid w:val="00E4701E"/>
    <w:rsid w:val="00E5163E"/>
    <w:rsid w:val="00E66010"/>
    <w:rsid w:val="00E74297"/>
    <w:rsid w:val="00E81695"/>
    <w:rsid w:val="00E84641"/>
    <w:rsid w:val="00E85705"/>
    <w:rsid w:val="00E9585A"/>
    <w:rsid w:val="00EA284E"/>
    <w:rsid w:val="00EB0528"/>
    <w:rsid w:val="00EB605A"/>
    <w:rsid w:val="00EF3939"/>
    <w:rsid w:val="00EF3A9B"/>
    <w:rsid w:val="00EF71AA"/>
    <w:rsid w:val="00F00E80"/>
    <w:rsid w:val="00F05DEC"/>
    <w:rsid w:val="00F25170"/>
    <w:rsid w:val="00F41839"/>
    <w:rsid w:val="00F44250"/>
    <w:rsid w:val="00F62B8C"/>
    <w:rsid w:val="00F64ED8"/>
    <w:rsid w:val="00F7027B"/>
    <w:rsid w:val="00F823BA"/>
    <w:rsid w:val="00F97ED9"/>
    <w:rsid w:val="00FA33A2"/>
    <w:rsid w:val="00FA5BAB"/>
    <w:rsid w:val="00FA6187"/>
    <w:rsid w:val="00FB02C2"/>
    <w:rsid w:val="00FC7FA5"/>
    <w:rsid w:val="00FD7503"/>
    <w:rsid w:val="00FE34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rmalWeb">
    <w:name w:val="Normal (Web)"/>
    <w:basedOn w:val="Normal"/>
    <w:uiPriority w:val="99"/>
    <w:unhideWhenUsed/>
    <w:rsid w:val="005A269C"/>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5A269C"/>
    <w:rPr>
      <w:i/>
      <w:iCs/>
    </w:rPr>
  </w:style>
  <w:style w:type="character" w:styleId="Strong">
    <w:name w:val="Strong"/>
    <w:basedOn w:val="DefaultParagraphFont"/>
    <w:uiPriority w:val="22"/>
    <w:qFormat/>
    <w:rsid w:val="00B830FB"/>
    <w:rPr>
      <w:b/>
      <w:bCs/>
    </w:rPr>
  </w:style>
  <w:style w:type="character" w:styleId="Hyperlink">
    <w:name w:val="Hyperlink"/>
    <w:basedOn w:val="DefaultParagraphFont"/>
    <w:uiPriority w:val="99"/>
    <w:semiHidden/>
    <w:unhideWhenUsed/>
    <w:rsid w:val="00B830FB"/>
    <w:rPr>
      <w:color w:val="0000FF"/>
      <w:u w:val="single"/>
    </w:rPr>
  </w:style>
  <w:style w:type="paragraph" w:styleId="NoSpacing">
    <w:name w:val="No Spacing"/>
    <w:uiPriority w:val="1"/>
    <w:qFormat/>
    <w:rsid w:val="00CD3C8D"/>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86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B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rmalWeb">
    <w:name w:val="Normal (Web)"/>
    <w:basedOn w:val="Normal"/>
    <w:uiPriority w:val="99"/>
    <w:unhideWhenUsed/>
    <w:rsid w:val="005A269C"/>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5A269C"/>
    <w:rPr>
      <w:i/>
      <w:iCs/>
    </w:rPr>
  </w:style>
  <w:style w:type="character" w:styleId="Strong">
    <w:name w:val="Strong"/>
    <w:basedOn w:val="DefaultParagraphFont"/>
    <w:uiPriority w:val="22"/>
    <w:qFormat/>
    <w:rsid w:val="00B830FB"/>
    <w:rPr>
      <w:b/>
      <w:bCs/>
    </w:rPr>
  </w:style>
  <w:style w:type="character" w:styleId="Hyperlink">
    <w:name w:val="Hyperlink"/>
    <w:basedOn w:val="DefaultParagraphFont"/>
    <w:uiPriority w:val="99"/>
    <w:semiHidden/>
    <w:unhideWhenUsed/>
    <w:rsid w:val="00B830FB"/>
    <w:rPr>
      <w:color w:val="0000FF"/>
      <w:u w:val="single"/>
    </w:rPr>
  </w:style>
  <w:style w:type="paragraph" w:styleId="NoSpacing">
    <w:name w:val="No Spacing"/>
    <w:uiPriority w:val="1"/>
    <w:qFormat/>
    <w:rsid w:val="00CD3C8D"/>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86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B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1698">
      <w:bodyDiv w:val="1"/>
      <w:marLeft w:val="0"/>
      <w:marRight w:val="0"/>
      <w:marTop w:val="0"/>
      <w:marBottom w:val="0"/>
      <w:divBdr>
        <w:top w:val="none" w:sz="0" w:space="0" w:color="auto"/>
        <w:left w:val="none" w:sz="0" w:space="0" w:color="auto"/>
        <w:bottom w:val="none" w:sz="0" w:space="0" w:color="auto"/>
        <w:right w:val="none" w:sz="0" w:space="0" w:color="auto"/>
      </w:divBdr>
    </w:div>
    <w:div w:id="12932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2B5F3-3D76-4491-A029-807CC2A3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2017-04-20T09:28:00Z</cp:lastPrinted>
  <dcterms:created xsi:type="dcterms:W3CDTF">2017-05-02T07:33:00Z</dcterms:created>
  <dcterms:modified xsi:type="dcterms:W3CDTF">2017-05-02T07:33:00Z</dcterms:modified>
</cp:coreProperties>
</file>