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8C038E" w:rsidRDefault="00901A13" w:rsidP="008C038E">
      <w:pPr>
        <w:pStyle w:val="NoSpacing"/>
        <w:jc w:val="both"/>
        <w:rPr>
          <w:b/>
          <w:szCs w:val="24"/>
        </w:rPr>
      </w:pPr>
      <w:r w:rsidRPr="008C038E">
        <w:rPr>
          <w:b/>
          <w:szCs w:val="24"/>
        </w:rPr>
        <w:t>CLEO BAND INVESTMENTS (PVT) LTD</w:t>
      </w:r>
    </w:p>
    <w:p w:rsidR="00901A13" w:rsidRPr="008C038E" w:rsidRDefault="00901A13" w:rsidP="008C038E">
      <w:pPr>
        <w:pStyle w:val="NoSpacing"/>
        <w:jc w:val="both"/>
        <w:rPr>
          <w:b/>
          <w:szCs w:val="24"/>
        </w:rPr>
      </w:pPr>
    </w:p>
    <w:p w:rsidR="00901A13" w:rsidRPr="008C038E" w:rsidRDefault="00901A13" w:rsidP="008C038E">
      <w:pPr>
        <w:pStyle w:val="NoSpacing"/>
        <w:jc w:val="both"/>
        <w:rPr>
          <w:b/>
          <w:szCs w:val="24"/>
        </w:rPr>
      </w:pPr>
      <w:r w:rsidRPr="008C038E">
        <w:rPr>
          <w:b/>
          <w:szCs w:val="24"/>
        </w:rPr>
        <w:t>Versus</w:t>
      </w:r>
    </w:p>
    <w:p w:rsidR="00901A13" w:rsidRPr="008C038E" w:rsidRDefault="00901A13" w:rsidP="008C038E">
      <w:pPr>
        <w:pStyle w:val="NoSpacing"/>
        <w:jc w:val="both"/>
        <w:rPr>
          <w:b/>
          <w:szCs w:val="24"/>
        </w:rPr>
      </w:pPr>
    </w:p>
    <w:p w:rsidR="00901A13" w:rsidRPr="008C038E" w:rsidRDefault="00901A13" w:rsidP="008C038E">
      <w:pPr>
        <w:pStyle w:val="NoSpacing"/>
        <w:jc w:val="both"/>
        <w:rPr>
          <w:b/>
          <w:szCs w:val="24"/>
        </w:rPr>
      </w:pPr>
      <w:r w:rsidRPr="008C038E">
        <w:rPr>
          <w:b/>
          <w:szCs w:val="24"/>
        </w:rPr>
        <w:t>CHIGAMI 2 SYNDICATE</w:t>
      </w:r>
    </w:p>
    <w:p w:rsidR="00901A13" w:rsidRPr="008C038E" w:rsidRDefault="00901A13" w:rsidP="008C038E">
      <w:pPr>
        <w:pStyle w:val="NoSpacing"/>
        <w:jc w:val="both"/>
        <w:rPr>
          <w:b/>
          <w:szCs w:val="24"/>
        </w:rPr>
      </w:pPr>
    </w:p>
    <w:p w:rsidR="00901A13" w:rsidRPr="008C038E" w:rsidRDefault="00901A13" w:rsidP="008C038E">
      <w:pPr>
        <w:pStyle w:val="NoSpacing"/>
        <w:jc w:val="both"/>
        <w:rPr>
          <w:b/>
          <w:szCs w:val="24"/>
        </w:rPr>
      </w:pPr>
      <w:r w:rsidRPr="008C038E">
        <w:rPr>
          <w:b/>
          <w:szCs w:val="24"/>
        </w:rPr>
        <w:t>And</w:t>
      </w:r>
    </w:p>
    <w:p w:rsidR="00901A13" w:rsidRPr="008C038E" w:rsidRDefault="00901A13" w:rsidP="008C038E">
      <w:pPr>
        <w:pStyle w:val="NoSpacing"/>
        <w:jc w:val="both"/>
        <w:rPr>
          <w:b/>
          <w:szCs w:val="24"/>
        </w:rPr>
      </w:pPr>
    </w:p>
    <w:p w:rsidR="00901A13" w:rsidRPr="008C038E" w:rsidRDefault="00901A13" w:rsidP="008C038E">
      <w:pPr>
        <w:pStyle w:val="NoSpacing"/>
        <w:jc w:val="both"/>
        <w:rPr>
          <w:b/>
          <w:szCs w:val="24"/>
        </w:rPr>
      </w:pPr>
      <w:r w:rsidRPr="008C038E">
        <w:rPr>
          <w:b/>
          <w:szCs w:val="24"/>
        </w:rPr>
        <w:t>HUGO GEORGE DORING</w:t>
      </w:r>
    </w:p>
    <w:p w:rsidR="00901A13" w:rsidRPr="008C038E" w:rsidRDefault="00901A13" w:rsidP="008C038E">
      <w:pPr>
        <w:pStyle w:val="NoSpacing"/>
        <w:jc w:val="both"/>
        <w:rPr>
          <w:b/>
          <w:szCs w:val="24"/>
        </w:rPr>
      </w:pPr>
    </w:p>
    <w:p w:rsidR="00901A13" w:rsidRPr="008C038E" w:rsidRDefault="00901A13" w:rsidP="008C038E">
      <w:pPr>
        <w:pStyle w:val="NoSpacing"/>
        <w:jc w:val="both"/>
        <w:rPr>
          <w:b/>
          <w:szCs w:val="24"/>
        </w:rPr>
      </w:pPr>
      <w:r w:rsidRPr="008C038E">
        <w:rPr>
          <w:b/>
          <w:szCs w:val="24"/>
        </w:rPr>
        <w:t>And</w:t>
      </w:r>
    </w:p>
    <w:p w:rsidR="00901A13" w:rsidRPr="008C038E" w:rsidRDefault="00901A13" w:rsidP="008C038E">
      <w:pPr>
        <w:pStyle w:val="NoSpacing"/>
        <w:jc w:val="both"/>
        <w:rPr>
          <w:b/>
          <w:szCs w:val="24"/>
        </w:rPr>
      </w:pPr>
    </w:p>
    <w:p w:rsidR="00901A13" w:rsidRPr="008C038E" w:rsidRDefault="00901A13" w:rsidP="008C038E">
      <w:pPr>
        <w:pStyle w:val="NoSpacing"/>
        <w:jc w:val="both"/>
        <w:rPr>
          <w:b/>
          <w:szCs w:val="24"/>
        </w:rPr>
      </w:pPr>
      <w:r w:rsidRPr="008C038E">
        <w:rPr>
          <w:b/>
          <w:szCs w:val="24"/>
        </w:rPr>
        <w:t>SABINE DORING</w:t>
      </w:r>
    </w:p>
    <w:p w:rsidR="00901A13" w:rsidRPr="008C038E" w:rsidRDefault="00901A13" w:rsidP="008C038E">
      <w:pPr>
        <w:pStyle w:val="NoSpacing"/>
        <w:jc w:val="both"/>
        <w:rPr>
          <w:b/>
          <w:szCs w:val="24"/>
        </w:rPr>
      </w:pPr>
    </w:p>
    <w:p w:rsidR="00901A13" w:rsidRPr="008C038E" w:rsidRDefault="00901A13" w:rsidP="008C038E">
      <w:pPr>
        <w:pStyle w:val="NoSpacing"/>
        <w:jc w:val="both"/>
        <w:rPr>
          <w:szCs w:val="24"/>
        </w:rPr>
      </w:pPr>
      <w:r w:rsidRPr="008C038E">
        <w:rPr>
          <w:szCs w:val="24"/>
        </w:rPr>
        <w:t>IN THE HIGH COURT OF ZIMBABWE</w:t>
      </w:r>
    </w:p>
    <w:p w:rsidR="00901A13" w:rsidRPr="008C038E" w:rsidRDefault="00901A13" w:rsidP="008C038E">
      <w:pPr>
        <w:pStyle w:val="NoSpacing"/>
        <w:jc w:val="both"/>
        <w:rPr>
          <w:szCs w:val="24"/>
        </w:rPr>
      </w:pPr>
      <w:r w:rsidRPr="008C038E">
        <w:rPr>
          <w:szCs w:val="24"/>
        </w:rPr>
        <w:t>MOYO J</w:t>
      </w:r>
    </w:p>
    <w:p w:rsidR="00901A13" w:rsidRPr="008C038E" w:rsidRDefault="00901A13" w:rsidP="008C038E">
      <w:pPr>
        <w:pStyle w:val="NoSpacing"/>
        <w:jc w:val="both"/>
        <w:rPr>
          <w:szCs w:val="24"/>
        </w:rPr>
      </w:pPr>
      <w:r w:rsidRPr="008C038E">
        <w:rPr>
          <w:szCs w:val="24"/>
        </w:rPr>
        <w:t xml:space="preserve">BULAWAYO13 SEPTEMBER &amp; </w:t>
      </w:r>
      <w:r w:rsidR="00CB7788">
        <w:rPr>
          <w:szCs w:val="24"/>
        </w:rPr>
        <w:t>10</w:t>
      </w:r>
      <w:r w:rsidRPr="008C038E">
        <w:rPr>
          <w:szCs w:val="24"/>
        </w:rPr>
        <w:t xml:space="preserve"> OCTOBER 2019</w:t>
      </w:r>
    </w:p>
    <w:p w:rsidR="00901A13" w:rsidRPr="008C038E" w:rsidRDefault="00901A13" w:rsidP="008C038E">
      <w:pPr>
        <w:pStyle w:val="NoSpacing"/>
        <w:jc w:val="both"/>
        <w:rPr>
          <w:szCs w:val="24"/>
        </w:rPr>
      </w:pPr>
    </w:p>
    <w:p w:rsidR="00901A13" w:rsidRPr="008C038E" w:rsidRDefault="00901A13" w:rsidP="008C038E">
      <w:pPr>
        <w:pStyle w:val="NoSpacing"/>
        <w:jc w:val="both"/>
        <w:rPr>
          <w:b/>
          <w:szCs w:val="24"/>
        </w:rPr>
      </w:pPr>
      <w:r w:rsidRPr="008C038E">
        <w:rPr>
          <w:b/>
          <w:szCs w:val="24"/>
        </w:rPr>
        <w:t>Urgent Chamber Application</w:t>
      </w:r>
    </w:p>
    <w:p w:rsidR="00901A13" w:rsidRPr="008C038E" w:rsidRDefault="00901A13" w:rsidP="008C038E">
      <w:pPr>
        <w:pStyle w:val="NoSpacing"/>
        <w:jc w:val="both"/>
        <w:rPr>
          <w:szCs w:val="24"/>
        </w:rPr>
      </w:pPr>
    </w:p>
    <w:p w:rsidR="00901A13" w:rsidRPr="008C038E" w:rsidRDefault="00901A13" w:rsidP="008C038E">
      <w:pPr>
        <w:pStyle w:val="NoSpacing"/>
        <w:jc w:val="both"/>
        <w:rPr>
          <w:szCs w:val="24"/>
        </w:rPr>
      </w:pPr>
      <w:r w:rsidRPr="008C038E">
        <w:rPr>
          <w:i/>
          <w:szCs w:val="24"/>
        </w:rPr>
        <w:t>S. Chamunorwa</w:t>
      </w:r>
      <w:r w:rsidRPr="008C038E">
        <w:rPr>
          <w:szCs w:val="24"/>
        </w:rPr>
        <w:t>, for the applicant</w:t>
      </w:r>
    </w:p>
    <w:p w:rsidR="00901A13" w:rsidRPr="008C038E" w:rsidRDefault="00901A13" w:rsidP="008C038E">
      <w:pPr>
        <w:pStyle w:val="NoSpacing"/>
        <w:jc w:val="both"/>
        <w:rPr>
          <w:szCs w:val="24"/>
        </w:rPr>
      </w:pPr>
      <w:r w:rsidRPr="008C038E">
        <w:rPr>
          <w:i/>
          <w:szCs w:val="24"/>
        </w:rPr>
        <w:t>M. Nyahuma</w:t>
      </w:r>
      <w:r w:rsidRPr="008C038E">
        <w:rPr>
          <w:szCs w:val="24"/>
        </w:rPr>
        <w:t xml:space="preserve"> for the respondents</w:t>
      </w:r>
    </w:p>
    <w:p w:rsidR="00901A13" w:rsidRPr="00AD0925" w:rsidRDefault="00901A13" w:rsidP="008C038E">
      <w:pPr>
        <w:jc w:val="both"/>
        <w:rPr>
          <w:szCs w:val="24"/>
        </w:rPr>
      </w:pPr>
      <w:r w:rsidRPr="00AD0925">
        <w:rPr>
          <w:sz w:val="40"/>
          <w:szCs w:val="40"/>
        </w:rPr>
        <w:tab/>
      </w:r>
      <w:r w:rsidRPr="00AD0925">
        <w:rPr>
          <w:b/>
          <w:szCs w:val="24"/>
        </w:rPr>
        <w:t>MOYO J:</w:t>
      </w:r>
      <w:r w:rsidRPr="00AD0925">
        <w:rPr>
          <w:b/>
          <w:szCs w:val="24"/>
        </w:rPr>
        <w:tab/>
      </w:r>
      <w:r w:rsidRPr="00AD0925">
        <w:rPr>
          <w:szCs w:val="24"/>
        </w:rPr>
        <w:t>This is an urgent application wherein the applicant seeks the following interim relief:</w:t>
      </w:r>
    </w:p>
    <w:p w:rsidR="00901A13" w:rsidRPr="00AD0925" w:rsidRDefault="00901A13" w:rsidP="008C038E">
      <w:pPr>
        <w:pStyle w:val="NoSpacing"/>
        <w:ind w:left="720"/>
        <w:jc w:val="both"/>
        <w:rPr>
          <w:szCs w:val="24"/>
        </w:rPr>
      </w:pPr>
      <w:r w:rsidRPr="00AD0925">
        <w:rPr>
          <w:szCs w:val="24"/>
        </w:rPr>
        <w:t>“Pending the determination of this matter, the applicant is granted the following relief:</w:t>
      </w:r>
    </w:p>
    <w:p w:rsidR="00901A13" w:rsidRPr="00AD0925" w:rsidRDefault="00901A13" w:rsidP="008C038E">
      <w:pPr>
        <w:pStyle w:val="NoSpacing"/>
        <w:ind w:left="720"/>
        <w:jc w:val="both"/>
        <w:rPr>
          <w:szCs w:val="24"/>
        </w:rPr>
      </w:pPr>
      <w:r w:rsidRPr="00AD0925">
        <w:rPr>
          <w:szCs w:val="24"/>
        </w:rPr>
        <w:t>That t</w:t>
      </w:r>
      <w:r w:rsidR="00A42709" w:rsidRPr="00AD0925">
        <w:rPr>
          <w:szCs w:val="24"/>
        </w:rPr>
        <w:t>h</w:t>
      </w:r>
      <w:r w:rsidRPr="00AD0925">
        <w:rPr>
          <w:szCs w:val="24"/>
        </w:rPr>
        <w:t>e 1</w:t>
      </w:r>
      <w:r w:rsidRPr="00AD0925">
        <w:rPr>
          <w:szCs w:val="24"/>
          <w:vertAlign w:val="superscript"/>
        </w:rPr>
        <w:t>st</w:t>
      </w:r>
      <w:r w:rsidRPr="00AD0925">
        <w:rPr>
          <w:szCs w:val="24"/>
        </w:rPr>
        <w:t>, 2</w:t>
      </w:r>
      <w:r w:rsidRPr="00AD0925">
        <w:rPr>
          <w:szCs w:val="24"/>
          <w:vertAlign w:val="superscript"/>
        </w:rPr>
        <w:t>nd</w:t>
      </w:r>
      <w:r w:rsidRPr="00AD0925">
        <w:rPr>
          <w:szCs w:val="24"/>
        </w:rPr>
        <w:t xml:space="preserve"> and 3</w:t>
      </w:r>
      <w:r w:rsidRPr="00AD0925">
        <w:rPr>
          <w:szCs w:val="24"/>
          <w:vertAlign w:val="superscript"/>
        </w:rPr>
        <w:t>rd</w:t>
      </w:r>
      <w:r w:rsidRPr="00AD0925">
        <w:rPr>
          <w:szCs w:val="24"/>
        </w:rPr>
        <w:t xml:space="preserve"> respondents and all persons claiming </w:t>
      </w:r>
      <w:r w:rsidR="00502D30" w:rsidRPr="00AD0925">
        <w:rPr>
          <w:szCs w:val="24"/>
        </w:rPr>
        <w:t>through them be and are hereby interdicted from interfering with t</w:t>
      </w:r>
      <w:r w:rsidR="00A42709" w:rsidRPr="00AD0925">
        <w:rPr>
          <w:szCs w:val="24"/>
        </w:rPr>
        <w:t>h</w:t>
      </w:r>
      <w:r w:rsidR="00502D30" w:rsidRPr="00AD0925">
        <w:rPr>
          <w:szCs w:val="24"/>
        </w:rPr>
        <w:t>e applicant’s occupation and use of the mining claims being:</w:t>
      </w:r>
    </w:p>
    <w:p w:rsidR="00502D30" w:rsidRPr="00AD0925" w:rsidRDefault="00502D30" w:rsidP="008C038E">
      <w:pPr>
        <w:pStyle w:val="NoSpacing"/>
        <w:numPr>
          <w:ilvl w:val="0"/>
          <w:numId w:val="1"/>
        </w:numPr>
        <w:jc w:val="both"/>
        <w:rPr>
          <w:szCs w:val="24"/>
        </w:rPr>
      </w:pPr>
      <w:r w:rsidRPr="00AD0925">
        <w:rPr>
          <w:szCs w:val="24"/>
        </w:rPr>
        <w:t>Antelope 1 Mine held under registration number 19143.</w:t>
      </w:r>
    </w:p>
    <w:p w:rsidR="00502D30" w:rsidRPr="00AD0925" w:rsidRDefault="00502D30" w:rsidP="008C038E">
      <w:pPr>
        <w:pStyle w:val="NoSpacing"/>
        <w:numPr>
          <w:ilvl w:val="0"/>
          <w:numId w:val="1"/>
        </w:numPr>
        <w:jc w:val="both"/>
        <w:rPr>
          <w:szCs w:val="24"/>
        </w:rPr>
      </w:pPr>
      <w:r w:rsidRPr="00AD0925">
        <w:rPr>
          <w:szCs w:val="24"/>
        </w:rPr>
        <w:t>Antelop</w:t>
      </w:r>
      <w:r w:rsidR="00A42709" w:rsidRPr="00AD0925">
        <w:rPr>
          <w:szCs w:val="24"/>
        </w:rPr>
        <w:t>e</w:t>
      </w:r>
      <w:r w:rsidRPr="00AD0925">
        <w:rPr>
          <w:szCs w:val="24"/>
        </w:rPr>
        <w:t xml:space="preserve"> 2 Mine held under registration number 19050.</w:t>
      </w:r>
    </w:p>
    <w:p w:rsidR="00502D30" w:rsidRPr="00AD0925" w:rsidRDefault="00502D30" w:rsidP="008C038E">
      <w:pPr>
        <w:pStyle w:val="NoSpacing"/>
        <w:numPr>
          <w:ilvl w:val="0"/>
          <w:numId w:val="1"/>
        </w:numPr>
        <w:jc w:val="both"/>
        <w:rPr>
          <w:szCs w:val="24"/>
        </w:rPr>
      </w:pPr>
      <w:r w:rsidRPr="00AD0925">
        <w:rPr>
          <w:szCs w:val="24"/>
        </w:rPr>
        <w:t>Antelope 3 Mine held un</w:t>
      </w:r>
      <w:r w:rsidR="00A42709" w:rsidRPr="00AD0925">
        <w:rPr>
          <w:szCs w:val="24"/>
        </w:rPr>
        <w:t>d</w:t>
      </w:r>
      <w:r w:rsidRPr="00AD0925">
        <w:rPr>
          <w:szCs w:val="24"/>
        </w:rPr>
        <w:t>er registration number 19051.”</w:t>
      </w:r>
    </w:p>
    <w:p w:rsidR="00502D30" w:rsidRPr="00AD0925" w:rsidRDefault="00502D30" w:rsidP="008C038E">
      <w:pPr>
        <w:ind w:firstLine="720"/>
        <w:jc w:val="both"/>
        <w:rPr>
          <w:szCs w:val="24"/>
        </w:rPr>
      </w:pPr>
      <w:r w:rsidRPr="00AD0925">
        <w:rPr>
          <w:szCs w:val="24"/>
        </w:rPr>
        <w:t>The facts of this matter are that the 2 parties herein entered into an option agreement that saw the applicant having occupation of the 1</w:t>
      </w:r>
      <w:r w:rsidRPr="00AD0925">
        <w:rPr>
          <w:szCs w:val="24"/>
          <w:vertAlign w:val="superscript"/>
        </w:rPr>
        <w:t>st</w:t>
      </w:r>
      <w:r w:rsidRPr="00AD0925">
        <w:rPr>
          <w:szCs w:val="24"/>
        </w:rPr>
        <w:t xml:space="preserve"> respondent’s mines.  The applicant alleges that respondents have been coming in and out of the mine without the consent of the applicant and that they conduct activities which disturb the normal flow of business at the mine.  The respondents raised 3 points</w:t>
      </w:r>
      <w:r w:rsidR="003C7F85" w:rsidRPr="00AD0925">
        <w:rPr>
          <w:szCs w:val="24"/>
        </w:rPr>
        <w:t xml:space="preserve"> </w:t>
      </w:r>
      <w:r w:rsidRPr="00AD0925">
        <w:rPr>
          <w:i/>
          <w:szCs w:val="24"/>
        </w:rPr>
        <w:t>in limine</w:t>
      </w:r>
      <w:r w:rsidRPr="00AD0925">
        <w:rPr>
          <w:szCs w:val="24"/>
        </w:rPr>
        <w:t xml:space="preserve">.  Firstly that the interim relief sought is final in nature.  Secondly, that the interim relief </w:t>
      </w:r>
      <w:r w:rsidR="005C4A69">
        <w:rPr>
          <w:szCs w:val="24"/>
        </w:rPr>
        <w:t>and</w:t>
      </w:r>
      <w:r w:rsidRPr="00AD0925">
        <w:rPr>
          <w:szCs w:val="24"/>
        </w:rPr>
        <w:t xml:space="preserve"> final </w:t>
      </w:r>
      <w:r w:rsidR="005C4A69">
        <w:rPr>
          <w:szCs w:val="24"/>
        </w:rPr>
        <w:t xml:space="preserve">relief are similarly worded </w:t>
      </w:r>
      <w:r w:rsidR="003C7F85" w:rsidRPr="00AD0925">
        <w:rPr>
          <w:szCs w:val="24"/>
        </w:rPr>
        <w:t xml:space="preserve">and thirdly that the </w:t>
      </w:r>
      <w:r w:rsidR="003C7F85" w:rsidRPr="00AD0925">
        <w:rPr>
          <w:szCs w:val="24"/>
        </w:rPr>
        <w:lastRenderedPageBreak/>
        <w:t xml:space="preserve">founding affidavit contains hearsay evidence.  The applicants have contested the points </w:t>
      </w:r>
      <w:r w:rsidR="003C7F85" w:rsidRPr="00AD0925">
        <w:rPr>
          <w:i/>
          <w:szCs w:val="24"/>
        </w:rPr>
        <w:t>in limine</w:t>
      </w:r>
      <w:r w:rsidR="003C7F85" w:rsidRPr="00AD0925">
        <w:rPr>
          <w:szCs w:val="24"/>
        </w:rPr>
        <w:t xml:space="preserve"> that have been raised on the basis that the interim rel</w:t>
      </w:r>
      <w:r w:rsidR="00A42709" w:rsidRPr="00AD0925">
        <w:rPr>
          <w:szCs w:val="24"/>
        </w:rPr>
        <w:t>i</w:t>
      </w:r>
      <w:r w:rsidR="003C7F85" w:rsidRPr="00AD0925">
        <w:rPr>
          <w:szCs w:val="24"/>
        </w:rPr>
        <w:t xml:space="preserve">ef sought is provisional in nature in so far as it is subject to confirmation </w:t>
      </w:r>
      <w:r w:rsidR="005C4A69">
        <w:rPr>
          <w:szCs w:val="24"/>
        </w:rPr>
        <w:t xml:space="preserve">or </w:t>
      </w:r>
      <w:r w:rsidR="003C7F85" w:rsidRPr="00AD0925">
        <w:rPr>
          <w:szCs w:val="24"/>
        </w:rPr>
        <w:t>discharge on the return date.  That</w:t>
      </w:r>
      <w:r w:rsidR="005C4A69">
        <w:rPr>
          <w:szCs w:val="24"/>
        </w:rPr>
        <w:t>,</w:t>
      </w:r>
      <w:r w:rsidR="003C7F85" w:rsidRPr="00AD0925">
        <w:rPr>
          <w:szCs w:val="24"/>
        </w:rPr>
        <w:t xml:space="preserve"> in the interim, applicant seeks a temporary interdict whereas in the final or</w:t>
      </w:r>
      <w:r w:rsidR="00A42709" w:rsidRPr="00AD0925">
        <w:rPr>
          <w:szCs w:val="24"/>
        </w:rPr>
        <w:t>d</w:t>
      </w:r>
      <w:r w:rsidR="003C7F85" w:rsidRPr="00AD0925">
        <w:rPr>
          <w:szCs w:val="24"/>
        </w:rPr>
        <w:t xml:space="preserve">er </w:t>
      </w:r>
      <w:r w:rsidR="005C4A69">
        <w:rPr>
          <w:szCs w:val="24"/>
        </w:rPr>
        <w:t>w</w:t>
      </w:r>
      <w:r w:rsidR="003C7F85" w:rsidRPr="00AD0925">
        <w:rPr>
          <w:szCs w:val="24"/>
        </w:rPr>
        <w:t>hat is sought is a final interdict.  Further, applicant avers t</w:t>
      </w:r>
      <w:r w:rsidR="00A42709" w:rsidRPr="00AD0925">
        <w:rPr>
          <w:szCs w:val="24"/>
        </w:rPr>
        <w:t>ha</w:t>
      </w:r>
      <w:r w:rsidR="003C7F85" w:rsidRPr="00AD0925">
        <w:rPr>
          <w:szCs w:val="24"/>
        </w:rPr>
        <w:t xml:space="preserve">t a provisional order that s not confirmed or discharged will lapse by operation of law or can be dismissed in </w:t>
      </w:r>
      <w:r w:rsidR="00A42709" w:rsidRPr="00AD0925">
        <w:rPr>
          <w:szCs w:val="24"/>
        </w:rPr>
        <w:t>t</w:t>
      </w:r>
      <w:r w:rsidR="003C7F85" w:rsidRPr="00AD0925">
        <w:rPr>
          <w:szCs w:val="24"/>
        </w:rPr>
        <w:t>erms of the High Court rules.  The applicant further contends that the information in the founding affidavit is not hearsay as the deponent was privy to the facts of the matter.</w:t>
      </w:r>
    </w:p>
    <w:p w:rsidR="003C7F85" w:rsidRPr="00AD0925" w:rsidRDefault="003C7F85" w:rsidP="008C038E">
      <w:pPr>
        <w:ind w:firstLine="720"/>
        <w:jc w:val="both"/>
        <w:rPr>
          <w:szCs w:val="24"/>
        </w:rPr>
      </w:pPr>
      <w:r w:rsidRPr="00AD0925">
        <w:rPr>
          <w:szCs w:val="24"/>
        </w:rPr>
        <w:t>I will deal with these points as follows:</w:t>
      </w:r>
    </w:p>
    <w:p w:rsidR="000F6EBF" w:rsidRDefault="003C7F85" w:rsidP="008C038E">
      <w:pPr>
        <w:ind w:firstLine="720"/>
        <w:jc w:val="both"/>
        <w:rPr>
          <w:szCs w:val="24"/>
        </w:rPr>
      </w:pPr>
      <w:r w:rsidRPr="00AD0925">
        <w:rPr>
          <w:szCs w:val="24"/>
        </w:rPr>
        <w:t xml:space="preserve">On the </w:t>
      </w:r>
      <w:r w:rsidR="00A42709" w:rsidRPr="00AD0925">
        <w:rPr>
          <w:szCs w:val="24"/>
        </w:rPr>
        <w:t>a</w:t>
      </w:r>
      <w:r w:rsidRPr="00AD0925">
        <w:rPr>
          <w:szCs w:val="24"/>
        </w:rPr>
        <w:t>spect of t</w:t>
      </w:r>
      <w:r w:rsidR="00A42709" w:rsidRPr="00AD0925">
        <w:rPr>
          <w:szCs w:val="24"/>
        </w:rPr>
        <w:t>h</w:t>
      </w:r>
      <w:r w:rsidRPr="00AD0925">
        <w:rPr>
          <w:szCs w:val="24"/>
        </w:rPr>
        <w:t xml:space="preserve">e relief sought being final in nature, I note from the applicant’s answering affidavit that applicant does not dispute that the  </w:t>
      </w:r>
      <w:r w:rsidR="00AD0925" w:rsidRPr="00AD0925">
        <w:rPr>
          <w:szCs w:val="24"/>
        </w:rPr>
        <w:t>wording i</w:t>
      </w:r>
      <w:r w:rsidRPr="00AD0925">
        <w:rPr>
          <w:szCs w:val="24"/>
        </w:rPr>
        <w:t>s final in nature but instead applicant avers t</w:t>
      </w:r>
      <w:r w:rsidR="00A42709" w:rsidRPr="00AD0925">
        <w:rPr>
          <w:szCs w:val="24"/>
        </w:rPr>
        <w:t>h</w:t>
      </w:r>
      <w:r w:rsidRPr="00AD0925">
        <w:rPr>
          <w:szCs w:val="24"/>
        </w:rPr>
        <w:t>at the mere fact</w:t>
      </w:r>
      <w:r w:rsidR="00A42709" w:rsidRPr="00AD0925">
        <w:rPr>
          <w:szCs w:val="24"/>
        </w:rPr>
        <w:t xml:space="preserve"> that the relief is subject to </w:t>
      </w:r>
      <w:r w:rsidRPr="00AD0925">
        <w:rPr>
          <w:szCs w:val="24"/>
        </w:rPr>
        <w:t>confirmation or discharge on t</w:t>
      </w:r>
      <w:r w:rsidR="00A42709" w:rsidRPr="00AD0925">
        <w:rPr>
          <w:szCs w:val="24"/>
        </w:rPr>
        <w:t>h</w:t>
      </w:r>
      <w:r w:rsidRPr="00AD0925">
        <w:rPr>
          <w:szCs w:val="24"/>
        </w:rPr>
        <w:t xml:space="preserve">e return date makes it a temporary interdict.  Therefore, on this aspect the court does not have to </w:t>
      </w:r>
      <w:r w:rsidR="00AD0925" w:rsidRPr="00AD0925">
        <w:rPr>
          <w:szCs w:val="24"/>
        </w:rPr>
        <w:t>determine</w:t>
      </w:r>
      <w:r w:rsidRPr="00AD0925">
        <w:rPr>
          <w:szCs w:val="24"/>
        </w:rPr>
        <w:t xml:space="preserve"> if the relief is</w:t>
      </w:r>
      <w:r w:rsidR="00154369" w:rsidRPr="00AD0925">
        <w:rPr>
          <w:szCs w:val="24"/>
        </w:rPr>
        <w:t xml:space="preserve"> </w:t>
      </w:r>
      <w:r w:rsidR="00AD0925" w:rsidRPr="00AD0925">
        <w:rPr>
          <w:szCs w:val="24"/>
        </w:rPr>
        <w:t xml:space="preserve">indeed </w:t>
      </w:r>
      <w:r w:rsidR="00154369" w:rsidRPr="00AD0925">
        <w:rPr>
          <w:szCs w:val="24"/>
        </w:rPr>
        <w:t xml:space="preserve">final </w:t>
      </w:r>
      <w:r w:rsidR="00AD0925" w:rsidRPr="00AD0925">
        <w:rPr>
          <w:szCs w:val="24"/>
        </w:rPr>
        <w:t>nature b</w:t>
      </w:r>
      <w:r w:rsidR="00154369" w:rsidRPr="00AD0925">
        <w:rPr>
          <w:szCs w:val="24"/>
        </w:rPr>
        <w:t>ut if the effect however worded, is temporary or final.  In other words does it not matter how interim relief is co</w:t>
      </w:r>
      <w:r w:rsidR="003058E4">
        <w:rPr>
          <w:szCs w:val="24"/>
        </w:rPr>
        <w:t>uch</w:t>
      </w:r>
      <w:r w:rsidR="00154369" w:rsidRPr="00AD0925">
        <w:rPr>
          <w:szCs w:val="24"/>
        </w:rPr>
        <w:t>ed?  Is all that matters that it is called interim relief subject to be either confirmed or discharged on the return date?  If on</w:t>
      </w:r>
      <w:r w:rsidR="003058E4">
        <w:rPr>
          <w:szCs w:val="24"/>
        </w:rPr>
        <w:t>e</w:t>
      </w:r>
      <w:r w:rsidR="00154369" w:rsidRPr="00AD0925">
        <w:rPr>
          <w:szCs w:val="24"/>
        </w:rPr>
        <w:t xml:space="preserve"> where to accept applicant</w:t>
      </w:r>
      <w:r w:rsidR="003058E4">
        <w:rPr>
          <w:szCs w:val="24"/>
        </w:rPr>
        <w:t>’s</w:t>
      </w:r>
      <w:r w:rsidR="00A42709" w:rsidRPr="00AD0925">
        <w:rPr>
          <w:szCs w:val="24"/>
        </w:rPr>
        <w:t xml:space="preserve"> </w:t>
      </w:r>
      <w:r w:rsidR="00154369" w:rsidRPr="00AD0925">
        <w:rPr>
          <w:szCs w:val="24"/>
        </w:rPr>
        <w:t xml:space="preserve">contention then no interim relief would have been found to be incompetent by our courts.  The measure being however, it is worded, it would not matter.  What would matter is what applicant calls it or considers it to be.  If applicant calls it interim then the mere fact that it is yet to be confirmed or discharged would automatically render it interim.  The decided cases, however, do not support applicant’s contention.  The decided cases are to the effect that relief in urgent </w:t>
      </w:r>
      <w:r w:rsidR="003058E4">
        <w:rPr>
          <w:szCs w:val="24"/>
        </w:rPr>
        <w:t>applications</w:t>
      </w:r>
      <w:r w:rsidR="00154369" w:rsidRPr="00AD0925">
        <w:rPr>
          <w:szCs w:val="24"/>
        </w:rPr>
        <w:t xml:space="preserve"> must and should be appropriately couched.  Interim reli</w:t>
      </w:r>
      <w:r w:rsidR="00AD0925" w:rsidRPr="00AD0925">
        <w:rPr>
          <w:szCs w:val="24"/>
        </w:rPr>
        <w:t>ef should be just that, interim</w:t>
      </w:r>
      <w:r w:rsidR="003058E4">
        <w:rPr>
          <w:szCs w:val="24"/>
        </w:rPr>
        <w:t>,</w:t>
      </w:r>
      <w:r w:rsidR="00154369" w:rsidRPr="00AD0925">
        <w:rPr>
          <w:szCs w:val="24"/>
        </w:rPr>
        <w:t xml:space="preserve"> it should never be couched so that </w:t>
      </w:r>
      <w:r w:rsidR="00AD0925" w:rsidRPr="00AD0925">
        <w:rPr>
          <w:szCs w:val="24"/>
        </w:rPr>
        <w:t>i</w:t>
      </w:r>
      <w:r w:rsidR="00154369" w:rsidRPr="00AD0925">
        <w:rPr>
          <w:szCs w:val="24"/>
        </w:rPr>
        <w:t>t is final in nature.  Decided cases also disc</w:t>
      </w:r>
      <w:r w:rsidR="003058E4">
        <w:rPr>
          <w:szCs w:val="24"/>
        </w:rPr>
        <w:t>ourag</w:t>
      </w:r>
      <w:r w:rsidR="00154369" w:rsidRPr="00AD0925">
        <w:rPr>
          <w:szCs w:val="24"/>
        </w:rPr>
        <w:t xml:space="preserve">e interim relief couched in a final nature for the simple reason that the applicant </w:t>
      </w:r>
      <w:r w:rsidR="00F542CE" w:rsidRPr="00AD0925">
        <w:rPr>
          <w:szCs w:val="24"/>
        </w:rPr>
        <w:t xml:space="preserve">without </w:t>
      </w:r>
      <w:r w:rsidR="003058E4">
        <w:rPr>
          <w:szCs w:val="24"/>
        </w:rPr>
        <w:t>p</w:t>
      </w:r>
      <w:r w:rsidR="00F542CE" w:rsidRPr="00AD0925">
        <w:rPr>
          <w:szCs w:val="24"/>
        </w:rPr>
        <w:t>roving its case aga</w:t>
      </w:r>
      <w:r w:rsidR="00DD7618" w:rsidRPr="00AD0925">
        <w:rPr>
          <w:szCs w:val="24"/>
        </w:rPr>
        <w:t>i</w:t>
      </w:r>
      <w:r w:rsidR="00F542CE" w:rsidRPr="00AD0925">
        <w:rPr>
          <w:szCs w:val="24"/>
        </w:rPr>
        <w:t>nst the respondent,</w:t>
      </w:r>
      <w:r w:rsidR="00DD7618" w:rsidRPr="00AD0925">
        <w:rPr>
          <w:szCs w:val="24"/>
        </w:rPr>
        <w:t xml:space="preserve"> </w:t>
      </w:r>
      <w:r w:rsidR="000F6EBF">
        <w:rPr>
          <w:szCs w:val="24"/>
        </w:rPr>
        <w:t>earn</w:t>
      </w:r>
      <w:r w:rsidR="00DD7618" w:rsidRPr="00AD0925">
        <w:rPr>
          <w:szCs w:val="24"/>
        </w:rPr>
        <w:t>s itself</w:t>
      </w:r>
      <w:r w:rsidR="000F6EBF">
        <w:rPr>
          <w:szCs w:val="24"/>
        </w:rPr>
        <w:t xml:space="preserve"> a permanent order when all applicant</w:t>
      </w:r>
      <w:r w:rsidR="00DD7618" w:rsidRPr="00AD0925">
        <w:rPr>
          <w:szCs w:val="24"/>
        </w:rPr>
        <w:t xml:space="preserve"> would have presented is a </w:t>
      </w:r>
      <w:r w:rsidR="00DD7618" w:rsidRPr="00AD0925">
        <w:rPr>
          <w:i/>
          <w:szCs w:val="24"/>
        </w:rPr>
        <w:t>prima facie</w:t>
      </w:r>
      <w:r w:rsidR="00DD7618" w:rsidRPr="00AD0925">
        <w:rPr>
          <w:szCs w:val="24"/>
        </w:rPr>
        <w:t xml:space="preserve"> case.  Permanent relief shall be obtained on proven rights as opposed to </w:t>
      </w:r>
      <w:r w:rsidR="00DD7618" w:rsidRPr="00AD0925">
        <w:rPr>
          <w:i/>
          <w:szCs w:val="24"/>
        </w:rPr>
        <w:t>prima facie</w:t>
      </w:r>
      <w:r w:rsidR="00DD7618" w:rsidRPr="00AD0925">
        <w:rPr>
          <w:szCs w:val="24"/>
        </w:rPr>
        <w:t xml:space="preserve"> rights.  Again, if applicant gets interim relief that has a final effect, applicant has nothing to </w:t>
      </w:r>
      <w:r w:rsidR="00AD0925" w:rsidRPr="00AD0925">
        <w:rPr>
          <w:szCs w:val="24"/>
        </w:rPr>
        <w:t>anticipate</w:t>
      </w:r>
      <w:r w:rsidR="00DD7618" w:rsidRPr="00AD0925">
        <w:rPr>
          <w:szCs w:val="24"/>
        </w:rPr>
        <w:t xml:space="preserve"> on the return date.  Again, if </w:t>
      </w:r>
      <w:r w:rsidR="00FA0772" w:rsidRPr="00AD0925">
        <w:rPr>
          <w:szCs w:val="24"/>
        </w:rPr>
        <w:t>applicant gets in</w:t>
      </w:r>
      <w:r w:rsidR="00A42709" w:rsidRPr="00AD0925">
        <w:rPr>
          <w:szCs w:val="24"/>
        </w:rPr>
        <w:t>t</w:t>
      </w:r>
      <w:r w:rsidR="00FA0772" w:rsidRPr="00AD0925">
        <w:rPr>
          <w:szCs w:val="24"/>
        </w:rPr>
        <w:t>erim relief t</w:t>
      </w:r>
      <w:r w:rsidR="00A42709" w:rsidRPr="00AD0925">
        <w:rPr>
          <w:szCs w:val="24"/>
        </w:rPr>
        <w:t>h</w:t>
      </w:r>
      <w:r w:rsidR="00FA0772" w:rsidRPr="00AD0925">
        <w:rPr>
          <w:szCs w:val="24"/>
        </w:rPr>
        <w:t xml:space="preserve">at </w:t>
      </w:r>
      <w:r w:rsidR="00FA0772" w:rsidRPr="00AD0925">
        <w:rPr>
          <w:szCs w:val="24"/>
        </w:rPr>
        <w:lastRenderedPageBreak/>
        <w:t>has a final effect, applicant</w:t>
      </w:r>
      <w:r w:rsidR="00A42709" w:rsidRPr="00AD0925">
        <w:rPr>
          <w:szCs w:val="24"/>
        </w:rPr>
        <w:t xml:space="preserve"> has nothing to </w:t>
      </w:r>
      <w:r w:rsidR="00FA0772" w:rsidRPr="00AD0925">
        <w:rPr>
          <w:szCs w:val="24"/>
        </w:rPr>
        <w:t>anticipate on the return date.  Applicant can simply obtain the</w:t>
      </w:r>
      <w:r w:rsidR="00A42709" w:rsidRPr="00AD0925">
        <w:rPr>
          <w:szCs w:val="24"/>
        </w:rPr>
        <w:t xml:space="preserve"> </w:t>
      </w:r>
      <w:r w:rsidR="00FA0772" w:rsidRPr="00AD0925">
        <w:rPr>
          <w:szCs w:val="24"/>
        </w:rPr>
        <w:t>in</w:t>
      </w:r>
      <w:r w:rsidR="00A42709" w:rsidRPr="00AD0925">
        <w:rPr>
          <w:szCs w:val="24"/>
        </w:rPr>
        <w:t>t</w:t>
      </w:r>
      <w:r w:rsidR="00FA0772" w:rsidRPr="00AD0925">
        <w:rPr>
          <w:szCs w:val="24"/>
        </w:rPr>
        <w:t>erim interdict which has a permanent effect and sit back and do nothing thereafter.  This scenario is undesirable and numerous decided case</w:t>
      </w:r>
      <w:r w:rsidR="000F6EBF">
        <w:rPr>
          <w:szCs w:val="24"/>
        </w:rPr>
        <w:t>s</w:t>
      </w:r>
      <w:r w:rsidR="00FA0772" w:rsidRPr="00AD0925">
        <w:rPr>
          <w:szCs w:val="24"/>
        </w:rPr>
        <w:t xml:space="preserve"> have touched on </w:t>
      </w:r>
      <w:r w:rsidR="000F6EBF">
        <w:rPr>
          <w:szCs w:val="24"/>
        </w:rPr>
        <w:t>this aspect</w:t>
      </w:r>
      <w:r w:rsidR="00FA0772" w:rsidRPr="00AD0925">
        <w:rPr>
          <w:szCs w:val="24"/>
        </w:rPr>
        <w:t>.  Although applicant contends that, the relief is temporary and the</w:t>
      </w:r>
      <w:r w:rsidR="000F6EBF">
        <w:rPr>
          <w:szCs w:val="24"/>
        </w:rPr>
        <w:t xml:space="preserve">refore subject to confirmation </w:t>
      </w:r>
      <w:r w:rsidR="00FA0772" w:rsidRPr="00AD0925">
        <w:rPr>
          <w:szCs w:val="24"/>
        </w:rPr>
        <w:t>or discharge, nothing compels the applicant to push t</w:t>
      </w:r>
      <w:r w:rsidR="00A42709" w:rsidRPr="00AD0925">
        <w:rPr>
          <w:szCs w:val="24"/>
        </w:rPr>
        <w:t>h</w:t>
      </w:r>
      <w:r w:rsidR="00FA0772" w:rsidRPr="00AD0925">
        <w:rPr>
          <w:szCs w:val="24"/>
        </w:rPr>
        <w:t xml:space="preserve">e matter further from finalisation once such relief is granted.  </w:t>
      </w:r>
    </w:p>
    <w:p w:rsidR="000F6EBF" w:rsidRDefault="00FA0772" w:rsidP="008C038E">
      <w:pPr>
        <w:ind w:firstLine="720"/>
        <w:jc w:val="both"/>
        <w:rPr>
          <w:szCs w:val="24"/>
        </w:rPr>
      </w:pPr>
      <w:r w:rsidRPr="00AD0925">
        <w:rPr>
          <w:szCs w:val="24"/>
        </w:rPr>
        <w:t>Even if applicant’s counsel contends that a provisional order lapses by virtue of the common law and t</w:t>
      </w:r>
      <w:r w:rsidR="000F6EBF">
        <w:rPr>
          <w:szCs w:val="24"/>
        </w:rPr>
        <w:t>h</w:t>
      </w:r>
      <w:r w:rsidRPr="00AD0925">
        <w:rPr>
          <w:szCs w:val="24"/>
        </w:rPr>
        <w:t>at an unprosecuted application c</w:t>
      </w:r>
      <w:r w:rsidR="00A42709" w:rsidRPr="00AD0925">
        <w:rPr>
          <w:szCs w:val="24"/>
        </w:rPr>
        <w:t>a</w:t>
      </w:r>
      <w:r w:rsidRPr="00AD0925">
        <w:rPr>
          <w:szCs w:val="24"/>
        </w:rPr>
        <w:t>n also be dismissed in terms of the High Court Rules, the problem in this argument is that all this happens at the instance of the respondent.  In other words, applicant gets an interim relief that is final in nature, sits back and does not do anything, waits for the respondent to take action to end applicant’s enjoyment of the interim relief.  This scenario casts an unnecessary burden on t</w:t>
      </w:r>
      <w:r w:rsidR="00A42709" w:rsidRPr="00AD0925">
        <w:rPr>
          <w:szCs w:val="24"/>
        </w:rPr>
        <w:t>h</w:t>
      </w:r>
      <w:r w:rsidRPr="00AD0925">
        <w:rPr>
          <w:szCs w:val="24"/>
        </w:rPr>
        <w:t>e respondent who will not have approached the court in the 1</w:t>
      </w:r>
      <w:r w:rsidRPr="00AD0925">
        <w:rPr>
          <w:szCs w:val="24"/>
          <w:vertAlign w:val="superscript"/>
        </w:rPr>
        <w:t>st</w:t>
      </w:r>
      <w:r w:rsidRPr="00AD0925">
        <w:rPr>
          <w:szCs w:val="24"/>
        </w:rPr>
        <w:t xml:space="preserve"> place.  The interim relief sought by applicant </w:t>
      </w:r>
      <w:r w:rsidR="00A42709" w:rsidRPr="00AD0925">
        <w:rPr>
          <w:szCs w:val="24"/>
        </w:rPr>
        <w:t>m</w:t>
      </w:r>
      <w:r w:rsidR="000F6EBF">
        <w:rPr>
          <w:szCs w:val="24"/>
        </w:rPr>
        <w:t>us</w:t>
      </w:r>
      <w:r w:rsidRPr="00AD0925">
        <w:rPr>
          <w:szCs w:val="24"/>
        </w:rPr>
        <w:t>t be such tha</w:t>
      </w:r>
      <w:r w:rsidR="00A42709" w:rsidRPr="00AD0925">
        <w:rPr>
          <w:szCs w:val="24"/>
        </w:rPr>
        <w:t>t</w:t>
      </w:r>
      <w:r w:rsidRPr="00AD0925">
        <w:rPr>
          <w:szCs w:val="24"/>
        </w:rPr>
        <w:t xml:space="preserve"> applicant itself anticipate</w:t>
      </w:r>
      <w:r w:rsidR="000F6EBF">
        <w:rPr>
          <w:szCs w:val="24"/>
        </w:rPr>
        <w:t>s</w:t>
      </w:r>
      <w:r w:rsidRPr="00AD0925">
        <w:rPr>
          <w:szCs w:val="24"/>
        </w:rPr>
        <w:t xml:space="preserve"> the </w:t>
      </w:r>
      <w:r w:rsidR="00A42709" w:rsidRPr="00AD0925">
        <w:rPr>
          <w:szCs w:val="24"/>
        </w:rPr>
        <w:t>r</w:t>
      </w:r>
      <w:r w:rsidRPr="00AD0925">
        <w:rPr>
          <w:szCs w:val="24"/>
        </w:rPr>
        <w:t>eturn date.  Applicant itse</w:t>
      </w:r>
      <w:r w:rsidR="005F34C5" w:rsidRPr="00AD0925">
        <w:rPr>
          <w:szCs w:val="24"/>
        </w:rPr>
        <w:t xml:space="preserve">lf </w:t>
      </w:r>
      <w:r w:rsidR="000F6EBF">
        <w:rPr>
          <w:szCs w:val="24"/>
        </w:rPr>
        <w:t>must</w:t>
      </w:r>
      <w:r w:rsidR="005F34C5" w:rsidRPr="00AD0925">
        <w:rPr>
          <w:szCs w:val="24"/>
        </w:rPr>
        <w:t xml:space="preserve"> be interested in </w:t>
      </w:r>
      <w:r w:rsidR="000F6EBF">
        <w:rPr>
          <w:szCs w:val="24"/>
        </w:rPr>
        <w:t>push</w:t>
      </w:r>
      <w:r w:rsidR="005F34C5" w:rsidRPr="00AD0925">
        <w:rPr>
          <w:szCs w:val="24"/>
        </w:rPr>
        <w:t>ing the matter forward to get final relief.  It would be an undes</w:t>
      </w:r>
      <w:r w:rsidR="000B4EAE" w:rsidRPr="00AD0925">
        <w:rPr>
          <w:szCs w:val="24"/>
        </w:rPr>
        <w:t>i</w:t>
      </w:r>
      <w:r w:rsidR="005F34C5" w:rsidRPr="00AD0925">
        <w:rPr>
          <w:szCs w:val="24"/>
        </w:rPr>
        <w:t xml:space="preserve">rable set up where the courts encourage </w:t>
      </w:r>
      <w:r w:rsidR="000B4EAE" w:rsidRPr="00AD0925">
        <w:rPr>
          <w:szCs w:val="24"/>
        </w:rPr>
        <w:t>and allow litigants to approach</w:t>
      </w:r>
      <w:r w:rsidR="005F34C5" w:rsidRPr="00AD0925">
        <w:rPr>
          <w:szCs w:val="24"/>
        </w:rPr>
        <w:t xml:space="preserve"> it to get final relief through the back door and leave respondents reeling under the effect of the “final” relief to the</w:t>
      </w:r>
      <w:r w:rsidR="00112854">
        <w:rPr>
          <w:szCs w:val="24"/>
        </w:rPr>
        <w:t>n</w:t>
      </w:r>
      <w:r w:rsidR="005F34C5" w:rsidRPr="00AD0925">
        <w:rPr>
          <w:szCs w:val="24"/>
        </w:rPr>
        <w:t xml:space="preserve"> untangle the whole web and extricate themselves.  In fact t</w:t>
      </w:r>
      <w:r w:rsidR="000F6EBF">
        <w:rPr>
          <w:szCs w:val="24"/>
        </w:rPr>
        <w:t>h</w:t>
      </w:r>
      <w:r w:rsidR="005F34C5" w:rsidRPr="00AD0925">
        <w:rPr>
          <w:szCs w:val="24"/>
        </w:rPr>
        <w:t>at will be an injustice not only because respon</w:t>
      </w:r>
      <w:r w:rsidR="000B4EAE" w:rsidRPr="00AD0925">
        <w:rPr>
          <w:szCs w:val="24"/>
        </w:rPr>
        <w:t>d</w:t>
      </w:r>
      <w:r w:rsidR="005F34C5" w:rsidRPr="00AD0925">
        <w:rPr>
          <w:szCs w:val="24"/>
        </w:rPr>
        <w:t>ents will have to pursue to f</w:t>
      </w:r>
      <w:r w:rsidR="000F6EBF">
        <w:rPr>
          <w:szCs w:val="24"/>
        </w:rPr>
        <w:t>inally</w:t>
      </w:r>
      <w:r w:rsidR="005F34C5" w:rsidRPr="00AD0925">
        <w:rPr>
          <w:szCs w:val="24"/>
        </w:rPr>
        <w:t xml:space="preserve"> matters that </w:t>
      </w:r>
      <w:r w:rsidR="000F6EBF">
        <w:rPr>
          <w:szCs w:val="24"/>
        </w:rPr>
        <w:t>they did</w:t>
      </w:r>
      <w:r w:rsidR="005F34C5" w:rsidRPr="00AD0925">
        <w:rPr>
          <w:szCs w:val="24"/>
        </w:rPr>
        <w:t xml:space="preserve"> not commence</w:t>
      </w:r>
      <w:r w:rsidR="000F6EBF">
        <w:rPr>
          <w:szCs w:val="24"/>
        </w:rPr>
        <w:t>,</w:t>
      </w:r>
      <w:r w:rsidR="005F34C5" w:rsidRPr="00AD0925">
        <w:rPr>
          <w:szCs w:val="24"/>
        </w:rPr>
        <w:t xml:space="preserve"> but also by virtue of the fact that an applicant will enjoy relief that is final in nature without proving its</w:t>
      </w:r>
      <w:r w:rsidR="000F6EBF">
        <w:rPr>
          <w:szCs w:val="24"/>
        </w:rPr>
        <w:t xml:space="preserve"> case</w:t>
      </w:r>
      <w:r w:rsidR="005F34C5" w:rsidRPr="00AD0925">
        <w:rPr>
          <w:szCs w:val="24"/>
        </w:rPr>
        <w:t xml:space="preserve">.  Refer to the cases of </w:t>
      </w:r>
      <w:r w:rsidR="005F34C5" w:rsidRPr="00AD0925">
        <w:rPr>
          <w:i/>
          <w:szCs w:val="24"/>
        </w:rPr>
        <w:t>Kuvareg</w:t>
      </w:r>
      <w:r w:rsidR="00AD0925" w:rsidRPr="00AD0925">
        <w:rPr>
          <w:i/>
          <w:szCs w:val="24"/>
        </w:rPr>
        <w:t>a</w:t>
      </w:r>
      <w:r w:rsidR="005F34C5" w:rsidRPr="00AD0925">
        <w:rPr>
          <w:szCs w:val="24"/>
        </w:rPr>
        <w:t xml:space="preserve"> vs </w:t>
      </w:r>
      <w:r w:rsidR="005F34C5" w:rsidRPr="00AD0925">
        <w:rPr>
          <w:i/>
          <w:szCs w:val="24"/>
        </w:rPr>
        <w:t>Registrar General</w:t>
      </w:r>
      <w:r w:rsidR="005F34C5" w:rsidRPr="00AD0925">
        <w:rPr>
          <w:szCs w:val="24"/>
        </w:rPr>
        <w:t xml:space="preserve"> 1998 (1) ZLR 188; </w:t>
      </w:r>
      <w:r w:rsidR="005F34C5" w:rsidRPr="00AD0925">
        <w:rPr>
          <w:i/>
          <w:szCs w:val="24"/>
        </w:rPr>
        <w:t>Ntuliki</w:t>
      </w:r>
      <w:r w:rsidR="005F34C5" w:rsidRPr="00AD0925">
        <w:rPr>
          <w:szCs w:val="24"/>
        </w:rPr>
        <w:t xml:space="preserve"> vs </w:t>
      </w:r>
      <w:r w:rsidR="005F34C5" w:rsidRPr="00AD0925">
        <w:rPr>
          <w:i/>
          <w:szCs w:val="24"/>
        </w:rPr>
        <w:t xml:space="preserve">White </w:t>
      </w:r>
      <w:r w:rsidR="005F34C5" w:rsidRPr="00AD0925">
        <w:rPr>
          <w:szCs w:val="24"/>
        </w:rPr>
        <w:t xml:space="preserve">HB-46-15 where such views were expressed in depth.  </w:t>
      </w:r>
    </w:p>
    <w:p w:rsidR="003C7F85" w:rsidRPr="00AD0925" w:rsidRDefault="005F34C5" w:rsidP="008C038E">
      <w:pPr>
        <w:ind w:firstLine="720"/>
        <w:jc w:val="both"/>
        <w:rPr>
          <w:szCs w:val="24"/>
        </w:rPr>
      </w:pPr>
      <w:r w:rsidRPr="00AD0925">
        <w:rPr>
          <w:szCs w:val="24"/>
        </w:rPr>
        <w:t>I hold the view that what the applicant wants this court to find in relations to the “final” relief</w:t>
      </w:r>
      <w:r w:rsidR="00112854">
        <w:rPr>
          <w:szCs w:val="24"/>
        </w:rPr>
        <w:t xml:space="preserve"> is not supported by decided cases</w:t>
      </w:r>
      <w:r w:rsidRPr="00AD0925">
        <w:rPr>
          <w:szCs w:val="24"/>
        </w:rPr>
        <w:t>.  The Sup</w:t>
      </w:r>
      <w:r w:rsidR="000B4EAE" w:rsidRPr="00AD0925">
        <w:rPr>
          <w:szCs w:val="24"/>
        </w:rPr>
        <w:t>r</w:t>
      </w:r>
      <w:r w:rsidRPr="00AD0925">
        <w:rPr>
          <w:szCs w:val="24"/>
        </w:rPr>
        <w:t xml:space="preserve">eme Court case of </w:t>
      </w:r>
      <w:r w:rsidRPr="00AD0925">
        <w:rPr>
          <w:i/>
          <w:szCs w:val="24"/>
        </w:rPr>
        <w:t>Siphiwe Dube</w:t>
      </w:r>
      <w:r w:rsidRPr="00AD0925">
        <w:rPr>
          <w:szCs w:val="24"/>
        </w:rPr>
        <w:t xml:space="preserve"> vs </w:t>
      </w:r>
      <w:r w:rsidRPr="00AD0925">
        <w:rPr>
          <w:i/>
          <w:szCs w:val="24"/>
        </w:rPr>
        <w:t>Turfwell Mining (Pvt) Ltd &amp; Ors</w:t>
      </w:r>
      <w:r w:rsidRPr="00AD0925">
        <w:rPr>
          <w:szCs w:val="24"/>
        </w:rPr>
        <w:t xml:space="preserve"> SC-10-19, did not deal with the issues as I am handling herein per the cyclostyled judgment.  In t</w:t>
      </w:r>
      <w:r w:rsidR="000B4EAE" w:rsidRPr="00AD0925">
        <w:rPr>
          <w:szCs w:val="24"/>
        </w:rPr>
        <w:t>h</w:t>
      </w:r>
      <w:r w:rsidRPr="00AD0925">
        <w:rPr>
          <w:szCs w:val="24"/>
        </w:rPr>
        <w:t>at case, a reading of it shows that the Supreme Court dealt with the merits to the extent t</w:t>
      </w:r>
      <w:r w:rsidR="000B4EAE" w:rsidRPr="00AD0925">
        <w:rPr>
          <w:szCs w:val="24"/>
        </w:rPr>
        <w:t>h</w:t>
      </w:r>
      <w:r w:rsidRPr="00AD0925">
        <w:rPr>
          <w:szCs w:val="24"/>
        </w:rPr>
        <w:t>at it even attacked th</w:t>
      </w:r>
      <w:r w:rsidR="000B4EAE" w:rsidRPr="00AD0925">
        <w:rPr>
          <w:szCs w:val="24"/>
        </w:rPr>
        <w:t>e</w:t>
      </w:r>
      <w:r w:rsidRPr="00AD0925">
        <w:rPr>
          <w:szCs w:val="24"/>
        </w:rPr>
        <w:t xml:space="preserve"> dishonesty and </w:t>
      </w:r>
      <w:r w:rsidRPr="00112854">
        <w:rPr>
          <w:i/>
          <w:szCs w:val="24"/>
        </w:rPr>
        <w:t>bona fides</w:t>
      </w:r>
      <w:r w:rsidRPr="00AD0925">
        <w:rPr>
          <w:szCs w:val="24"/>
        </w:rPr>
        <w:t xml:space="preserve"> of the appellant therein.  Although the grounds of appeal are not listed in the judgment, t</w:t>
      </w:r>
      <w:r w:rsidR="000B4EAE" w:rsidRPr="00AD0925">
        <w:rPr>
          <w:szCs w:val="24"/>
        </w:rPr>
        <w:t>h</w:t>
      </w:r>
      <w:r w:rsidRPr="00AD0925">
        <w:rPr>
          <w:szCs w:val="24"/>
        </w:rPr>
        <w:t>e court t</w:t>
      </w:r>
      <w:r w:rsidR="000B4EAE" w:rsidRPr="00AD0925">
        <w:rPr>
          <w:szCs w:val="24"/>
        </w:rPr>
        <w:t>h</w:t>
      </w:r>
      <w:r w:rsidRPr="00AD0925">
        <w:rPr>
          <w:szCs w:val="24"/>
        </w:rPr>
        <w:t xml:space="preserve">erein stated that </w:t>
      </w:r>
      <w:r w:rsidRPr="00AD0925">
        <w:rPr>
          <w:szCs w:val="24"/>
        </w:rPr>
        <w:lastRenderedPageBreak/>
        <w:t>“having failed t</w:t>
      </w:r>
      <w:r w:rsidR="00112854">
        <w:rPr>
          <w:szCs w:val="24"/>
        </w:rPr>
        <w:t>o</w:t>
      </w:r>
      <w:r w:rsidRPr="00AD0925">
        <w:rPr>
          <w:szCs w:val="24"/>
        </w:rPr>
        <w:t xml:space="preserve"> pull wool over the court’s eyes, it is ha</w:t>
      </w:r>
      <w:r w:rsidR="000B4EAE" w:rsidRPr="00AD0925">
        <w:rPr>
          <w:szCs w:val="24"/>
        </w:rPr>
        <w:t>r</w:t>
      </w:r>
      <w:r w:rsidRPr="00AD0925">
        <w:rPr>
          <w:szCs w:val="24"/>
        </w:rPr>
        <w:t>dly surprising that s</w:t>
      </w:r>
      <w:r w:rsidR="000B4EAE" w:rsidRPr="00AD0925">
        <w:rPr>
          <w:szCs w:val="24"/>
        </w:rPr>
        <w:t>h</w:t>
      </w:r>
      <w:r w:rsidRPr="00AD0925">
        <w:rPr>
          <w:szCs w:val="24"/>
        </w:rPr>
        <w:t>e lost the plot and t</w:t>
      </w:r>
      <w:r w:rsidR="000B4EAE" w:rsidRPr="00AD0925">
        <w:rPr>
          <w:szCs w:val="24"/>
        </w:rPr>
        <w:t>h</w:t>
      </w:r>
      <w:r w:rsidRPr="00AD0925">
        <w:rPr>
          <w:szCs w:val="24"/>
        </w:rPr>
        <w:t xml:space="preserve">e court </w:t>
      </w:r>
      <w:r w:rsidRPr="00AD0925">
        <w:rPr>
          <w:i/>
          <w:szCs w:val="24"/>
        </w:rPr>
        <w:t>a quo</w:t>
      </w:r>
      <w:r w:rsidRPr="00AD0925">
        <w:rPr>
          <w:szCs w:val="24"/>
        </w:rPr>
        <w:t xml:space="preserve"> </w:t>
      </w:r>
      <w:r w:rsidR="000B4EAE" w:rsidRPr="00AD0925">
        <w:rPr>
          <w:szCs w:val="24"/>
        </w:rPr>
        <w:t>i</w:t>
      </w:r>
      <w:r w:rsidRPr="00AD0925">
        <w:rPr>
          <w:szCs w:val="24"/>
        </w:rPr>
        <w:t xml:space="preserve">ssued a provisional order stopping her from </w:t>
      </w:r>
      <w:r w:rsidR="000B4EAE" w:rsidRPr="00AD0925">
        <w:rPr>
          <w:szCs w:val="24"/>
        </w:rPr>
        <w:t>c</w:t>
      </w:r>
      <w:r w:rsidRPr="00AD0925">
        <w:rPr>
          <w:szCs w:val="24"/>
        </w:rPr>
        <w:t xml:space="preserve">ontinuing </w:t>
      </w:r>
      <w:r w:rsidR="00112854">
        <w:rPr>
          <w:szCs w:val="24"/>
        </w:rPr>
        <w:t>with</w:t>
      </w:r>
      <w:r w:rsidRPr="00AD0925">
        <w:rPr>
          <w:szCs w:val="24"/>
        </w:rPr>
        <w:t xml:space="preserve"> the illegal conduct </w:t>
      </w:r>
      <w:r w:rsidR="006314BD" w:rsidRPr="00AD0925">
        <w:rPr>
          <w:szCs w:val="24"/>
          <w:u w:val="single"/>
        </w:rPr>
        <w:t>p</w:t>
      </w:r>
      <w:r w:rsidRPr="00AD0925">
        <w:rPr>
          <w:szCs w:val="24"/>
          <w:u w:val="single"/>
        </w:rPr>
        <w:t>ending the final</w:t>
      </w:r>
      <w:r w:rsidR="006314BD" w:rsidRPr="00AD0925">
        <w:rPr>
          <w:szCs w:val="24"/>
          <w:u w:val="single"/>
        </w:rPr>
        <w:t xml:space="preserve"> determination of the dispute.</w:t>
      </w:r>
      <w:r w:rsidR="006314BD" w:rsidRPr="00AD0925">
        <w:rPr>
          <w:szCs w:val="24"/>
        </w:rPr>
        <w:t>(emphasis mine)  Clearly, t</w:t>
      </w:r>
      <w:r w:rsidR="000B4EAE" w:rsidRPr="00AD0925">
        <w:rPr>
          <w:szCs w:val="24"/>
        </w:rPr>
        <w:t>h</w:t>
      </w:r>
      <w:r w:rsidR="006314BD" w:rsidRPr="00AD0925">
        <w:rPr>
          <w:szCs w:val="24"/>
        </w:rPr>
        <w:t>ese parties had a dispute that was pending finalisation and the interim relief was to suspend all mining activities pending the finalisation of the dispute between the parties.  The interim relief itself refers to a suspension of t</w:t>
      </w:r>
      <w:r w:rsidR="000B4EAE" w:rsidRPr="00AD0925">
        <w:rPr>
          <w:szCs w:val="24"/>
        </w:rPr>
        <w:t>h</w:t>
      </w:r>
      <w:r w:rsidR="006314BD" w:rsidRPr="00AD0925">
        <w:rPr>
          <w:szCs w:val="24"/>
        </w:rPr>
        <w:t>e mining activities meaning therefore that the intention is to suspend the activities pending the finalisation of a dispute that existed between the pa</w:t>
      </w:r>
      <w:r w:rsidR="000B4EAE" w:rsidRPr="00AD0925">
        <w:rPr>
          <w:szCs w:val="24"/>
        </w:rPr>
        <w:t>r</w:t>
      </w:r>
      <w:r w:rsidR="006314BD" w:rsidRPr="00AD0925">
        <w:rPr>
          <w:szCs w:val="24"/>
        </w:rPr>
        <w:t xml:space="preserve">ties.  Applicant does not speak of any dispute that exists between the parties that </w:t>
      </w:r>
      <w:r w:rsidR="000B4EAE" w:rsidRPr="00AD0925">
        <w:rPr>
          <w:szCs w:val="24"/>
        </w:rPr>
        <w:t>n</w:t>
      </w:r>
      <w:r w:rsidR="006314BD" w:rsidRPr="00AD0925">
        <w:rPr>
          <w:szCs w:val="24"/>
        </w:rPr>
        <w:t>eed resolution.  Applicant itsel</w:t>
      </w:r>
      <w:r w:rsidR="000B4EAE" w:rsidRPr="00AD0925">
        <w:rPr>
          <w:szCs w:val="24"/>
        </w:rPr>
        <w:t xml:space="preserve">f </w:t>
      </w:r>
      <w:r w:rsidR="006314BD" w:rsidRPr="00AD0925">
        <w:rPr>
          <w:szCs w:val="24"/>
        </w:rPr>
        <w:t>in the founding affidavit states that all that is needed is for respondents to seek permission before visiting, not that t</w:t>
      </w:r>
      <w:r w:rsidR="000B4EAE" w:rsidRPr="00AD0925">
        <w:rPr>
          <w:szCs w:val="24"/>
        </w:rPr>
        <w:t>h</w:t>
      </w:r>
      <w:r w:rsidR="006314BD" w:rsidRPr="00AD0925">
        <w:rPr>
          <w:szCs w:val="24"/>
        </w:rPr>
        <w:t xml:space="preserve">ere is some dispute pending before the parties that this court would </w:t>
      </w:r>
      <w:r w:rsidR="000B4EAE" w:rsidRPr="00AD0925">
        <w:rPr>
          <w:szCs w:val="24"/>
        </w:rPr>
        <w:t>l</w:t>
      </w:r>
      <w:r w:rsidR="006314BD" w:rsidRPr="00AD0925">
        <w:rPr>
          <w:szCs w:val="24"/>
        </w:rPr>
        <w:t>ater resolve.</w:t>
      </w:r>
    </w:p>
    <w:p w:rsidR="006314BD" w:rsidRPr="00AD0925" w:rsidRDefault="006314BD" w:rsidP="008C038E">
      <w:pPr>
        <w:ind w:firstLine="720"/>
        <w:jc w:val="both"/>
        <w:rPr>
          <w:szCs w:val="24"/>
        </w:rPr>
      </w:pPr>
      <w:r w:rsidRPr="00AD0925">
        <w:rPr>
          <w:szCs w:val="24"/>
        </w:rPr>
        <w:t>T</w:t>
      </w:r>
      <w:r w:rsidR="000B4EAE" w:rsidRPr="00AD0925">
        <w:rPr>
          <w:szCs w:val="24"/>
        </w:rPr>
        <w:t>h</w:t>
      </w:r>
      <w:r w:rsidRPr="00AD0925">
        <w:rPr>
          <w:szCs w:val="24"/>
        </w:rPr>
        <w:t>e cited Sup</w:t>
      </w:r>
      <w:r w:rsidR="000B4EAE" w:rsidRPr="00AD0925">
        <w:rPr>
          <w:szCs w:val="24"/>
        </w:rPr>
        <w:t>r</w:t>
      </w:r>
      <w:r w:rsidRPr="00AD0925">
        <w:rPr>
          <w:szCs w:val="24"/>
        </w:rPr>
        <w:t xml:space="preserve">eme Court case therefore does not apply here as I have shown.  The relief sought here is incompetent and the cited case does not state that such relief is competent.  The other point </w:t>
      </w:r>
      <w:r w:rsidRPr="00AD0925">
        <w:rPr>
          <w:i/>
          <w:szCs w:val="24"/>
        </w:rPr>
        <w:t>in limine</w:t>
      </w:r>
      <w:r w:rsidRPr="00AD0925">
        <w:rPr>
          <w:szCs w:val="24"/>
        </w:rPr>
        <w:t xml:space="preserve"> on the </w:t>
      </w:r>
      <w:r w:rsidR="00112854">
        <w:rPr>
          <w:szCs w:val="24"/>
        </w:rPr>
        <w:t>similarities</w:t>
      </w:r>
      <w:r w:rsidRPr="00AD0925">
        <w:rPr>
          <w:szCs w:val="24"/>
        </w:rPr>
        <w:t xml:space="preserve"> of the </w:t>
      </w:r>
      <w:r w:rsidR="00112854">
        <w:rPr>
          <w:szCs w:val="24"/>
        </w:rPr>
        <w:t xml:space="preserve">interim and final </w:t>
      </w:r>
      <w:r w:rsidRPr="00AD0925">
        <w:rPr>
          <w:szCs w:val="24"/>
        </w:rPr>
        <w:t>relief succeeds for the</w:t>
      </w:r>
      <w:r w:rsidR="006F3C1E" w:rsidRPr="00AD0925">
        <w:rPr>
          <w:szCs w:val="24"/>
        </w:rPr>
        <w:t xml:space="preserve"> same </w:t>
      </w:r>
      <w:r w:rsidR="00112854">
        <w:rPr>
          <w:szCs w:val="24"/>
        </w:rPr>
        <w:t>r</w:t>
      </w:r>
      <w:r w:rsidR="006F3C1E" w:rsidRPr="00AD0925">
        <w:rPr>
          <w:szCs w:val="24"/>
        </w:rPr>
        <w:t>eas</w:t>
      </w:r>
      <w:r w:rsidR="00112854">
        <w:rPr>
          <w:szCs w:val="24"/>
        </w:rPr>
        <w:t>on</w:t>
      </w:r>
      <w:r w:rsidR="006F3C1E" w:rsidRPr="00AD0925">
        <w:rPr>
          <w:szCs w:val="24"/>
        </w:rPr>
        <w:t xml:space="preserve"> a</w:t>
      </w:r>
      <w:r w:rsidR="00112854">
        <w:rPr>
          <w:szCs w:val="24"/>
        </w:rPr>
        <w:t>s</w:t>
      </w:r>
      <w:r w:rsidR="006F3C1E" w:rsidRPr="00AD0925">
        <w:rPr>
          <w:szCs w:val="24"/>
        </w:rPr>
        <w:t xml:space="preserve"> </w:t>
      </w:r>
      <w:r w:rsidR="000B4EAE" w:rsidRPr="00AD0925">
        <w:rPr>
          <w:szCs w:val="24"/>
        </w:rPr>
        <w:t>t</w:t>
      </w:r>
      <w:r w:rsidR="006F3C1E" w:rsidRPr="00AD0925">
        <w:rPr>
          <w:szCs w:val="24"/>
        </w:rPr>
        <w:t xml:space="preserve">he first point.  The point </w:t>
      </w:r>
      <w:r w:rsidR="006F3C1E" w:rsidRPr="00AD0925">
        <w:rPr>
          <w:i/>
          <w:szCs w:val="24"/>
        </w:rPr>
        <w:t>in limine</w:t>
      </w:r>
      <w:r w:rsidR="006F3C1E" w:rsidRPr="00AD0925">
        <w:rPr>
          <w:szCs w:val="24"/>
        </w:rPr>
        <w:t xml:space="preserve"> relating to the application containing </w:t>
      </w:r>
      <w:r w:rsidR="00112854">
        <w:rPr>
          <w:szCs w:val="24"/>
        </w:rPr>
        <w:t>hearsay</w:t>
      </w:r>
      <w:r w:rsidR="006F3C1E" w:rsidRPr="00AD0925">
        <w:rPr>
          <w:szCs w:val="24"/>
        </w:rPr>
        <w:t xml:space="preserve"> evidence i</w:t>
      </w:r>
      <w:r w:rsidR="00112854">
        <w:rPr>
          <w:szCs w:val="24"/>
        </w:rPr>
        <w:t>s a point that needs</w:t>
      </w:r>
      <w:r w:rsidR="006F3C1E" w:rsidRPr="00AD0925">
        <w:rPr>
          <w:szCs w:val="24"/>
        </w:rPr>
        <w:t xml:space="preserve"> to be dealt with on the merits in my view.  I will therefore not address th</w:t>
      </w:r>
      <w:r w:rsidR="000B4EAE" w:rsidRPr="00AD0925">
        <w:rPr>
          <w:szCs w:val="24"/>
        </w:rPr>
        <w:t>a</w:t>
      </w:r>
      <w:r w:rsidR="006F3C1E" w:rsidRPr="00AD0925">
        <w:rPr>
          <w:szCs w:val="24"/>
        </w:rPr>
        <w:t xml:space="preserve">t part </w:t>
      </w:r>
      <w:r w:rsidR="000B4EAE" w:rsidRPr="00AD0925">
        <w:rPr>
          <w:szCs w:val="24"/>
        </w:rPr>
        <w:t>h</w:t>
      </w:r>
      <w:r w:rsidR="006F3C1E" w:rsidRPr="00AD0925">
        <w:rPr>
          <w:szCs w:val="24"/>
        </w:rPr>
        <w:t xml:space="preserve">erein.  It is for these reasons that I </w:t>
      </w:r>
      <w:r w:rsidR="00112854">
        <w:rPr>
          <w:szCs w:val="24"/>
        </w:rPr>
        <w:t>up</w:t>
      </w:r>
      <w:r w:rsidR="006F3C1E" w:rsidRPr="00AD0925">
        <w:rPr>
          <w:szCs w:val="24"/>
        </w:rPr>
        <w:t xml:space="preserve">hold the 2 points raised </w:t>
      </w:r>
      <w:r w:rsidR="006F3C1E" w:rsidRPr="00AD0925">
        <w:rPr>
          <w:i/>
          <w:szCs w:val="24"/>
        </w:rPr>
        <w:t>in limine</w:t>
      </w:r>
      <w:r w:rsidR="006F3C1E" w:rsidRPr="00AD0925">
        <w:rPr>
          <w:szCs w:val="24"/>
        </w:rPr>
        <w:t xml:space="preserve"> by the respondents and consequently the application fails for these reasons.</w:t>
      </w:r>
    </w:p>
    <w:p w:rsidR="006F3C1E" w:rsidRPr="00AD0925" w:rsidRDefault="006F3C1E" w:rsidP="008C038E">
      <w:pPr>
        <w:ind w:firstLine="720"/>
        <w:jc w:val="both"/>
        <w:rPr>
          <w:szCs w:val="24"/>
        </w:rPr>
      </w:pPr>
      <w:r w:rsidRPr="00AD0925">
        <w:rPr>
          <w:szCs w:val="24"/>
        </w:rPr>
        <w:t>I accordingly dismiss the application with costs.</w:t>
      </w:r>
    </w:p>
    <w:p w:rsidR="00901A13" w:rsidRPr="00AD0925" w:rsidRDefault="00901A13" w:rsidP="008C038E">
      <w:pPr>
        <w:jc w:val="both"/>
        <w:rPr>
          <w:b/>
          <w:szCs w:val="24"/>
        </w:rPr>
      </w:pPr>
    </w:p>
    <w:p w:rsidR="008C038E" w:rsidRPr="00AD0925" w:rsidRDefault="008C038E" w:rsidP="008C038E">
      <w:pPr>
        <w:jc w:val="both"/>
        <w:rPr>
          <w:b/>
          <w:szCs w:val="24"/>
        </w:rPr>
      </w:pPr>
    </w:p>
    <w:p w:rsidR="00901A13" w:rsidRPr="00AD0925" w:rsidRDefault="006F3C1E" w:rsidP="008C038E">
      <w:pPr>
        <w:pStyle w:val="NoSpacing"/>
        <w:jc w:val="both"/>
        <w:rPr>
          <w:szCs w:val="24"/>
        </w:rPr>
      </w:pPr>
      <w:r w:rsidRPr="00AD0925">
        <w:rPr>
          <w:i/>
          <w:szCs w:val="24"/>
        </w:rPr>
        <w:t>Messrs Calderwood, Bryce Hendrie &amp; P</w:t>
      </w:r>
      <w:r w:rsidR="000B4EAE" w:rsidRPr="00AD0925">
        <w:rPr>
          <w:i/>
          <w:szCs w:val="24"/>
        </w:rPr>
        <w:t>a</w:t>
      </w:r>
      <w:r w:rsidRPr="00AD0925">
        <w:rPr>
          <w:i/>
          <w:szCs w:val="24"/>
        </w:rPr>
        <w:t>rtners</w:t>
      </w:r>
      <w:r w:rsidRPr="00AD0925">
        <w:rPr>
          <w:szCs w:val="24"/>
        </w:rPr>
        <w:t>, applicant’s legal practitioners</w:t>
      </w:r>
    </w:p>
    <w:p w:rsidR="006F3C1E" w:rsidRPr="00AD0925" w:rsidRDefault="006F3C1E" w:rsidP="008C038E">
      <w:pPr>
        <w:pStyle w:val="NoSpacing"/>
        <w:jc w:val="both"/>
        <w:rPr>
          <w:szCs w:val="24"/>
        </w:rPr>
      </w:pPr>
      <w:r w:rsidRPr="00AD0925">
        <w:rPr>
          <w:i/>
          <w:szCs w:val="24"/>
        </w:rPr>
        <w:t>Nyahuma’s Law Golden Stars Chambers,</w:t>
      </w:r>
      <w:r w:rsidRPr="00AD0925">
        <w:rPr>
          <w:szCs w:val="24"/>
        </w:rPr>
        <w:t xml:space="preserve"> respondent’s legal practitioners</w:t>
      </w:r>
    </w:p>
    <w:sectPr w:rsidR="006F3C1E" w:rsidRPr="00AD0925"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C4C" w:rsidRDefault="00FA6C4C" w:rsidP="006F3C1E">
      <w:pPr>
        <w:spacing w:before="0" w:after="0" w:line="240" w:lineRule="auto"/>
      </w:pPr>
      <w:r>
        <w:separator/>
      </w:r>
    </w:p>
  </w:endnote>
  <w:endnote w:type="continuationSeparator" w:id="1">
    <w:p w:rsidR="00FA6C4C" w:rsidRDefault="00FA6C4C" w:rsidP="006F3C1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C4C" w:rsidRDefault="00FA6C4C" w:rsidP="006F3C1E">
      <w:pPr>
        <w:spacing w:before="0" w:after="0" w:line="240" w:lineRule="auto"/>
      </w:pPr>
      <w:r>
        <w:separator/>
      </w:r>
    </w:p>
  </w:footnote>
  <w:footnote w:type="continuationSeparator" w:id="1">
    <w:p w:rsidR="00FA6C4C" w:rsidRDefault="00FA6C4C" w:rsidP="006F3C1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6938"/>
      <w:docPartObj>
        <w:docPartGallery w:val="Page Numbers (Top of Page)"/>
        <w:docPartUnique/>
      </w:docPartObj>
    </w:sdtPr>
    <w:sdtContent>
      <w:p w:rsidR="006F3C1E" w:rsidRDefault="00947267">
        <w:pPr>
          <w:pStyle w:val="Header"/>
          <w:jc w:val="right"/>
        </w:pPr>
        <w:fldSimple w:instr=" PAGE   \* MERGEFORMAT ">
          <w:r w:rsidR="00CB7788">
            <w:rPr>
              <w:noProof/>
            </w:rPr>
            <w:t>1</w:t>
          </w:r>
        </w:fldSimple>
      </w:p>
      <w:p w:rsidR="006F3C1E" w:rsidRDefault="006F3C1E" w:rsidP="006F3C1E">
        <w:pPr>
          <w:pStyle w:val="NoSpacing"/>
          <w:ind w:left="7920"/>
        </w:pPr>
        <w:r>
          <w:t xml:space="preserve">      HB 147.19</w:t>
        </w:r>
      </w:p>
      <w:p w:rsidR="006F3C1E" w:rsidRDefault="006F3C1E" w:rsidP="006F3C1E">
        <w:pPr>
          <w:pStyle w:val="NoSpacing"/>
          <w:ind w:left="7920"/>
        </w:pPr>
        <w:r>
          <w:t xml:space="preserve">    HC 2114/19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BF2D9F"/>
    <w:multiLevelType w:val="hybridMultilevel"/>
    <w:tmpl w:val="5D4475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01A13"/>
    <w:rsid w:val="000A6123"/>
    <w:rsid w:val="000B4EAE"/>
    <w:rsid w:val="000F6EBF"/>
    <w:rsid w:val="00112854"/>
    <w:rsid w:val="00154369"/>
    <w:rsid w:val="001D126B"/>
    <w:rsid w:val="002C7F8A"/>
    <w:rsid w:val="003058E4"/>
    <w:rsid w:val="00341B04"/>
    <w:rsid w:val="003A3365"/>
    <w:rsid w:val="003C7F85"/>
    <w:rsid w:val="003E5BAA"/>
    <w:rsid w:val="00410C74"/>
    <w:rsid w:val="00477B02"/>
    <w:rsid w:val="00502D30"/>
    <w:rsid w:val="0054317D"/>
    <w:rsid w:val="005C4A69"/>
    <w:rsid w:val="005D7F5C"/>
    <w:rsid w:val="005F34C5"/>
    <w:rsid w:val="006314BD"/>
    <w:rsid w:val="00645891"/>
    <w:rsid w:val="0068662E"/>
    <w:rsid w:val="006A03C9"/>
    <w:rsid w:val="006F3C1E"/>
    <w:rsid w:val="00701C30"/>
    <w:rsid w:val="007B49A6"/>
    <w:rsid w:val="007D0B26"/>
    <w:rsid w:val="007D2790"/>
    <w:rsid w:val="008A7672"/>
    <w:rsid w:val="008C038E"/>
    <w:rsid w:val="008C3209"/>
    <w:rsid w:val="00901A13"/>
    <w:rsid w:val="00947267"/>
    <w:rsid w:val="009E5C1A"/>
    <w:rsid w:val="00A42709"/>
    <w:rsid w:val="00A50BC8"/>
    <w:rsid w:val="00AD0925"/>
    <w:rsid w:val="00AF1B65"/>
    <w:rsid w:val="00AF2330"/>
    <w:rsid w:val="00B45105"/>
    <w:rsid w:val="00BB145F"/>
    <w:rsid w:val="00C61900"/>
    <w:rsid w:val="00CB7788"/>
    <w:rsid w:val="00D20B4C"/>
    <w:rsid w:val="00DD7618"/>
    <w:rsid w:val="00E10C27"/>
    <w:rsid w:val="00F542CE"/>
    <w:rsid w:val="00FA0772"/>
    <w:rsid w:val="00FA6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6F3C1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F3C1E"/>
    <w:rPr>
      <w:rFonts w:ascii="Times New Roman" w:hAnsi="Times New Roman"/>
      <w:sz w:val="24"/>
    </w:rPr>
  </w:style>
  <w:style w:type="paragraph" w:styleId="Footer">
    <w:name w:val="footer"/>
    <w:basedOn w:val="Normal"/>
    <w:link w:val="FooterChar"/>
    <w:uiPriority w:val="99"/>
    <w:semiHidden/>
    <w:unhideWhenUsed/>
    <w:rsid w:val="006F3C1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6F3C1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12</cp:revision>
  <cp:lastPrinted>2019-10-09T11:03:00Z</cp:lastPrinted>
  <dcterms:created xsi:type="dcterms:W3CDTF">2019-09-26T12:37:00Z</dcterms:created>
  <dcterms:modified xsi:type="dcterms:W3CDTF">2019-10-09T11:28:00Z</dcterms:modified>
</cp:coreProperties>
</file>