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5D" w:rsidRDefault="00656BD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CLEMENT K CHIMUTI</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MEIZON PETROLIUM (PVT) LTD</w:t>
      </w:r>
    </w:p>
    <w:p w:rsidR="0017555D" w:rsidRDefault="0017555D">
      <w:pPr>
        <w:spacing w:after="0" w:line="240" w:lineRule="auto"/>
        <w:rPr>
          <w:rFonts w:ascii="Times New Roman" w:hAnsi="Times New Roman" w:cs="Times New Roman"/>
          <w:sz w:val="24"/>
          <w:szCs w:val="24"/>
        </w:rPr>
      </w:pP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sz w:val="24"/>
          <w:szCs w:val="24"/>
        </w:rPr>
        <w:t>HARARE, 22 February, 11, 12, 25, 26 March, 4 June 2024 &amp; 11 March 2025</w:t>
      </w:r>
    </w:p>
    <w:p w:rsidR="0017555D" w:rsidRDefault="0017555D">
      <w:pPr>
        <w:spacing w:after="0" w:line="240" w:lineRule="auto"/>
        <w:rPr>
          <w:rFonts w:ascii="Times New Roman" w:hAnsi="Times New Roman" w:cs="Times New Roman"/>
          <w:b/>
          <w:sz w:val="24"/>
          <w:szCs w:val="24"/>
        </w:rPr>
      </w:pPr>
    </w:p>
    <w:p w:rsidR="0017555D" w:rsidRDefault="00656BD3">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17555D" w:rsidRDefault="0017555D">
      <w:pPr>
        <w:spacing w:after="0" w:line="240" w:lineRule="auto"/>
        <w:jc w:val="both"/>
        <w:rPr>
          <w:rFonts w:ascii="Times New Roman" w:hAnsi="Times New Roman" w:cs="Times New Roman"/>
          <w:sz w:val="24"/>
          <w:szCs w:val="24"/>
        </w:rPr>
      </w:pPr>
    </w:p>
    <w:p w:rsidR="0017555D" w:rsidRDefault="00656BD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Muchadehama</w:t>
      </w:r>
      <w:r>
        <w:rPr>
          <w:rFonts w:ascii="Times New Roman" w:hAnsi="Times New Roman" w:cs="Times New Roman"/>
          <w:sz w:val="24"/>
          <w:szCs w:val="24"/>
        </w:rPr>
        <w:t>, for the plaintiff</w:t>
      </w:r>
    </w:p>
    <w:p w:rsidR="0017555D" w:rsidRDefault="00656BD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Chimusaru</w:t>
      </w:r>
      <w:r>
        <w:rPr>
          <w:rFonts w:ascii="Times New Roman" w:hAnsi="Times New Roman" w:cs="Times New Roman"/>
          <w:sz w:val="24"/>
          <w:szCs w:val="24"/>
        </w:rPr>
        <w:t xml:space="preserve">, for the </w:t>
      </w:r>
      <w:r>
        <w:rPr>
          <w:rFonts w:ascii="Times New Roman" w:hAnsi="Times New Roman" w:cs="Times New Roman"/>
          <w:sz w:val="24"/>
          <w:szCs w:val="24"/>
        </w:rPr>
        <w:t>defendant</w:t>
      </w:r>
    </w:p>
    <w:p w:rsidR="0017555D" w:rsidRDefault="0017555D">
      <w:pPr>
        <w:spacing w:after="0" w:line="240" w:lineRule="auto"/>
        <w:jc w:val="both"/>
        <w:rPr>
          <w:rFonts w:ascii="Times New Roman" w:hAnsi="Times New Roman" w:cs="Times New Roman"/>
          <w:sz w:val="24"/>
          <w:szCs w:val="24"/>
        </w:rPr>
      </w:pPr>
    </w:p>
    <w:p w:rsidR="0017555D" w:rsidRDefault="0017555D">
      <w:pPr>
        <w:spacing w:after="0" w:line="240" w:lineRule="auto"/>
        <w:jc w:val="both"/>
        <w:rPr>
          <w:rFonts w:ascii="Times New Roman" w:hAnsi="Times New Roman" w:cs="Times New Roman"/>
          <w:sz w:val="24"/>
          <w:szCs w:val="24"/>
        </w:rPr>
      </w:pPr>
    </w:p>
    <w:p w:rsidR="0017555D" w:rsidRDefault="00656B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17555D" w:rsidRDefault="0017555D">
      <w:pPr>
        <w:autoSpaceDE w:val="0"/>
        <w:autoSpaceDN w:val="0"/>
        <w:adjustRightInd w:val="0"/>
        <w:spacing w:after="0" w:line="240" w:lineRule="auto"/>
        <w:rPr>
          <w:rFonts w:ascii="Times New Roman" w:hAnsi="Times New Roman" w:cs="Times New Roman"/>
          <w:sz w:val="24"/>
          <w:szCs w:val="24"/>
        </w:rPr>
      </w:pPr>
    </w:p>
    <w:p w:rsidR="0017555D" w:rsidRDefault="00656BD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17555D" w:rsidRDefault="00656BD3">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sued the defendant essentially seeking an order, to confirm cancellation of an agreement between the parties, for the eviction of the defendant from stand 2030 of stand 61 Machipisa Complex, Zvisha</w:t>
      </w:r>
      <w:r>
        <w:rPr>
          <w:rFonts w:ascii="Times New Roman" w:hAnsi="Times New Roman" w:cs="Times New Roman"/>
          <w:sz w:val="24"/>
          <w:szCs w:val="24"/>
          <w:lang w:val="en-US"/>
        </w:rPr>
        <w:t>v</w:t>
      </w:r>
      <w:r>
        <w:rPr>
          <w:rFonts w:ascii="Times New Roman" w:hAnsi="Times New Roman" w:cs="Times New Roman"/>
          <w:sz w:val="24"/>
          <w:szCs w:val="24"/>
        </w:rPr>
        <w:t>ane, f</w:t>
      </w:r>
      <w:r>
        <w:rPr>
          <w:rFonts w:ascii="Times New Roman" w:hAnsi="Times New Roman" w:cs="Times New Roman"/>
          <w:sz w:val="24"/>
          <w:szCs w:val="24"/>
        </w:rPr>
        <w:t>or damages and interest thereon and costs of suit</w:t>
      </w:r>
      <w:r>
        <w:rPr>
          <w:rFonts w:ascii="Times New Roman" w:hAnsi="Times New Roman" w:cs="Times New Roman"/>
          <w:sz w:val="24"/>
          <w:szCs w:val="24"/>
          <w:lang w:val="en-US"/>
        </w:rPr>
        <w:t>.</w:t>
      </w:r>
    </w:p>
    <w:p w:rsidR="0017555D" w:rsidRDefault="00656BD3">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has put up a fight and defended the action seeking for the dismissal of the plaintiff’s claim with costs.</w:t>
      </w:r>
    </w:p>
    <w:p w:rsidR="0017555D" w:rsidRDefault="00656BD3">
      <w:pPr>
        <w:pStyle w:val="ListParagraph"/>
        <w:numPr>
          <w:ilvl w:val="0"/>
          <w:numId w:val="1"/>
        </w:numPr>
        <w:autoSpaceDE w:val="0"/>
        <w:autoSpaceDN w:val="0"/>
        <w:adjustRightInd w:val="0"/>
        <w:spacing w:after="0" w:line="360" w:lineRule="auto"/>
        <w:jc w:val="both"/>
      </w:pPr>
      <w:r>
        <w:rPr>
          <w:rFonts w:ascii="Times New Roman" w:hAnsi="Times New Roman" w:cs="Times New Roman"/>
          <w:sz w:val="24"/>
          <w:szCs w:val="24"/>
        </w:rPr>
        <w:t>BACKGROUND</w:t>
      </w:r>
    </w:p>
    <w:p w:rsidR="0017555D" w:rsidRDefault="00656BD3">
      <w:pPr>
        <w:pStyle w:val="ListParagraph"/>
        <w:numPr>
          <w:ilvl w:val="0"/>
          <w:numId w:val="2"/>
        </w:numPr>
        <w:autoSpaceDE w:val="0"/>
        <w:autoSpaceDN w:val="0"/>
        <w:adjustRightInd w:val="0"/>
        <w:spacing w:after="0" w:line="360" w:lineRule="auto"/>
        <w:jc w:val="both"/>
        <w:rPr>
          <w:rFonts w:ascii="Arial" w:hAnsi="Arial" w:cs="Arial"/>
          <w:color w:val="000000"/>
          <w:sz w:val="29"/>
          <w:szCs w:val="29"/>
        </w:rPr>
      </w:pPr>
      <w:r>
        <w:rPr>
          <w:rFonts w:ascii="Times New Roman" w:hAnsi="Times New Roman" w:cs="Times New Roman"/>
          <w:color w:val="000000"/>
          <w:sz w:val="24"/>
          <w:szCs w:val="24"/>
        </w:rPr>
        <w:t xml:space="preserve">On the 1st of January 2020, the parties signed a 20 year agreement headed “Notarial Deed of Lease (Commercial)” Clause 2.1 of the said agreement stated that the lease shall be on a Build, Operate and Transfer basis. </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material terms of the agreement wer</w:t>
      </w:r>
      <w:r>
        <w:rPr>
          <w:rFonts w:ascii="Times New Roman" w:hAnsi="Times New Roman" w:cs="Times New Roman"/>
          <w:sz w:val="24"/>
          <w:szCs w:val="24"/>
        </w:rPr>
        <w:t>e that:</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plaintiff will provide land upon which the defendant will set up a service station.</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The estimated investment was USD 120 000.00. </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Rentals were pegged at USD500.00 per month and the defendant was to recover the investment within the first 10 y</w:t>
      </w:r>
      <w:r>
        <w:rPr>
          <w:rFonts w:ascii="Times New Roman" w:hAnsi="Times New Roman" w:cs="Times New Roman"/>
          <w:sz w:val="24"/>
          <w:szCs w:val="24"/>
        </w:rPr>
        <w:t xml:space="preserve">ears without paying rentals. </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remainder of 10 years, rentals would be agreed between the parties. </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parties agreed that the defendant ought to have recouped its investment in the first 10 years. </w:t>
      </w:r>
    </w:p>
    <w:p w:rsidR="0017555D" w:rsidRDefault="00656BD3">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en-US"/>
        </w:rPr>
        <w:t>A</w:t>
      </w:r>
      <w:r>
        <w:rPr>
          <w:rFonts w:ascii="Times New Roman" w:hAnsi="Times New Roman" w:cs="Times New Roman"/>
          <w:sz w:val="24"/>
          <w:szCs w:val="24"/>
        </w:rPr>
        <w:t xml:space="preserve">fter the expiry of the first 10 years the </w:t>
      </w:r>
      <w:r>
        <w:rPr>
          <w:rFonts w:ascii="Times New Roman" w:hAnsi="Times New Roman" w:cs="Times New Roman"/>
          <w:sz w:val="24"/>
          <w:szCs w:val="24"/>
        </w:rPr>
        <w:t>developments made by the defendant would be transferred to the plaintiff as his sole and exclusive property.</w:t>
      </w:r>
    </w:p>
    <w:p w:rsidR="0017555D" w:rsidRDefault="00656BD3">
      <w:pPr>
        <w:pStyle w:val="Default"/>
        <w:numPr>
          <w:ilvl w:val="0"/>
          <w:numId w:val="2"/>
        </w:numPr>
        <w:spacing w:line="360" w:lineRule="auto"/>
        <w:jc w:val="both"/>
        <w:rPr>
          <w:rFonts w:ascii="Arial" w:hAnsi="Arial" w:cs="Arial"/>
        </w:rPr>
      </w:pPr>
      <w:r>
        <w:t>After signing the agreement, the defendant moved onto the premise to commence construction of the service station. The service station was setup an</w:t>
      </w:r>
      <w:r>
        <w:t>d it began trading.</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 4 February 2022 and 11 May 2023 plaintiff wrote to the defendant </w:t>
      </w:r>
      <w:r>
        <w:rPr>
          <w:rFonts w:ascii="Times New Roman" w:hAnsi="Times New Roman" w:cs="Times New Roman"/>
          <w:color w:val="000000"/>
          <w:sz w:val="24"/>
          <w:szCs w:val="24"/>
          <w:lang w:val="en-US"/>
        </w:rPr>
        <w:t>canceling</w:t>
      </w:r>
      <w:r>
        <w:rPr>
          <w:rFonts w:ascii="Times New Roman" w:hAnsi="Times New Roman" w:cs="Times New Roman"/>
          <w:color w:val="000000"/>
          <w:sz w:val="24"/>
          <w:szCs w:val="24"/>
        </w:rPr>
        <w:t xml:space="preserve"> the agreement alleging certain breaches by the defendant</w:t>
      </w:r>
      <w:r>
        <w:rPr>
          <w:rFonts w:ascii="Arial" w:hAnsi="Arial" w:cs="Arial"/>
          <w:color w:val="000000"/>
          <w:sz w:val="29"/>
          <w:szCs w:val="29"/>
        </w:rPr>
        <w:t>.</w:t>
      </w:r>
      <w:r>
        <w:rPr>
          <w:rFonts w:ascii="Times New Roman" w:hAnsi="Times New Roman" w:cs="Times New Roman"/>
          <w:color w:val="000000"/>
          <w:sz w:val="24"/>
          <w:szCs w:val="24"/>
        </w:rPr>
        <w:t xml:space="preserve"> </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The defendant said,  two years after signing the contract, the plaintiff made certain demands outsi</w:t>
      </w:r>
      <w:r>
        <w:rPr>
          <w:rFonts w:ascii="Times New Roman" w:hAnsi="Times New Roman" w:cs="Times New Roman"/>
          <w:sz w:val="24"/>
          <w:szCs w:val="24"/>
        </w:rPr>
        <w:t>de the agreement and the defendant filed an application for an interdict under HCHC382/23.</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this action, plaintiff seeks confirmation of the cancellation of the agreement entered into by the parties on 1 January 2020 and an order ejecting defendant and a</w:t>
      </w:r>
      <w:r>
        <w:rPr>
          <w:rFonts w:ascii="Times New Roman" w:hAnsi="Times New Roman" w:cs="Times New Roman"/>
          <w:color w:val="000000"/>
          <w:sz w:val="24"/>
          <w:szCs w:val="24"/>
        </w:rPr>
        <w:t xml:space="preserve">ll those claiming occupation through it from the premises. </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addition, plaintiff seeks an amount of US$19 450.00 as damages together with interest thereon at the prescribed rate from the date of service of summons upon defendant.</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main basis of plaint</w:t>
      </w:r>
      <w:r>
        <w:rPr>
          <w:rFonts w:ascii="Times New Roman" w:hAnsi="Times New Roman" w:cs="Times New Roman"/>
          <w:color w:val="000000"/>
          <w:sz w:val="24"/>
          <w:szCs w:val="24"/>
        </w:rPr>
        <w:t>iff’s claim is that the agreement was entered into by mistake common to both parties. Further and in any event, the defendant breached the terms of the agreement, such breach, going to the root of the contract entitling the plaintiff to cancel the agreemen</w:t>
      </w:r>
      <w:r>
        <w:rPr>
          <w:rFonts w:ascii="Times New Roman" w:hAnsi="Times New Roman" w:cs="Times New Roman"/>
          <w:color w:val="000000"/>
          <w:sz w:val="24"/>
          <w:szCs w:val="24"/>
        </w:rPr>
        <w:t xml:space="preserve">t. </w:t>
      </w:r>
    </w:p>
    <w:p w:rsidR="0017555D" w:rsidRDefault="00656BD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t xml:space="preserve"> </w:t>
      </w:r>
      <w:r>
        <w:rPr>
          <w:rFonts w:ascii="Times New Roman" w:hAnsi="Times New Roman" w:cs="Times New Roman"/>
          <w:sz w:val="24"/>
          <w:szCs w:val="24"/>
        </w:rPr>
        <w:t>The defendant rejects both allegations as false, baseless and malicious</w:t>
      </w:r>
      <w:r>
        <w:rPr>
          <w:rFonts w:ascii="Times New Roman" w:hAnsi="Times New Roman" w:cs="Times New Roman"/>
          <w:color w:val="000000"/>
          <w:sz w:val="24"/>
          <w:szCs w:val="24"/>
        </w:rPr>
        <w:t xml:space="preserve"> and insists on the validity of the agreement and its implementation.</w:t>
      </w:r>
    </w:p>
    <w:p w:rsidR="0017555D" w:rsidRDefault="0017555D">
      <w:pPr>
        <w:autoSpaceDE w:val="0"/>
        <w:autoSpaceDN w:val="0"/>
        <w:adjustRightInd w:val="0"/>
        <w:spacing w:after="0" w:line="360" w:lineRule="auto"/>
        <w:jc w:val="both"/>
        <w:rPr>
          <w:rFonts w:ascii="Times New Roman" w:hAnsi="Times New Roman" w:cs="Times New Roman"/>
          <w:sz w:val="24"/>
          <w:szCs w:val="24"/>
        </w:rPr>
      </w:pPr>
    </w:p>
    <w:p w:rsidR="0017555D" w:rsidRDefault="00656BD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agreed that the following were the issues to be resolved by the court at trial;</w:t>
      </w:r>
    </w:p>
    <w:p w:rsidR="0017555D" w:rsidRDefault="00656BD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w:t>
      </w:r>
      <w:r>
        <w:rPr>
          <w:rFonts w:ascii="Times New Roman" w:hAnsi="Times New Roman" w:cs="Times New Roman"/>
          <w:sz w:val="24"/>
          <w:szCs w:val="24"/>
        </w:rPr>
        <w:t xml:space="preserve"> not the parties were ad idem when they entered into the contract or whether or not there was a mistake common to the parties.</w:t>
      </w:r>
    </w:p>
    <w:p w:rsidR="0017555D" w:rsidRDefault="00656BD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parties entered into a lease agreement or a build-operate and transfer agreement. </w:t>
      </w:r>
    </w:p>
    <w:p w:rsidR="0017555D" w:rsidRDefault="00656BD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contract between the</w:t>
      </w:r>
      <w:r>
        <w:rPr>
          <w:rFonts w:ascii="Times New Roman" w:hAnsi="Times New Roman" w:cs="Times New Roman"/>
          <w:sz w:val="24"/>
          <w:szCs w:val="24"/>
        </w:rPr>
        <w:t xml:space="preserve"> parties is valid, whether or not the Defendant breached the agreement and if so in what respect.</w:t>
      </w:r>
    </w:p>
    <w:p w:rsidR="0017555D" w:rsidRDefault="00656BD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is/was entitled to cancel the agreement.</w:t>
      </w:r>
    </w:p>
    <w:p w:rsidR="0017555D" w:rsidRDefault="0017555D">
      <w:pPr>
        <w:pStyle w:val="ListParagraph"/>
        <w:autoSpaceDE w:val="0"/>
        <w:autoSpaceDN w:val="0"/>
        <w:adjustRightInd w:val="0"/>
        <w:spacing w:after="0" w:line="360" w:lineRule="auto"/>
        <w:jc w:val="both"/>
        <w:rPr>
          <w:rFonts w:ascii="Times New Roman" w:hAnsi="Times New Roman" w:cs="Times New Roman"/>
          <w:sz w:val="24"/>
          <w:szCs w:val="24"/>
        </w:rPr>
      </w:pPr>
    </w:p>
    <w:p w:rsidR="0017555D" w:rsidRDefault="00656BD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Plaintiff is entitled to the reliefs sought or any other reliefs.</w:t>
      </w:r>
    </w:p>
    <w:p w:rsidR="0017555D" w:rsidRDefault="0017555D">
      <w:pPr>
        <w:autoSpaceDE w:val="0"/>
        <w:autoSpaceDN w:val="0"/>
        <w:adjustRightInd w:val="0"/>
        <w:spacing w:after="0" w:line="360" w:lineRule="auto"/>
        <w:jc w:val="both"/>
        <w:rPr>
          <w:rFonts w:ascii="Times New Roman" w:hAnsi="Times New Roman" w:cs="Times New Roman"/>
          <w:sz w:val="24"/>
          <w:szCs w:val="24"/>
        </w:rPr>
      </w:pPr>
    </w:p>
    <w:p w:rsidR="0017555D" w:rsidRDefault="00656B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EVIDE</w:t>
      </w:r>
      <w:r>
        <w:rPr>
          <w:rFonts w:ascii="Times New Roman" w:hAnsi="Times New Roman" w:cs="Times New Roman"/>
          <w:sz w:val="24"/>
          <w:szCs w:val="24"/>
        </w:rPr>
        <w:t xml:space="preserve">NCE </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in his case and called the evidence of his daughter Victoria Tinotenda. Both their evidence was lengthy and I will not reproduce all of it other than that which is relevant to the resolution of the disputes between the parti</w:t>
      </w:r>
      <w:r>
        <w:rPr>
          <w:rFonts w:ascii="Times New Roman" w:hAnsi="Times New Roman" w:cs="Times New Roman"/>
          <w:sz w:val="24"/>
          <w:szCs w:val="24"/>
        </w:rPr>
        <w:t>es.</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called Brian Zvinokona to give evidence. His evidence was also long.</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visit the witnesses’ evidence as I deal with each issue, save to state that the burden of proof is upon the plaintiff in respect to all the issues.</w:t>
      </w:r>
    </w:p>
    <w:p w:rsidR="0017555D" w:rsidRDefault="00656BD3">
      <w:pPr>
        <w:pStyle w:val="ListParagraph"/>
        <w:numPr>
          <w:ilvl w:val="0"/>
          <w:numId w:val="5"/>
        </w:num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Whether or not</w:t>
      </w:r>
      <w:r>
        <w:rPr>
          <w:rFonts w:ascii="Times New Roman" w:hAnsi="Times New Roman" w:cs="Times New Roman"/>
          <w:i/>
          <w:sz w:val="24"/>
          <w:szCs w:val="24"/>
        </w:rPr>
        <w:t xml:space="preserve"> the parties were ad idem when they entered into the contract or whether or not there was a mistake common to the parties.</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Parties must be of the same mind if their agreement is to be valid. There must be </w:t>
      </w:r>
      <w:r>
        <w:rPr>
          <w:rFonts w:ascii="Times New Roman" w:hAnsi="Times New Roman" w:cs="Times New Roman"/>
          <w:i/>
          <w:sz w:val="24"/>
          <w:szCs w:val="24"/>
        </w:rPr>
        <w:t>consensus ad idem.</w:t>
      </w:r>
      <w:r>
        <w:rPr>
          <w:rFonts w:ascii="Times New Roman" w:hAnsi="Times New Roman" w:cs="Times New Roman"/>
          <w:sz w:val="24"/>
          <w:szCs w:val="24"/>
        </w:rPr>
        <w:t xml:space="preserve"> A party w</w:t>
      </w:r>
      <w:r>
        <w:rPr>
          <w:rFonts w:ascii="Times New Roman" w:hAnsi="Times New Roman" w:cs="Times New Roman"/>
          <w:sz w:val="24"/>
          <w:szCs w:val="24"/>
          <w:lang w:val="en-US"/>
        </w:rPr>
        <w:t>h</w:t>
      </w:r>
      <w:r>
        <w:rPr>
          <w:rFonts w:ascii="Times New Roman" w:hAnsi="Times New Roman" w:cs="Times New Roman"/>
          <w:sz w:val="24"/>
          <w:szCs w:val="24"/>
        </w:rPr>
        <w:t xml:space="preserve">o alleges a common </w:t>
      </w:r>
      <w:r>
        <w:rPr>
          <w:rFonts w:ascii="Times New Roman" w:hAnsi="Times New Roman" w:cs="Times New Roman"/>
          <w:sz w:val="24"/>
          <w:szCs w:val="24"/>
        </w:rPr>
        <w:t>mistake has a duty to prove so.  In other words, the plaintiff must identify and particularize the mistake.</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Contract General Principles, by van Der Merwe, 4 ed, 2012, at p 25 the authors describes a common mistake as follows, </w:t>
      </w:r>
    </w:p>
    <w:p w:rsidR="0017555D" w:rsidRDefault="00656BD3">
      <w:pPr>
        <w:spacing w:line="240" w:lineRule="auto"/>
        <w:ind w:firstLine="720"/>
        <w:jc w:val="both"/>
        <w:rPr>
          <w:rFonts w:ascii="Times New Roman" w:hAnsi="Times New Roman" w:cs="Times New Roman"/>
          <w:sz w:val="24"/>
          <w:szCs w:val="24"/>
        </w:rPr>
      </w:pPr>
      <w:r>
        <w:rPr>
          <w:rFonts w:ascii="Times New Roman" w:hAnsi="Times New Roman" w:cs="Times New Roman"/>
          <w:iCs/>
        </w:rPr>
        <w:t xml:space="preserve">“A common mistake is said </w:t>
      </w:r>
      <w:r>
        <w:rPr>
          <w:rFonts w:ascii="Times New Roman" w:hAnsi="Times New Roman" w:cs="Times New Roman"/>
          <w:iCs/>
        </w:rPr>
        <w:t xml:space="preserve">to be present where both parties to an agreement labour under the </w:t>
      </w:r>
      <w:r>
        <w:rPr>
          <w:rFonts w:ascii="Times New Roman" w:hAnsi="Times New Roman" w:cs="Times New Roman"/>
          <w:iCs/>
          <w:lang w:val="en-US"/>
        </w:rPr>
        <w:tab/>
      </w:r>
      <w:r>
        <w:rPr>
          <w:rFonts w:ascii="Times New Roman" w:hAnsi="Times New Roman" w:cs="Times New Roman"/>
          <w:iCs/>
        </w:rPr>
        <w:t xml:space="preserve">same incorrect perception of a fact external to the minds of the parties. Such a mistake, of </w:t>
      </w:r>
      <w:r>
        <w:rPr>
          <w:rFonts w:ascii="Times New Roman" w:hAnsi="Times New Roman" w:cs="Times New Roman"/>
          <w:iCs/>
          <w:lang w:val="en-US"/>
        </w:rPr>
        <w:tab/>
      </w:r>
      <w:r>
        <w:rPr>
          <w:rFonts w:ascii="Times New Roman" w:hAnsi="Times New Roman" w:cs="Times New Roman"/>
          <w:iCs/>
        </w:rPr>
        <w:t xml:space="preserve">course, does not lead to dissensus; the parties are in complete agreement although their </w:t>
      </w:r>
      <w:r>
        <w:rPr>
          <w:rFonts w:ascii="Times New Roman" w:hAnsi="Times New Roman" w:cs="Times New Roman"/>
          <w:iCs/>
          <w:lang w:val="en-US"/>
        </w:rPr>
        <w:tab/>
      </w:r>
      <w:r>
        <w:rPr>
          <w:rFonts w:ascii="Times New Roman" w:hAnsi="Times New Roman" w:cs="Times New Roman"/>
          <w:iCs/>
        </w:rPr>
        <w:t>conse</w:t>
      </w:r>
      <w:r>
        <w:rPr>
          <w:rFonts w:ascii="Times New Roman" w:hAnsi="Times New Roman" w:cs="Times New Roman"/>
          <w:iCs/>
        </w:rPr>
        <w:t xml:space="preserve">nsus is based on an incorrect assumption or supposition”. </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Clement Kangamwiro Chimuti’s evidence can be summarized thus:</w:t>
      </w:r>
    </w:p>
    <w:p w:rsidR="0017555D" w:rsidRDefault="00656B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is a holder of an Honours degree  in </w:t>
      </w:r>
      <w:r>
        <w:rPr>
          <w:rFonts w:ascii="Times New Roman" w:hAnsi="Times New Roman" w:cs="Times New Roman"/>
          <w:sz w:val="24"/>
          <w:szCs w:val="24"/>
          <w:lang w:val="en-US"/>
        </w:rPr>
        <w:t>A</w:t>
      </w:r>
      <w:r>
        <w:rPr>
          <w:rFonts w:ascii="Times New Roman" w:hAnsi="Times New Roman" w:cs="Times New Roman"/>
          <w:sz w:val="24"/>
          <w:szCs w:val="24"/>
        </w:rPr>
        <w:t xml:space="preserve">griculture, diploma in </w:t>
      </w:r>
      <w:r>
        <w:rPr>
          <w:rFonts w:ascii="Times New Roman" w:hAnsi="Times New Roman" w:cs="Times New Roman"/>
          <w:sz w:val="24"/>
          <w:szCs w:val="24"/>
          <w:lang w:val="en-US"/>
        </w:rPr>
        <w:t>M</w:t>
      </w:r>
      <w:r>
        <w:rPr>
          <w:rFonts w:ascii="Times New Roman" w:hAnsi="Times New Roman" w:cs="Times New Roman"/>
          <w:sz w:val="24"/>
          <w:szCs w:val="24"/>
        </w:rPr>
        <w:t xml:space="preserve">arketing, </w:t>
      </w:r>
      <w:r>
        <w:rPr>
          <w:rFonts w:ascii="Times New Roman" w:hAnsi="Times New Roman" w:cs="Times New Roman"/>
          <w:sz w:val="24"/>
          <w:szCs w:val="24"/>
          <w:lang w:val="en-US"/>
        </w:rPr>
        <w:t>R</w:t>
      </w:r>
      <w:r>
        <w:rPr>
          <w:rFonts w:ascii="Times New Roman" w:hAnsi="Times New Roman" w:cs="Times New Roman"/>
          <w:sz w:val="24"/>
          <w:szCs w:val="24"/>
        </w:rPr>
        <w:t xml:space="preserve">eal </w:t>
      </w:r>
      <w:r>
        <w:rPr>
          <w:rFonts w:ascii="Times New Roman" w:hAnsi="Times New Roman" w:cs="Times New Roman"/>
          <w:sz w:val="24"/>
          <w:szCs w:val="24"/>
          <w:lang w:val="en-US"/>
        </w:rPr>
        <w:t>E</w:t>
      </w:r>
      <w:r>
        <w:rPr>
          <w:rFonts w:ascii="Times New Roman" w:hAnsi="Times New Roman" w:cs="Times New Roman"/>
          <w:sz w:val="24"/>
          <w:szCs w:val="24"/>
        </w:rPr>
        <w:t xml:space="preserve">state, and is a knowledgeable  and </w:t>
      </w:r>
      <w:r>
        <w:rPr>
          <w:rFonts w:ascii="Times New Roman" w:hAnsi="Times New Roman" w:cs="Times New Roman"/>
          <w:sz w:val="24"/>
          <w:szCs w:val="24"/>
        </w:rPr>
        <w:t>experienced businessman.</w:t>
      </w:r>
    </w:p>
    <w:p w:rsidR="0017555D" w:rsidRDefault="00656B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He wanted to venture into fuel industry when he met Brian Zvinokona (Brian) who represented the defendant. The defendant was already in the fuel industry. He discussed the deal with his daughter Tinotenda who had better knowledge o</w:t>
      </w:r>
      <w:r>
        <w:rPr>
          <w:rFonts w:ascii="Times New Roman" w:hAnsi="Times New Roman" w:cs="Times New Roman"/>
          <w:sz w:val="24"/>
          <w:szCs w:val="24"/>
        </w:rPr>
        <w:t xml:space="preserve">f the fuel industry. </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Business discussions ensued between the plaintiff and Brian. Relations were cordial. Plaintiff did not have capital to start a fuel station.</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discussions in which the plaintiff desired a win-win out come, the defendant came up </w:t>
      </w:r>
      <w:r>
        <w:rPr>
          <w:rFonts w:ascii="Times New Roman" w:hAnsi="Times New Roman" w:cs="Times New Roman"/>
          <w:sz w:val="24"/>
          <w:szCs w:val="24"/>
        </w:rPr>
        <w:t>with a build –operate and transfer proposal.</w:t>
      </w:r>
    </w:p>
    <w:p w:rsidR="0017555D" w:rsidRDefault="00656BD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arrangement were to come into being, he understood his duty was to provide land and the defendant was to setup and operate the service station. </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said he was invited to Bulawayo by the defend</w:t>
      </w:r>
      <w:r>
        <w:rPr>
          <w:rFonts w:ascii="Times New Roman" w:hAnsi="Times New Roman" w:cs="Times New Roman"/>
          <w:sz w:val="24"/>
          <w:szCs w:val="24"/>
        </w:rPr>
        <w:t>ant, where he was hurriedly asked to sign the agreement.</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witness said his understanding was that after ten years he would inherit the service station. What he was worried about in the meanwhile was a performance contract.</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When he tried to raise what wa</w:t>
      </w:r>
      <w:r>
        <w:rPr>
          <w:rFonts w:ascii="Times New Roman" w:hAnsi="Times New Roman" w:cs="Times New Roman"/>
          <w:sz w:val="24"/>
          <w:szCs w:val="24"/>
        </w:rPr>
        <w:t>s worrisome to him, he said, the defendant promised further discussions on the matter would come after signing.</w:t>
      </w:r>
    </w:p>
    <w:p w:rsidR="0017555D" w:rsidRDefault="00656BD3">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 nonetheless signed the agreement. Thereafter he said he raised several issues with Brian concerning this contract.</w:t>
      </w:r>
    </w:p>
    <w:p w:rsidR="0017555D" w:rsidRDefault="0017555D">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17555D" w:rsidRDefault="00656BD3">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evidence of Tinotenda</w:t>
      </w:r>
      <w:r>
        <w:rPr>
          <w:rFonts w:ascii="Times New Roman" w:hAnsi="Times New Roman" w:cs="Times New Roman"/>
          <w:sz w:val="24"/>
          <w:szCs w:val="24"/>
        </w:rPr>
        <w:t xml:space="preserve"> on this issue was that:</w:t>
      </w:r>
    </w:p>
    <w:p w:rsidR="0017555D" w:rsidRDefault="00656BD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She was involved in the matter to the extent that she was present when the agreement was signed. She had attended two of the meetings.</w:t>
      </w:r>
    </w:p>
    <w:p w:rsidR="0017555D" w:rsidRDefault="00656BD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She confirmed there were discussions before the agreement was drawn by the defendant and finally</w:t>
      </w:r>
      <w:r>
        <w:rPr>
          <w:rFonts w:ascii="Times New Roman" w:hAnsi="Times New Roman" w:cs="Times New Roman"/>
          <w:sz w:val="24"/>
          <w:szCs w:val="24"/>
        </w:rPr>
        <w:t xml:space="preserve"> signed by the parties.</w:t>
      </w:r>
    </w:p>
    <w:p w:rsidR="0017555D" w:rsidRDefault="00656BD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She said defendant had promised to review the agreement once defendant starts operating.</w:t>
      </w:r>
    </w:p>
    <w:p w:rsidR="0017555D" w:rsidRDefault="0017555D">
      <w:pPr>
        <w:autoSpaceDE w:val="0"/>
        <w:autoSpaceDN w:val="0"/>
        <w:adjustRightInd w:val="0"/>
        <w:spacing w:after="0" w:line="360" w:lineRule="auto"/>
        <w:ind w:left="360"/>
        <w:jc w:val="both"/>
        <w:rPr>
          <w:rFonts w:ascii="Times New Roman" w:hAnsi="Times New Roman" w:cs="Times New Roman"/>
          <w:sz w:val="24"/>
          <w:szCs w:val="24"/>
        </w:rPr>
      </w:pPr>
    </w:p>
    <w:p w:rsidR="0017555D" w:rsidRDefault="00656BD3">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Brian’s testimony was that;</w:t>
      </w:r>
    </w:p>
    <w:p w:rsidR="0017555D" w:rsidRDefault="00656BD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several meetings which were before the signing of the agreement, a draft was given to the plaintiff </w:t>
      </w:r>
      <w:r>
        <w:rPr>
          <w:rFonts w:ascii="Times New Roman" w:hAnsi="Times New Roman" w:cs="Times New Roman"/>
          <w:sz w:val="24"/>
          <w:szCs w:val="24"/>
        </w:rPr>
        <w:t>in December 2019.</w:t>
      </w:r>
    </w:p>
    <w:p w:rsidR="0017555D" w:rsidRDefault="00656BD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 confirmed on what was agreed as contained in the contract.</w:t>
      </w:r>
    </w:p>
    <w:p w:rsidR="0017555D" w:rsidRDefault="00656BD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parties carried out their obligations until two years later when the plaintiff started to make demands outside the terms of the agreement, such as disclosure of service </w:t>
      </w:r>
      <w:r>
        <w:rPr>
          <w:rFonts w:ascii="Times New Roman" w:hAnsi="Times New Roman" w:cs="Times New Roman"/>
          <w:sz w:val="24"/>
          <w:szCs w:val="24"/>
        </w:rPr>
        <w:t>station dossier. performance contract etc. He said the demands were such that the plaintiff wanted to practically run the service station himself.</w:t>
      </w:r>
    </w:p>
    <w:p w:rsidR="0017555D" w:rsidRDefault="00656BD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witness said there was no verbal agreement outside the written one although in some instances they accede</w:t>
      </w:r>
      <w:r>
        <w:rPr>
          <w:rFonts w:ascii="Times New Roman" w:hAnsi="Times New Roman" w:cs="Times New Roman"/>
          <w:sz w:val="24"/>
          <w:szCs w:val="24"/>
        </w:rPr>
        <w:t>d to some requests by the plaintiff which did not alter the written agreement.</w:t>
      </w:r>
    </w:p>
    <w:p w:rsidR="0017555D" w:rsidRDefault="00656BD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 denied the parties laboured under a common mistake.</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Nhamo Madzima</w:t>
      </w:r>
      <w:r>
        <w:rPr>
          <w:rFonts w:ascii="Times New Roman" w:hAnsi="Times New Roman" w:cs="Times New Roman"/>
          <w:sz w:val="24"/>
          <w:szCs w:val="24"/>
        </w:rPr>
        <w:t xml:space="preserve"> v </w:t>
      </w:r>
      <w:r>
        <w:rPr>
          <w:rFonts w:ascii="Times New Roman" w:hAnsi="Times New Roman" w:cs="Times New Roman"/>
          <w:i/>
          <w:iCs/>
          <w:sz w:val="24"/>
          <w:szCs w:val="24"/>
        </w:rPr>
        <w:t>Doris Runesu Mate</w:t>
      </w:r>
      <w:r>
        <w:rPr>
          <w:rFonts w:ascii="Times New Roman" w:hAnsi="Times New Roman" w:cs="Times New Roman"/>
          <w:sz w:val="24"/>
          <w:szCs w:val="24"/>
        </w:rPr>
        <w:t xml:space="preserve"> HH 86/17, the court dealt with the effect of a mistake and remarked as follows; </w:t>
      </w:r>
    </w:p>
    <w:p w:rsidR="0017555D" w:rsidRDefault="00656BD3">
      <w:pPr>
        <w:spacing w:line="240" w:lineRule="auto"/>
        <w:ind w:firstLine="720"/>
        <w:jc w:val="both"/>
        <w:rPr>
          <w:rFonts w:ascii="Times New Roman" w:hAnsi="Times New Roman" w:cs="Times New Roman"/>
          <w:iCs/>
        </w:rPr>
      </w:pPr>
      <w:r>
        <w:rPr>
          <w:rFonts w:ascii="Times New Roman" w:hAnsi="Times New Roman" w:cs="Times New Roman"/>
          <w:iCs/>
        </w:rPr>
        <w:t xml:space="preserve">“Mistake renders a contract void </w:t>
      </w:r>
      <w:r>
        <w:rPr>
          <w:rFonts w:ascii="Times New Roman" w:hAnsi="Times New Roman" w:cs="Times New Roman"/>
          <w:i/>
        </w:rPr>
        <w:t>ab initio</w:t>
      </w:r>
      <w:r>
        <w:rPr>
          <w:rFonts w:ascii="Times New Roman" w:hAnsi="Times New Roman" w:cs="Times New Roman"/>
          <w:iCs/>
        </w:rPr>
        <w:t xml:space="preserve"> or voidable depending on the nature of the mistake, </w:t>
      </w:r>
      <w:r>
        <w:rPr>
          <w:rFonts w:ascii="Times New Roman" w:hAnsi="Times New Roman" w:cs="Times New Roman"/>
          <w:iCs/>
          <w:lang w:val="en-US"/>
        </w:rPr>
        <w:tab/>
      </w:r>
      <w:r>
        <w:rPr>
          <w:rFonts w:ascii="Times New Roman" w:hAnsi="Times New Roman" w:cs="Times New Roman"/>
          <w:iCs/>
        </w:rPr>
        <w:t xml:space="preserve">where a mistake relates to the subject matter of a contract and it has a bearing on the </w:t>
      </w:r>
      <w:r>
        <w:rPr>
          <w:rFonts w:ascii="Times New Roman" w:hAnsi="Times New Roman" w:cs="Times New Roman"/>
          <w:iCs/>
          <w:lang w:val="en-US"/>
        </w:rPr>
        <w:tab/>
      </w:r>
      <w:r>
        <w:rPr>
          <w:rFonts w:ascii="Times New Roman" w:hAnsi="Times New Roman" w:cs="Times New Roman"/>
          <w:iCs/>
        </w:rPr>
        <w:t>performance of an agreement, it is material and renders the agreement v</w:t>
      </w:r>
      <w:r>
        <w:rPr>
          <w:rFonts w:ascii="Times New Roman" w:hAnsi="Times New Roman" w:cs="Times New Roman"/>
          <w:iCs/>
        </w:rPr>
        <w:t>oid”.</w:t>
      </w:r>
    </w:p>
    <w:p w:rsidR="0017555D" w:rsidRDefault="0017555D">
      <w:pPr>
        <w:autoSpaceDE w:val="0"/>
        <w:autoSpaceDN w:val="0"/>
        <w:adjustRightInd w:val="0"/>
        <w:spacing w:after="0" w:line="360" w:lineRule="auto"/>
        <w:jc w:val="both"/>
        <w:rPr>
          <w:rFonts w:ascii="Times New Roman" w:hAnsi="Times New Roman" w:cs="Times New Roman"/>
          <w:sz w:val="24"/>
          <w:szCs w:val="24"/>
        </w:rPr>
      </w:pP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Pr>
          <w:rFonts w:ascii="Times New Roman" w:hAnsi="Times New Roman" w:cs="Times New Roman"/>
          <w:i/>
          <w:iCs/>
          <w:sz w:val="24"/>
          <w:szCs w:val="24"/>
        </w:rPr>
        <w:t>casu</w:t>
      </w:r>
      <w:r>
        <w:rPr>
          <w:rFonts w:ascii="Times New Roman" w:hAnsi="Times New Roman" w:cs="Times New Roman"/>
          <w:sz w:val="24"/>
          <w:szCs w:val="24"/>
        </w:rPr>
        <w:t xml:space="preserve">, no evidence was led or established that the parties laboured under the same incorrect supposition of a certain fact. A common mistake occurs when both parties to a contract are of the same mind, share the same mistake and believe a certain </w:t>
      </w:r>
      <w:r>
        <w:rPr>
          <w:rFonts w:ascii="Times New Roman" w:hAnsi="Times New Roman" w:cs="Times New Roman"/>
          <w:sz w:val="24"/>
          <w:szCs w:val="24"/>
        </w:rPr>
        <w:t xml:space="preserve">fact to be true which later turns out to be untrue or incorrect. Their minds must be ad idem. </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failed to prove that there was a common mistake. What comes out clearly from the evidence and conduct of the plaintiff is a revision of what he had</w:t>
      </w:r>
      <w:r>
        <w:rPr>
          <w:rFonts w:ascii="Times New Roman" w:hAnsi="Times New Roman" w:cs="Times New Roman"/>
          <w:sz w:val="24"/>
          <w:szCs w:val="24"/>
        </w:rPr>
        <w:t xml:space="preserve"> agreed to. He had an afterthought after signing the agreement. This is clear from the unwarranted interference in the running of the defendant’s business.  </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terms of the agreement are within the four corners of the contract document. It is not probabl</w:t>
      </w:r>
      <w:r>
        <w:rPr>
          <w:rFonts w:ascii="Times New Roman" w:hAnsi="Times New Roman" w:cs="Times New Roman"/>
          <w:sz w:val="24"/>
          <w:szCs w:val="24"/>
        </w:rPr>
        <w:t>e that the plaintiff was hurried into signing an agreement. The plaintiff, backed by his daughter, are not only educated but have a wealth of experience in the running of businesses. The last thing one can imagine is that they signed a 20-year contract wit</w:t>
      </w:r>
      <w:r>
        <w:rPr>
          <w:rFonts w:ascii="Times New Roman" w:hAnsi="Times New Roman" w:cs="Times New Roman"/>
          <w:sz w:val="24"/>
          <w:szCs w:val="24"/>
        </w:rPr>
        <w:t>hout proper considerations. In fact, there was nothing to pressurize them.</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failed to prove that there was a common mistake to both parties later a lone a mistake on his on part. I disagree with the submission that the plaintiff did not know t</w:t>
      </w:r>
      <w:r>
        <w:rPr>
          <w:rFonts w:ascii="Times New Roman" w:hAnsi="Times New Roman" w:cs="Times New Roman"/>
          <w:sz w:val="24"/>
          <w:szCs w:val="24"/>
        </w:rPr>
        <w:t>he exact nature of the agreement he was entering into. Brian was honest in his evidence. He impressed the court as a truthful witness who gave evidence without exaggerating.</w:t>
      </w:r>
    </w:p>
    <w:p w:rsidR="0017555D" w:rsidRDefault="00656BD3">
      <w:pPr>
        <w:spacing w:line="360" w:lineRule="auto"/>
        <w:ind w:firstLine="720"/>
        <w:jc w:val="both"/>
      </w:pPr>
      <w:r>
        <w:rPr>
          <w:rFonts w:ascii="Times New Roman" w:hAnsi="Times New Roman" w:cs="Times New Roman"/>
          <w:sz w:val="24"/>
          <w:szCs w:val="24"/>
        </w:rPr>
        <w:t>A party to an agreement who raises mistake to escape liability must prove not only</w:t>
      </w:r>
      <w:r>
        <w:rPr>
          <w:rFonts w:ascii="Times New Roman" w:hAnsi="Times New Roman" w:cs="Times New Roman"/>
          <w:sz w:val="24"/>
          <w:szCs w:val="24"/>
        </w:rPr>
        <w:t xml:space="preserve"> that the mistake is material but also that it is reasonable</w:t>
      </w:r>
      <w:r>
        <w:rPr>
          <w:color w:val="FF0000"/>
        </w:rPr>
        <w:t xml:space="preserve">. </w:t>
      </w:r>
      <w:r>
        <w:t xml:space="preserve"> </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w:t>
      </w:r>
      <w:r>
        <w:rPr>
          <w:rFonts w:ascii="Times New Roman" w:hAnsi="Times New Roman" w:cs="Times New Roman"/>
          <w:i/>
          <w:iCs/>
          <w:sz w:val="24"/>
          <w:szCs w:val="24"/>
        </w:rPr>
        <w:t>Botha</w:t>
      </w:r>
      <w:r>
        <w:rPr>
          <w:rFonts w:ascii="Times New Roman" w:hAnsi="Times New Roman" w:cs="Times New Roman"/>
          <w:sz w:val="24"/>
          <w:szCs w:val="24"/>
        </w:rPr>
        <w:t xml:space="preserve"> </w:t>
      </w:r>
      <w:r>
        <w:rPr>
          <w:rFonts w:ascii="Times New Roman" w:hAnsi="Times New Roman" w:cs="Times New Roman"/>
          <w:sz w:val="24"/>
          <w:szCs w:val="24"/>
        </w:rPr>
        <w:t xml:space="preserve">v </w:t>
      </w:r>
      <w:r>
        <w:rPr>
          <w:rFonts w:ascii="Times New Roman" w:hAnsi="Times New Roman" w:cs="Times New Roman"/>
          <w:i/>
          <w:iCs/>
          <w:sz w:val="24"/>
          <w:szCs w:val="24"/>
        </w:rPr>
        <w:t>Road Accident Fund</w:t>
      </w:r>
      <w:r>
        <w:rPr>
          <w:rFonts w:ascii="Times New Roman" w:hAnsi="Times New Roman" w:cs="Times New Roman"/>
          <w:sz w:val="24"/>
          <w:szCs w:val="24"/>
        </w:rPr>
        <w:t xml:space="preserve"> (463/2015) [2016] ZASCA 97; 2017 (2) SA 50 (SCA) the court remarked; </w:t>
      </w:r>
    </w:p>
    <w:p w:rsidR="0017555D" w:rsidRDefault="00656BD3">
      <w:pPr>
        <w:spacing w:line="240" w:lineRule="auto"/>
        <w:ind w:firstLine="720"/>
        <w:jc w:val="both"/>
        <w:rPr>
          <w:rFonts w:ascii="Times New Roman" w:hAnsi="Times New Roman" w:cs="Times New Roman"/>
          <w:i/>
          <w:sz w:val="24"/>
          <w:szCs w:val="24"/>
        </w:rPr>
      </w:pPr>
      <w:r>
        <w:rPr>
          <w:rFonts w:ascii="Times New Roman" w:hAnsi="Times New Roman" w:cs="Times New Roman"/>
          <w:iCs/>
        </w:rPr>
        <w:t xml:space="preserve">“However material the mistake, the mistaken party will not be able to escape from the </w:t>
      </w:r>
      <w:r>
        <w:rPr>
          <w:rFonts w:ascii="Times New Roman" w:hAnsi="Times New Roman" w:cs="Times New Roman"/>
          <w:iCs/>
          <w:lang w:val="en-US"/>
        </w:rPr>
        <w:tab/>
      </w:r>
      <w:r>
        <w:rPr>
          <w:rFonts w:ascii="Times New Roman" w:hAnsi="Times New Roman" w:cs="Times New Roman"/>
          <w:iCs/>
        </w:rPr>
        <w:t>cont</w:t>
      </w:r>
      <w:r>
        <w:rPr>
          <w:rFonts w:ascii="Times New Roman" w:hAnsi="Times New Roman" w:cs="Times New Roman"/>
          <w:iCs/>
        </w:rPr>
        <w:t xml:space="preserve">ract if his mistake was due to his own fault. This principle will apply </w:t>
      </w:r>
      <w:r>
        <w:rPr>
          <w:rFonts w:ascii="Times New Roman" w:hAnsi="Times New Roman" w:cs="Times New Roman"/>
          <w:iCs/>
          <w:u w:val="single"/>
        </w:rPr>
        <w:t xml:space="preserve">whether his fault </w:t>
      </w:r>
      <w:r>
        <w:rPr>
          <w:rFonts w:ascii="Times New Roman" w:hAnsi="Times New Roman" w:cs="Times New Roman"/>
          <w:iCs/>
          <w:lang w:val="en-US"/>
        </w:rPr>
        <w:tab/>
      </w:r>
      <w:r>
        <w:rPr>
          <w:rFonts w:ascii="Times New Roman" w:hAnsi="Times New Roman" w:cs="Times New Roman"/>
          <w:iCs/>
          <w:u w:val="single"/>
        </w:rPr>
        <w:t xml:space="preserve">lies in not carrying out the reasonably necessary investigations before committing himself to </w:t>
      </w:r>
      <w:r>
        <w:rPr>
          <w:rFonts w:ascii="Times New Roman" w:hAnsi="Times New Roman" w:cs="Times New Roman"/>
          <w:iCs/>
          <w:lang w:val="en-US"/>
        </w:rPr>
        <w:tab/>
      </w:r>
      <w:r>
        <w:rPr>
          <w:rFonts w:ascii="Times New Roman" w:hAnsi="Times New Roman" w:cs="Times New Roman"/>
          <w:iCs/>
          <w:u w:val="single"/>
        </w:rPr>
        <w:t xml:space="preserve">the contract, that is, failing to do his homework; in not bothering to read the contract before </w:t>
      </w:r>
      <w:r>
        <w:rPr>
          <w:rFonts w:ascii="Times New Roman" w:hAnsi="Times New Roman" w:cs="Times New Roman"/>
          <w:iCs/>
          <w:lang w:val="en-US"/>
        </w:rPr>
        <w:tab/>
      </w:r>
      <w:r>
        <w:rPr>
          <w:rFonts w:ascii="Times New Roman" w:hAnsi="Times New Roman" w:cs="Times New Roman"/>
          <w:iCs/>
          <w:u w:val="single"/>
        </w:rPr>
        <w:t xml:space="preserve">signing; in carelessly misreading one of the terms; in not bothering to have the contract </w:t>
      </w:r>
      <w:r>
        <w:rPr>
          <w:rFonts w:ascii="Times New Roman" w:hAnsi="Times New Roman" w:cs="Times New Roman"/>
          <w:iCs/>
          <w:u w:val="single"/>
          <w:lang w:val="en-US"/>
        </w:rPr>
        <w:tab/>
      </w:r>
      <w:r>
        <w:rPr>
          <w:rFonts w:ascii="Times New Roman" w:hAnsi="Times New Roman" w:cs="Times New Roman"/>
          <w:iCs/>
          <w:lang w:val="en-US"/>
        </w:rPr>
        <w:tab/>
      </w:r>
      <w:r>
        <w:rPr>
          <w:rFonts w:ascii="Times New Roman" w:hAnsi="Times New Roman" w:cs="Times New Roman"/>
          <w:iCs/>
          <w:u w:val="single"/>
        </w:rPr>
        <w:t>explained to him in a language he can understand; in misinterpretin</w:t>
      </w:r>
      <w:r>
        <w:rPr>
          <w:rFonts w:ascii="Times New Roman" w:hAnsi="Times New Roman" w:cs="Times New Roman"/>
          <w:iCs/>
          <w:u w:val="single"/>
        </w:rPr>
        <w:t xml:space="preserve">g a clear and unambiguous </w:t>
      </w:r>
      <w:r>
        <w:rPr>
          <w:rFonts w:ascii="Times New Roman" w:hAnsi="Times New Roman" w:cs="Times New Roman"/>
          <w:iCs/>
          <w:lang w:val="en-US"/>
        </w:rPr>
        <w:tab/>
      </w:r>
      <w:r>
        <w:rPr>
          <w:rFonts w:ascii="Times New Roman" w:hAnsi="Times New Roman" w:cs="Times New Roman"/>
          <w:iCs/>
          <w:u w:val="single"/>
        </w:rPr>
        <w:t xml:space="preserve">term, and in fact in any circumstances in which the mistake is due to his own carelessness or </w:t>
      </w:r>
      <w:r>
        <w:rPr>
          <w:rFonts w:ascii="Times New Roman" w:hAnsi="Times New Roman" w:cs="Times New Roman"/>
          <w:iCs/>
          <w:lang w:val="en-US"/>
        </w:rPr>
        <w:tab/>
      </w:r>
      <w:r>
        <w:rPr>
          <w:rFonts w:ascii="Times New Roman" w:hAnsi="Times New Roman" w:cs="Times New Roman"/>
          <w:iCs/>
          <w:u w:val="single"/>
        </w:rPr>
        <w:t xml:space="preserve">inattention.”  </w:t>
      </w:r>
      <w:r>
        <w:rPr>
          <w:rFonts w:ascii="Times New Roman" w:hAnsi="Times New Roman" w:cs="Times New Roman"/>
          <w:iCs/>
          <w:sz w:val="24"/>
          <w:szCs w:val="24"/>
        </w:rPr>
        <w:t>(my emphasis)</w:t>
      </w:r>
    </w:p>
    <w:p w:rsidR="0017555D" w:rsidRDefault="00656BD3">
      <w:pPr>
        <w:spacing w:line="360" w:lineRule="auto"/>
        <w:ind w:firstLine="720"/>
        <w:jc w:val="both"/>
      </w:pPr>
      <w:r>
        <w:rPr>
          <w:rFonts w:ascii="Times New Roman" w:hAnsi="Times New Roman" w:cs="Times New Roman"/>
          <w:sz w:val="24"/>
          <w:szCs w:val="24"/>
        </w:rPr>
        <w:t xml:space="preserve"> It is not probable that the plaintiff, given his educational and academic background, supported with the</w:t>
      </w:r>
      <w:r>
        <w:rPr>
          <w:rFonts w:ascii="Times New Roman" w:hAnsi="Times New Roman" w:cs="Times New Roman"/>
          <w:sz w:val="24"/>
          <w:szCs w:val="24"/>
        </w:rPr>
        <w:t xml:space="preserve"> expertise of his daughter, did not understand the contract he signed. </w:t>
      </w:r>
    </w:p>
    <w:p w:rsidR="0017555D" w:rsidRDefault="00656BD3">
      <w:pPr>
        <w:pStyle w:val="ListParagraph"/>
        <w:numPr>
          <w:ilvl w:val="0"/>
          <w:numId w:val="5"/>
        </w:numPr>
        <w:autoSpaceDE w:val="0"/>
        <w:autoSpaceDN w:val="0"/>
        <w:adjustRightInd w:val="0"/>
        <w:spacing w:after="0" w:line="360" w:lineRule="auto"/>
        <w:jc w:val="both"/>
        <w:rPr>
          <w:i/>
        </w:rPr>
      </w:pPr>
      <w:r>
        <w:rPr>
          <w:rFonts w:ascii="Times New Roman" w:hAnsi="Times New Roman" w:cs="Times New Roman"/>
          <w:i/>
          <w:sz w:val="24"/>
          <w:szCs w:val="24"/>
        </w:rPr>
        <w:t xml:space="preserve">Whether or not the parties entered into a lease agreement or a build-operate and transfer agreement. </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answer to this issue can be discerned from the reading of the agreement. This </w:t>
      </w:r>
      <w:r>
        <w:rPr>
          <w:rFonts w:ascii="Times New Roman" w:hAnsi="Times New Roman" w:cs="Times New Roman"/>
          <w:sz w:val="24"/>
          <w:szCs w:val="24"/>
        </w:rPr>
        <w:t>is a hybrid agreement where the components of a lease and built-operate and transfer agreement are present. Despite the hybrid approach, the terms of the agreement remain clear and the intention of the parties is easily discernible from the terms.</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Union</w:t>
      </w:r>
      <w:r>
        <w:rPr>
          <w:rFonts w:ascii="Times New Roman" w:hAnsi="Times New Roman" w:cs="Times New Roman"/>
          <w:i/>
          <w:iCs/>
          <w:sz w:val="24"/>
          <w:szCs w:val="24"/>
        </w:rPr>
        <w:t xml:space="preserve"> Government</w:t>
      </w:r>
      <w:r>
        <w:rPr>
          <w:rFonts w:ascii="Times New Roman" w:hAnsi="Times New Roman" w:cs="Times New Roman"/>
          <w:sz w:val="24"/>
          <w:szCs w:val="24"/>
        </w:rPr>
        <w:t xml:space="preserve"> v </w:t>
      </w:r>
      <w:r>
        <w:rPr>
          <w:rFonts w:ascii="Times New Roman" w:hAnsi="Times New Roman" w:cs="Times New Roman"/>
          <w:i/>
          <w:iCs/>
          <w:sz w:val="24"/>
          <w:szCs w:val="24"/>
        </w:rPr>
        <w:t xml:space="preserve">Vianini Fero Congrete Pipes (Pty) Ltd </w:t>
      </w:r>
      <w:r>
        <w:rPr>
          <w:rFonts w:ascii="Times New Roman" w:hAnsi="Times New Roman" w:cs="Times New Roman"/>
          <w:sz w:val="24"/>
          <w:szCs w:val="24"/>
        </w:rPr>
        <w:t>1941 AD 43 at p 47 the court said:</w:t>
      </w:r>
    </w:p>
    <w:p w:rsidR="0017555D" w:rsidRDefault="00656BD3">
      <w:pPr>
        <w:spacing w:line="240" w:lineRule="auto"/>
        <w:ind w:firstLine="720"/>
        <w:jc w:val="both"/>
        <w:rPr>
          <w:rFonts w:ascii="Times New Roman" w:hAnsi="Times New Roman" w:cs="Times New Roman"/>
          <w:i/>
          <w:sz w:val="24"/>
          <w:szCs w:val="24"/>
        </w:rPr>
      </w:pPr>
      <w:r>
        <w:rPr>
          <w:rFonts w:ascii="Times New Roman" w:hAnsi="Times New Roman" w:cs="Times New Roman"/>
          <w:iCs/>
        </w:rPr>
        <w:t xml:space="preserve">"This court has accepted the rule that when a contract has been reduced to writing, the writing </w:t>
      </w:r>
      <w:r>
        <w:rPr>
          <w:rFonts w:ascii="Times New Roman" w:hAnsi="Times New Roman" w:cs="Times New Roman"/>
          <w:iCs/>
          <w:lang w:val="en-US"/>
        </w:rPr>
        <w:tab/>
      </w:r>
      <w:r>
        <w:rPr>
          <w:rFonts w:ascii="Times New Roman" w:hAnsi="Times New Roman" w:cs="Times New Roman"/>
          <w:iCs/>
        </w:rPr>
        <w:t xml:space="preserve">is, in general regarded as the exclusive memorial of the transaction and, in a suit between, the </w:t>
      </w:r>
      <w:r>
        <w:rPr>
          <w:rFonts w:ascii="Times New Roman" w:hAnsi="Times New Roman" w:cs="Times New Roman"/>
          <w:iCs/>
          <w:lang w:val="en-US"/>
        </w:rPr>
        <w:tab/>
      </w:r>
      <w:r>
        <w:rPr>
          <w:rFonts w:ascii="Times New Roman" w:hAnsi="Times New Roman" w:cs="Times New Roman"/>
          <w:iCs/>
        </w:rPr>
        <w:t>parties, no evidence to prove its terms may be given save the document...."</w:t>
      </w:r>
      <w:r>
        <w:rPr>
          <w:rFonts w:ascii="Times New Roman" w:hAnsi="Times New Roman" w:cs="Times New Roman"/>
          <w:i/>
          <w:sz w:val="24"/>
          <w:szCs w:val="24"/>
        </w:rPr>
        <w:t xml:space="preserve"> </w:t>
      </w:r>
    </w:p>
    <w:p w:rsidR="0017555D" w:rsidRDefault="00656BD3">
      <w:pPr>
        <w:pStyle w:val="ListParagraph"/>
        <w:numPr>
          <w:ilvl w:val="0"/>
          <w:numId w:val="5"/>
        </w:num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If the contract between the parties is valid, whether or not the Defendant </w:t>
      </w:r>
      <w:r>
        <w:rPr>
          <w:rFonts w:ascii="Times New Roman" w:hAnsi="Times New Roman" w:cs="Times New Roman"/>
          <w:i/>
          <w:sz w:val="24"/>
          <w:szCs w:val="24"/>
        </w:rPr>
        <w:t>breached the agreement and if so in what respect.</w:t>
      </w:r>
    </w:p>
    <w:p w:rsidR="0017555D" w:rsidRDefault="00656B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the agreement is valid, the court looks at the evidence in relation to the alleged breach. The plaintiff alleged a number of breaches by the defendant to which the defendant denied. </w:t>
      </w:r>
    </w:p>
    <w:p w:rsidR="0017555D" w:rsidRDefault="00656BD3">
      <w:pPr>
        <w:spacing w:line="360" w:lineRule="auto"/>
        <w:jc w:val="both"/>
      </w:pPr>
      <w:r>
        <w:rPr>
          <w:rFonts w:ascii="Times New Roman" w:hAnsi="Times New Roman" w:cs="Times New Roman"/>
          <w:sz w:val="24"/>
          <w:szCs w:val="24"/>
        </w:rPr>
        <w:t xml:space="preserve">None </w:t>
      </w:r>
      <w:r>
        <w:rPr>
          <w:rFonts w:ascii="Times New Roman" w:hAnsi="Times New Roman" w:cs="Times New Roman"/>
          <w:sz w:val="24"/>
          <w:szCs w:val="24"/>
        </w:rPr>
        <w:t>of such breaches were proved by the plaintiff’s evidence.</w:t>
      </w:r>
      <w:r>
        <w:t xml:space="preserve"> </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had a litany of complaints against the defendant creating an impression of his desire to resile from the contract.  He complained on how the supervision of the construction was done, </w:t>
      </w:r>
      <w:r>
        <w:rPr>
          <w:rFonts w:ascii="Times New Roman" w:hAnsi="Times New Roman" w:cs="Times New Roman"/>
          <w:sz w:val="24"/>
          <w:szCs w:val="24"/>
        </w:rPr>
        <w:t>the type of bricks used, failure by the defendant to use his plan although he admits it was not approved, the tank size specifications, that the service station was substandard, failure to construct offices yet the defendant said there was no space for suc</w:t>
      </w:r>
      <w:r>
        <w:rPr>
          <w:rFonts w:ascii="Times New Roman" w:hAnsi="Times New Roman" w:cs="Times New Roman"/>
          <w:sz w:val="24"/>
          <w:szCs w:val="24"/>
        </w:rPr>
        <w:t>h construction. The various ways in which he said the contract was breached cannot be traceable to the terms of the contract.</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evidence, particularly that of Tinotenda, that the outrageous demands by the plaintiff were motivated by the </w:t>
      </w:r>
      <w:r>
        <w:rPr>
          <w:rFonts w:ascii="Times New Roman" w:hAnsi="Times New Roman" w:cs="Times New Roman"/>
          <w:sz w:val="24"/>
          <w:szCs w:val="24"/>
        </w:rPr>
        <w:t>desire to take over the service station contrary to the terms of the agreement. Such desires arose from the strong belief by the plaintiff that the defendant had already recouped its investments within the 2 years into the contract. This explains the plain</w:t>
      </w:r>
      <w:r>
        <w:rPr>
          <w:rFonts w:ascii="Times New Roman" w:hAnsi="Times New Roman" w:cs="Times New Roman"/>
          <w:sz w:val="24"/>
          <w:szCs w:val="24"/>
        </w:rPr>
        <w:t>tiff’s unwarranted efforts to involve himself in the day to day running of the defendant’s business. That is not part of the agreement and cannot be equated to a breach of the contract.</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defendant’s submissions that the wording of the contr</w:t>
      </w:r>
      <w:r>
        <w:rPr>
          <w:rFonts w:ascii="Times New Roman" w:hAnsi="Times New Roman" w:cs="Times New Roman"/>
          <w:sz w:val="24"/>
          <w:szCs w:val="24"/>
        </w:rPr>
        <w:t xml:space="preserve">act is clear and unambiguous and must be given effect to.  Courts are bound to honour agreements between </w:t>
      </w:r>
      <w:r>
        <w:rPr>
          <w:rFonts w:ascii="Times New Roman" w:hAnsi="Times New Roman" w:cs="Times New Roman"/>
          <w:sz w:val="24"/>
          <w:szCs w:val="24"/>
        </w:rPr>
        <w:lastRenderedPageBreak/>
        <w:t xml:space="preserve">parties that are entered into freely and voluntarily. This was put beyond doubt by the Supreme Court in </w:t>
      </w:r>
      <w:r>
        <w:rPr>
          <w:rFonts w:ascii="Times New Roman" w:hAnsi="Times New Roman" w:cs="Times New Roman"/>
          <w:i/>
          <w:iCs/>
          <w:sz w:val="24"/>
          <w:szCs w:val="24"/>
        </w:rPr>
        <w:t>Kundai Magodora</w:t>
      </w:r>
      <w:r>
        <w:rPr>
          <w:rFonts w:ascii="Times New Roman" w:hAnsi="Times New Roman" w:cs="Times New Roman"/>
          <w:sz w:val="24"/>
          <w:szCs w:val="24"/>
        </w:rPr>
        <w:t xml:space="preserve"> </w:t>
      </w:r>
      <w:r>
        <w:rPr>
          <w:rFonts w:ascii="Times New Roman" w:hAnsi="Times New Roman" w:cs="Times New Roman"/>
          <w:i/>
          <w:iCs/>
          <w:sz w:val="24"/>
          <w:szCs w:val="24"/>
        </w:rPr>
        <w:t>&amp; Ors</w:t>
      </w:r>
      <w:r>
        <w:rPr>
          <w:rFonts w:ascii="Times New Roman" w:hAnsi="Times New Roman" w:cs="Times New Roman"/>
          <w:sz w:val="24"/>
          <w:szCs w:val="24"/>
        </w:rPr>
        <w:t xml:space="preserve"> v </w:t>
      </w:r>
      <w:r>
        <w:rPr>
          <w:rFonts w:ascii="Times New Roman" w:hAnsi="Times New Roman" w:cs="Times New Roman"/>
          <w:i/>
          <w:iCs/>
          <w:sz w:val="24"/>
          <w:szCs w:val="24"/>
        </w:rPr>
        <w:t>Care International Zimb</w:t>
      </w:r>
      <w:r>
        <w:rPr>
          <w:rFonts w:ascii="Times New Roman" w:hAnsi="Times New Roman" w:cs="Times New Roman"/>
          <w:i/>
          <w:iCs/>
          <w:sz w:val="24"/>
          <w:szCs w:val="24"/>
        </w:rPr>
        <w:t>abwe</w:t>
      </w:r>
      <w:r>
        <w:rPr>
          <w:rFonts w:ascii="Times New Roman" w:hAnsi="Times New Roman" w:cs="Times New Roman"/>
          <w:sz w:val="24"/>
          <w:szCs w:val="24"/>
        </w:rPr>
        <w:t xml:space="preserve"> SC 24/14 as follows: </w:t>
      </w:r>
    </w:p>
    <w:p w:rsidR="0017555D" w:rsidRDefault="00656BD3">
      <w:pPr>
        <w:spacing w:line="240" w:lineRule="auto"/>
        <w:ind w:firstLine="720"/>
        <w:jc w:val="both"/>
        <w:rPr>
          <w:rFonts w:ascii="Times New Roman" w:hAnsi="Times New Roman" w:cs="Times New Roman"/>
          <w:i/>
          <w:sz w:val="24"/>
          <w:szCs w:val="24"/>
        </w:rPr>
      </w:pPr>
      <w:r>
        <w:rPr>
          <w:rFonts w:ascii="Times New Roman" w:hAnsi="Times New Roman" w:cs="Times New Roman"/>
          <w:iCs/>
        </w:rPr>
        <w:t xml:space="preserve">“In principle, it is not open to the courts to rewrite a contract entered into between the parties </w:t>
      </w:r>
      <w:r>
        <w:rPr>
          <w:rFonts w:ascii="Times New Roman" w:hAnsi="Times New Roman" w:cs="Times New Roman"/>
          <w:iCs/>
          <w:lang w:val="en-US"/>
        </w:rPr>
        <w:tab/>
      </w:r>
      <w:r>
        <w:rPr>
          <w:rFonts w:ascii="Times New Roman" w:hAnsi="Times New Roman" w:cs="Times New Roman"/>
          <w:iCs/>
        </w:rPr>
        <w:t xml:space="preserve">or to excuse any of them from the consequences of the contract that they have freely and </w:t>
      </w:r>
      <w:r>
        <w:rPr>
          <w:rFonts w:ascii="Times New Roman" w:hAnsi="Times New Roman" w:cs="Times New Roman"/>
          <w:iCs/>
          <w:lang w:val="en-US"/>
        </w:rPr>
        <w:tab/>
      </w:r>
      <w:r>
        <w:rPr>
          <w:rFonts w:ascii="Times New Roman" w:hAnsi="Times New Roman" w:cs="Times New Roman"/>
          <w:iCs/>
        </w:rPr>
        <w:t xml:space="preserve">voluntarily accepted, even if they are </w:t>
      </w:r>
      <w:r>
        <w:rPr>
          <w:rFonts w:ascii="Times New Roman" w:hAnsi="Times New Roman" w:cs="Times New Roman"/>
          <w:iCs/>
        </w:rPr>
        <w:t xml:space="preserve">shown to be onerous or oppressive. This is so as a </w:t>
      </w:r>
      <w:r>
        <w:rPr>
          <w:rFonts w:ascii="Times New Roman" w:hAnsi="Times New Roman" w:cs="Times New Roman"/>
          <w:iCs/>
          <w:lang w:val="en-US"/>
        </w:rPr>
        <w:tab/>
      </w:r>
      <w:r>
        <w:rPr>
          <w:rFonts w:ascii="Times New Roman" w:hAnsi="Times New Roman" w:cs="Times New Roman"/>
          <w:iCs/>
        </w:rPr>
        <w:t xml:space="preserve">matter of public policy’’ </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failed to prove as to which term of the agreement was breached by the defendant and how. To every alleged breach, the defendant rebutted the same with a valid exp</w:t>
      </w:r>
      <w:r>
        <w:rPr>
          <w:rFonts w:ascii="Times New Roman" w:hAnsi="Times New Roman" w:cs="Times New Roman"/>
          <w:sz w:val="24"/>
          <w:szCs w:val="24"/>
        </w:rPr>
        <w:t>lanation. The issues of office construction, location of generator, rentals etc were all well explained by the defendant.</w:t>
      </w:r>
    </w:p>
    <w:p w:rsidR="0017555D" w:rsidRDefault="00656BD3">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Whether or not the Plaintiff is/was entitled to cancel the agreement</w:t>
      </w:r>
    </w:p>
    <w:p w:rsidR="0017555D" w:rsidRDefault="00656BD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finds no basis upon which this contract could be </w:t>
      </w:r>
      <w:r>
        <w:rPr>
          <w:rFonts w:ascii="Times New Roman" w:hAnsi="Times New Roman" w:cs="Times New Roman"/>
          <w:sz w:val="24"/>
          <w:szCs w:val="24"/>
          <w:lang w:val="en-US"/>
        </w:rPr>
        <w:t>cancel</w:t>
      </w:r>
      <w:r>
        <w:rPr>
          <w:rFonts w:ascii="Times New Roman" w:hAnsi="Times New Roman" w:cs="Times New Roman"/>
          <w:sz w:val="24"/>
          <w:szCs w:val="24"/>
          <w:lang w:val="en-US"/>
        </w:rPr>
        <w:t>ed</w:t>
      </w:r>
      <w:r>
        <w:rPr>
          <w:rFonts w:ascii="Times New Roman" w:hAnsi="Times New Roman" w:cs="Times New Roman"/>
          <w:sz w:val="24"/>
          <w:szCs w:val="24"/>
        </w:rPr>
        <w:t>. There is no evidence to prove the breach by the defendant. Tinotenda is not a party to this agreement and cannot cancel an agreement to which she is not a party. No material breach of the contract was proved.</w:t>
      </w:r>
    </w:p>
    <w:p w:rsidR="0017555D" w:rsidRDefault="00656BD3">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(e) Whether or not Plaintiff is entitled</w:t>
      </w:r>
      <w:r>
        <w:rPr>
          <w:rFonts w:ascii="Times New Roman" w:hAnsi="Times New Roman" w:cs="Times New Roman"/>
          <w:i/>
          <w:sz w:val="24"/>
          <w:szCs w:val="24"/>
        </w:rPr>
        <w:t xml:space="preserve"> to the reliefs sought or any other reliefs</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has failed to prove any of the reliefs sought and his claim is bound to fail in toto. </w:t>
      </w:r>
    </w:p>
    <w:p w:rsidR="0017555D" w:rsidRDefault="0017555D">
      <w:pPr>
        <w:spacing w:line="360" w:lineRule="auto"/>
        <w:jc w:val="both"/>
        <w:rPr>
          <w:rFonts w:ascii="Times New Roman" w:hAnsi="Times New Roman" w:cs="Times New Roman"/>
          <w:sz w:val="24"/>
          <w:szCs w:val="24"/>
        </w:rPr>
      </w:pPr>
    </w:p>
    <w:p w:rsidR="0017555D" w:rsidRDefault="00656BD3">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17555D" w:rsidRDefault="00656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be and is hereby dismissed with costs.</w:t>
      </w:r>
    </w:p>
    <w:p w:rsidR="0017555D" w:rsidRDefault="0017555D">
      <w:pPr>
        <w:rPr>
          <w:rFonts w:ascii="Times New Roman" w:hAnsi="Times New Roman" w:cs="Times New Roman"/>
          <w:sz w:val="24"/>
          <w:szCs w:val="24"/>
        </w:rPr>
      </w:pPr>
    </w:p>
    <w:p w:rsidR="0017555D" w:rsidRDefault="0017555D">
      <w:pPr>
        <w:rPr>
          <w:rFonts w:ascii="Times New Roman" w:hAnsi="Times New Roman" w:cs="Times New Roman"/>
          <w:sz w:val="24"/>
          <w:szCs w:val="24"/>
        </w:rPr>
      </w:pP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i/>
          <w:sz w:val="24"/>
          <w:szCs w:val="24"/>
        </w:rPr>
        <w:t>Mbidzo Muchadehama Makoni</w:t>
      </w:r>
      <w:r>
        <w:rPr>
          <w:rFonts w:ascii="Times New Roman" w:hAnsi="Times New Roman" w:cs="Times New Roman"/>
          <w:sz w:val="24"/>
          <w:szCs w:val="24"/>
        </w:rPr>
        <w:t xml:space="preserve">, </w:t>
      </w:r>
      <w:r>
        <w:rPr>
          <w:rFonts w:ascii="Times New Roman" w:hAnsi="Times New Roman" w:cs="Times New Roman"/>
          <w:sz w:val="24"/>
          <w:szCs w:val="24"/>
        </w:rPr>
        <w:t>plaintiff’s legal practitioners</w:t>
      </w:r>
    </w:p>
    <w:p w:rsidR="0017555D" w:rsidRDefault="00656BD3">
      <w:pPr>
        <w:spacing w:after="0" w:line="240" w:lineRule="auto"/>
        <w:rPr>
          <w:rFonts w:ascii="Times New Roman" w:hAnsi="Times New Roman" w:cs="Times New Roman"/>
          <w:sz w:val="24"/>
          <w:szCs w:val="24"/>
        </w:rPr>
      </w:pPr>
      <w:r>
        <w:rPr>
          <w:rFonts w:ascii="Times New Roman" w:hAnsi="Times New Roman" w:cs="Times New Roman"/>
          <w:i/>
          <w:sz w:val="24"/>
          <w:szCs w:val="24"/>
        </w:rPr>
        <w:t>Dube – Tachiona &amp; Tsvangirai</w:t>
      </w:r>
      <w:r>
        <w:rPr>
          <w:rFonts w:ascii="Times New Roman" w:hAnsi="Times New Roman" w:cs="Times New Roman"/>
          <w:sz w:val="24"/>
          <w:szCs w:val="24"/>
        </w:rPr>
        <w:t>, defendant’s legal practitioners.</w:t>
      </w:r>
    </w:p>
    <w:p w:rsidR="0017555D" w:rsidRDefault="0017555D">
      <w:pPr>
        <w:rPr>
          <w:rFonts w:ascii="Times New Roman" w:hAnsi="Times New Roman" w:cs="Times New Roman"/>
          <w:i/>
          <w:sz w:val="24"/>
          <w:szCs w:val="24"/>
          <w:lang w:eastAsia="en-ZW"/>
        </w:rPr>
      </w:pPr>
    </w:p>
    <w:sectPr w:rsidR="001755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BD3" w:rsidRDefault="00656BD3">
      <w:pPr>
        <w:spacing w:line="240" w:lineRule="auto"/>
      </w:pPr>
      <w:r>
        <w:separator/>
      </w:r>
    </w:p>
  </w:endnote>
  <w:endnote w:type="continuationSeparator" w:id="0">
    <w:p w:rsidR="00656BD3" w:rsidRDefault="00656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BD3" w:rsidRDefault="00656BD3">
      <w:pPr>
        <w:spacing w:after="0"/>
      </w:pPr>
      <w:r>
        <w:separator/>
      </w:r>
    </w:p>
  </w:footnote>
  <w:footnote w:type="continuationSeparator" w:id="0">
    <w:p w:rsidR="00656BD3" w:rsidRDefault="00656BD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17555D" w:rsidRDefault="00656BD3">
        <w:pPr>
          <w:pStyle w:val="Header"/>
          <w:jc w:val="right"/>
        </w:pPr>
        <w:r>
          <w:fldChar w:fldCharType="begin"/>
        </w:r>
        <w:r>
          <w:instrText xml:space="preserve"> PAGE   \* MERGEFORMAT </w:instrText>
        </w:r>
        <w:r>
          <w:fldChar w:fldCharType="separate"/>
        </w:r>
        <w:r w:rsidR="00462DBC">
          <w:rPr>
            <w:noProof/>
          </w:rPr>
          <w:t>2</w:t>
        </w:r>
        <w:r>
          <w:fldChar w:fldCharType="end"/>
        </w:r>
      </w:p>
      <w:p w:rsidR="0017555D" w:rsidRDefault="00656BD3">
        <w:pPr>
          <w:pStyle w:val="Header"/>
          <w:jc w:val="right"/>
          <w:rPr>
            <w:lang w:val="en-US"/>
          </w:rPr>
        </w:pPr>
        <w:r>
          <w:rPr>
            <w:lang w:val="en-US"/>
          </w:rPr>
          <w:t>HH 157/25</w:t>
        </w:r>
      </w:p>
      <w:p w:rsidR="0017555D" w:rsidRDefault="00656BD3">
        <w:pPr>
          <w:pStyle w:val="Header"/>
          <w:jc w:val="right"/>
        </w:pPr>
        <w:r>
          <w:rPr>
            <w:lang w:val="en-US"/>
          </w:rPr>
          <w:t>HCHC 471/23</w:t>
        </w:r>
      </w:p>
    </w:sdtContent>
  </w:sdt>
  <w:p w:rsidR="0017555D" w:rsidRDefault="001755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CB2"/>
    <w:multiLevelType w:val="multilevel"/>
    <w:tmpl w:val="0A157CB2"/>
    <w:lvl w:ilvl="0">
      <w:start w:val="1"/>
      <w:numFmt w:val="decimal"/>
      <w:lvlText w:val="(%1)"/>
      <w:lvlJc w:val="left"/>
      <w:pPr>
        <w:ind w:left="789" w:hanging="429"/>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61C70"/>
    <w:multiLevelType w:val="multilevel"/>
    <w:tmpl w:val="0A661C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F755D"/>
    <w:multiLevelType w:val="multilevel"/>
    <w:tmpl w:val="229F75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A13845"/>
    <w:multiLevelType w:val="multilevel"/>
    <w:tmpl w:val="22A1384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51134C"/>
    <w:multiLevelType w:val="multilevel"/>
    <w:tmpl w:val="2751134C"/>
    <w:lvl w:ilvl="0">
      <w:start w:val="1"/>
      <w:numFmt w:val="lowerLetter"/>
      <w:lvlText w:val="%1)"/>
      <w:lvlJc w:val="left"/>
      <w:pPr>
        <w:ind w:left="1149" w:hanging="360"/>
      </w:pPr>
      <w:rPr>
        <w:rFonts w:asciiTheme="minorHAnsi" w:hAnsiTheme="minorHAnsi" w:cstheme="minorBidi" w:hint="default"/>
        <w:color w:val="auto"/>
        <w:sz w:val="22"/>
      </w:rPr>
    </w:lvl>
    <w:lvl w:ilvl="1">
      <w:start w:val="1"/>
      <w:numFmt w:val="lowerLetter"/>
      <w:lvlText w:val="%2."/>
      <w:lvlJc w:val="left"/>
      <w:pPr>
        <w:ind w:left="1869" w:hanging="360"/>
      </w:pPr>
    </w:lvl>
    <w:lvl w:ilvl="2">
      <w:start w:val="1"/>
      <w:numFmt w:val="lowerRoman"/>
      <w:lvlText w:val="%3."/>
      <w:lvlJc w:val="right"/>
      <w:pPr>
        <w:ind w:left="2589" w:hanging="180"/>
      </w:pPr>
    </w:lvl>
    <w:lvl w:ilvl="3">
      <w:start w:val="1"/>
      <w:numFmt w:val="decimal"/>
      <w:lvlText w:val="%4."/>
      <w:lvlJc w:val="left"/>
      <w:pPr>
        <w:ind w:left="3309" w:hanging="360"/>
      </w:pPr>
    </w:lvl>
    <w:lvl w:ilvl="4">
      <w:start w:val="1"/>
      <w:numFmt w:val="lowerLetter"/>
      <w:lvlText w:val="%5."/>
      <w:lvlJc w:val="left"/>
      <w:pPr>
        <w:ind w:left="4029" w:hanging="360"/>
      </w:pPr>
    </w:lvl>
    <w:lvl w:ilvl="5">
      <w:start w:val="1"/>
      <w:numFmt w:val="lowerRoman"/>
      <w:lvlText w:val="%6."/>
      <w:lvlJc w:val="right"/>
      <w:pPr>
        <w:ind w:left="4749" w:hanging="180"/>
      </w:pPr>
    </w:lvl>
    <w:lvl w:ilvl="6">
      <w:start w:val="1"/>
      <w:numFmt w:val="decimal"/>
      <w:lvlText w:val="%7."/>
      <w:lvlJc w:val="left"/>
      <w:pPr>
        <w:ind w:left="5469" w:hanging="360"/>
      </w:pPr>
    </w:lvl>
    <w:lvl w:ilvl="7">
      <w:start w:val="1"/>
      <w:numFmt w:val="lowerLetter"/>
      <w:lvlText w:val="%8."/>
      <w:lvlJc w:val="left"/>
      <w:pPr>
        <w:ind w:left="6189" w:hanging="360"/>
      </w:pPr>
    </w:lvl>
    <w:lvl w:ilvl="8">
      <w:start w:val="1"/>
      <w:numFmt w:val="lowerRoman"/>
      <w:lvlText w:val="%9."/>
      <w:lvlJc w:val="right"/>
      <w:pPr>
        <w:ind w:left="6909" w:hanging="180"/>
      </w:pPr>
    </w:lvl>
  </w:abstractNum>
  <w:abstractNum w:abstractNumId="5" w15:restartNumberingAfterBreak="0">
    <w:nsid w:val="2CCA060D"/>
    <w:multiLevelType w:val="multilevel"/>
    <w:tmpl w:val="2CCA06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A720A1"/>
    <w:multiLevelType w:val="multilevel"/>
    <w:tmpl w:val="3CA720A1"/>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CB74F7"/>
    <w:multiLevelType w:val="multilevel"/>
    <w:tmpl w:val="68CB74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17555D"/>
    <w:rsid w:val="00271C49"/>
    <w:rsid w:val="002C0F77"/>
    <w:rsid w:val="002D76E1"/>
    <w:rsid w:val="002E09A2"/>
    <w:rsid w:val="002F54D3"/>
    <w:rsid w:val="00357306"/>
    <w:rsid w:val="00375216"/>
    <w:rsid w:val="003763CE"/>
    <w:rsid w:val="003A2A15"/>
    <w:rsid w:val="003B4A3D"/>
    <w:rsid w:val="00462DBC"/>
    <w:rsid w:val="00481232"/>
    <w:rsid w:val="00493685"/>
    <w:rsid w:val="004C490C"/>
    <w:rsid w:val="005568E2"/>
    <w:rsid w:val="005B5B9D"/>
    <w:rsid w:val="006010CB"/>
    <w:rsid w:val="00643FB9"/>
    <w:rsid w:val="00656BD3"/>
    <w:rsid w:val="00663A05"/>
    <w:rsid w:val="00675829"/>
    <w:rsid w:val="006C3BCE"/>
    <w:rsid w:val="00737377"/>
    <w:rsid w:val="00757008"/>
    <w:rsid w:val="007C0491"/>
    <w:rsid w:val="007F3A72"/>
    <w:rsid w:val="008C0E78"/>
    <w:rsid w:val="008E666E"/>
    <w:rsid w:val="008F6E30"/>
    <w:rsid w:val="009B0DD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7215F41"/>
    <w:rsid w:val="087040DB"/>
    <w:rsid w:val="08AB5A48"/>
    <w:rsid w:val="11670D99"/>
    <w:rsid w:val="1FBA6080"/>
    <w:rsid w:val="268009F9"/>
    <w:rsid w:val="26AC2D80"/>
    <w:rsid w:val="285A2EFD"/>
    <w:rsid w:val="2BB42ED3"/>
    <w:rsid w:val="2F3017FB"/>
    <w:rsid w:val="3B3C7B17"/>
    <w:rsid w:val="3D833971"/>
    <w:rsid w:val="405939A2"/>
    <w:rsid w:val="42A43D08"/>
    <w:rsid w:val="50BB2D6C"/>
    <w:rsid w:val="543713F0"/>
    <w:rsid w:val="6D900673"/>
    <w:rsid w:val="6E0A574E"/>
    <w:rsid w:val="753C1C4E"/>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E1AB4-9834-4750-9780-83A73C02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5C36-ACE3-4EC4-B1B7-A9E81D10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2025-03-14T09:14:00Z</dcterms:created>
  <dcterms:modified xsi:type="dcterms:W3CDTF">2025-03-14T09:14:00Z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E3C009EF2A71427A99BD70C42614F1A9_13</vt:lpwstr>
  </property>
</Properties>
</file>